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2"/>
        <w:numPr>
          <w:ilvl w:val="0"/>
          <w:numId w:val="0"/>
        </w:numPr>
        <w:jc w:val="center"/>
        <w:rPr>
          <w:rFonts w:hint="eastAsia" w:ascii="仿宋" w:hAnsi="仿宋" w:eastAsia="仿宋" w:cs="仿宋"/>
          <w:b/>
          <w:bCs w:val="0"/>
          <w:sz w:val="44"/>
          <w:szCs w:val="44"/>
        </w:rPr>
      </w:pPr>
      <w:bookmarkStart w:id="0" w:name="_Toc418770807"/>
      <w:r>
        <w:rPr>
          <w:rFonts w:hint="eastAsia" w:ascii="仿宋" w:hAnsi="仿宋" w:eastAsia="仿宋" w:cs="仿宋"/>
          <w:b/>
          <w:bCs w:val="0"/>
          <w:sz w:val="44"/>
          <w:szCs w:val="44"/>
        </w:rPr>
        <w:t>城市公共汽电车客运管理规定</w:t>
      </w:r>
      <w:bookmarkEnd w:id="0"/>
    </w:p>
    <w:p>
      <w:pPr>
        <w:pStyle w:val="2"/>
        <w:numPr>
          <w:ilvl w:val="0"/>
          <w:numId w:val="0"/>
        </w:numPr>
        <w:jc w:val="center"/>
        <w:rPr>
          <w:rFonts w:hint="eastAsia" w:ascii="仿宋" w:hAnsi="仿宋" w:eastAsia="仿宋" w:cs="仿宋"/>
          <w:b/>
          <w:bCs w:val="0"/>
          <w:sz w:val="44"/>
          <w:szCs w:val="44"/>
          <w:lang w:eastAsia="zh-CN"/>
        </w:rPr>
      </w:pPr>
      <w:r>
        <w:rPr>
          <w:rFonts w:hint="eastAsia" w:ascii="仿宋" w:hAnsi="仿宋" w:eastAsia="仿宋" w:cs="仿宋"/>
          <w:b/>
          <w:bCs w:val="0"/>
          <w:sz w:val="44"/>
          <w:szCs w:val="44"/>
          <w:lang w:eastAsia="zh-CN"/>
        </w:rPr>
        <w:t>（征求意见稿）</w:t>
      </w:r>
    </w:p>
    <w:p>
      <w:pPr>
        <w:ind w:firstLine="640"/>
      </w:pPr>
    </w:p>
    <w:p>
      <w:pPr>
        <w:widowControl w:val="0"/>
        <w:wordWrap/>
        <w:adjustRightInd/>
        <w:snapToGrid/>
        <w:spacing w:before="0" w:after="0" w:line="240" w:lineRule="auto"/>
        <w:ind w:right="0" w:firstLine="0" w:firstLineChars="0"/>
        <w:jc w:val="center"/>
        <w:textAlignment w:val="auto"/>
        <w:outlineLvl w:val="9"/>
        <w:rPr>
          <w:rFonts w:hint="eastAsia" w:ascii="仿宋" w:hAnsi="仿宋" w:eastAsia="仿宋" w:cs="仿宋"/>
          <w:b/>
          <w:bCs w:val="0"/>
        </w:rPr>
      </w:pPr>
      <w:r>
        <w:rPr>
          <w:rFonts w:hint="eastAsia" w:ascii="仿宋" w:hAnsi="仿宋" w:eastAsia="仿宋" w:cs="仿宋"/>
          <w:b/>
          <w:bCs w:val="0"/>
        </w:rPr>
        <w:t>第一章 总则</w:t>
      </w:r>
    </w:p>
    <w:p>
      <w:pPr>
        <w:widowControl w:val="0"/>
        <w:wordWrap/>
        <w:adjustRightInd/>
        <w:snapToGrid/>
        <w:spacing w:before="0" w:after="0" w:line="240" w:lineRule="auto"/>
        <w:ind w:right="0" w:firstLine="640"/>
        <w:textAlignment w:val="auto"/>
        <w:outlineLvl w:val="9"/>
      </w:pPr>
      <w:r>
        <w:rPr>
          <w:rFonts w:hint="eastAsia" w:ascii="仿宋" w:hAnsi="仿宋" w:eastAsia="仿宋" w:cs="仿宋"/>
          <w:b/>
          <w:bCs w:val="0"/>
        </w:rPr>
        <w:t>第一条【立法目的及依据】</w:t>
      </w:r>
      <w:r>
        <w:rPr>
          <w:rFonts w:hint="eastAsia"/>
        </w:rPr>
        <w:t>为规范城市公共汽车和电车（以下简称“城市公共汽电车”）客运管理，保障运营安全，提高服务质量，维护运营市场秩序，促进城市公共汽电车客运事业健康有序发展，保护乘客、城市公共汽电车运营企业（以下简称“</w:t>
      </w:r>
      <w:r>
        <w:t>运</w:t>
      </w:r>
      <w:r>
        <w:rPr>
          <w:rFonts w:hint="eastAsia"/>
        </w:rPr>
        <w:t>营企业”）及从业人员的合法权益，依据</w:t>
      </w:r>
      <w:r>
        <w:t>国家有关法律法规，</w:t>
      </w:r>
      <w:r>
        <w:rPr>
          <w:rFonts w:hint="eastAsia"/>
        </w:rPr>
        <w:t>制定本规定。</w:t>
      </w:r>
    </w:p>
    <w:p>
      <w:pPr>
        <w:widowControl w:val="0"/>
        <w:wordWrap/>
        <w:adjustRightInd/>
        <w:snapToGrid/>
        <w:spacing w:before="0" w:after="0" w:line="240" w:lineRule="auto"/>
        <w:ind w:right="0" w:firstLine="640"/>
        <w:textAlignment w:val="auto"/>
        <w:outlineLvl w:val="9"/>
      </w:pPr>
      <w:r>
        <w:rPr>
          <w:rFonts w:hint="eastAsia" w:ascii="仿宋" w:hAnsi="仿宋" w:eastAsia="仿宋" w:cs="仿宋"/>
          <w:b/>
          <w:bCs w:val="0"/>
        </w:rPr>
        <w:t>第二条【适用范围】</w:t>
      </w:r>
      <w:r>
        <w:rPr>
          <w:rFonts w:hint="eastAsia"/>
        </w:rPr>
        <w:t>城市公共汽电车客运</w:t>
      </w:r>
      <w:r>
        <w:t>的</w:t>
      </w:r>
      <w:r>
        <w:rPr>
          <w:rFonts w:hint="eastAsia"/>
        </w:rPr>
        <w:t>服务提供、运营</w:t>
      </w:r>
      <w:r>
        <w:t>管理</w:t>
      </w:r>
      <w:r>
        <w:rPr>
          <w:rFonts w:hint="eastAsia"/>
        </w:rPr>
        <w:t>、</w:t>
      </w:r>
      <w:r>
        <w:t>设施设备维护</w:t>
      </w:r>
      <w:r>
        <w:rPr>
          <w:rFonts w:hint="eastAsia"/>
        </w:rPr>
        <w:t>、</w:t>
      </w:r>
      <w:r>
        <w:t>安全保障</w:t>
      </w:r>
      <w:r>
        <w:rPr>
          <w:rFonts w:hint="eastAsia"/>
        </w:rPr>
        <w:t>等活动，</w:t>
      </w:r>
      <w:r>
        <w:t>应当遵守</w:t>
      </w:r>
      <w:r>
        <w:rPr>
          <w:rFonts w:hint="eastAsia"/>
        </w:rPr>
        <w:t>本规定。</w:t>
      </w:r>
    </w:p>
    <w:p>
      <w:pPr>
        <w:widowControl w:val="0"/>
        <w:wordWrap/>
        <w:adjustRightInd/>
        <w:snapToGrid/>
        <w:spacing w:before="0" w:after="0" w:line="240" w:lineRule="auto"/>
        <w:ind w:right="0" w:firstLine="640"/>
        <w:textAlignment w:val="auto"/>
        <w:outlineLvl w:val="9"/>
      </w:pPr>
      <w:r>
        <w:rPr>
          <w:rFonts w:hint="eastAsia"/>
        </w:rPr>
        <w:t>本规定所称城市公共汽电车客运是指在</w:t>
      </w:r>
      <w:r>
        <w:rPr>
          <w:rFonts w:hint="eastAsia" w:hAnsi="仿宋_GB2312"/>
        </w:rPr>
        <w:t>城市人民政府确定的区域内</w:t>
      </w:r>
      <w:r>
        <w:rPr>
          <w:rFonts w:hint="eastAsia"/>
        </w:rPr>
        <w:t>，运用符合国家有关标准和规定的公共汽电车辆和服务设施，按照核准的线路、站点、时间和票价运营，为社会公众提供基本出行服务的活动。</w:t>
      </w:r>
    </w:p>
    <w:p>
      <w:pPr>
        <w:widowControl w:val="0"/>
        <w:wordWrap/>
        <w:adjustRightInd/>
        <w:snapToGrid/>
        <w:spacing w:before="0" w:after="0" w:line="240" w:lineRule="auto"/>
        <w:ind w:right="0" w:firstLine="640"/>
        <w:textAlignment w:val="auto"/>
        <w:outlineLvl w:val="9"/>
      </w:pPr>
      <w:r>
        <w:rPr>
          <w:rFonts w:hint="eastAsia"/>
        </w:rPr>
        <w:t>本规定所称城市公共汽电车客运服务设施，是指保障城市公共汽电车客运服务的停车场、保养场、站务用房、候车亭、站台、站牌以及油气</w:t>
      </w:r>
      <w:r>
        <w:t>供配电</w:t>
      </w:r>
      <w:r>
        <w:rPr>
          <w:rFonts w:hint="eastAsia"/>
        </w:rPr>
        <w:t>等相关设施。</w:t>
      </w:r>
    </w:p>
    <w:p>
      <w:pPr>
        <w:widowControl w:val="0"/>
        <w:wordWrap/>
        <w:adjustRightInd/>
        <w:snapToGrid/>
        <w:spacing w:before="0" w:after="0" w:line="240" w:lineRule="auto"/>
        <w:ind w:right="0" w:firstLine="640"/>
        <w:textAlignment w:val="auto"/>
        <w:outlineLvl w:val="9"/>
      </w:pPr>
      <w:r>
        <w:rPr>
          <w:rFonts w:hint="eastAsia" w:ascii="仿宋" w:hAnsi="仿宋" w:eastAsia="仿宋" w:cs="仿宋"/>
          <w:b/>
          <w:bCs w:val="0"/>
        </w:rPr>
        <w:t>第三条【管理主体】</w:t>
      </w:r>
      <w:r>
        <w:rPr>
          <w:rFonts w:hint="eastAsia"/>
        </w:rPr>
        <w:t>国务院</w:t>
      </w:r>
      <w:r>
        <w:t>交通运输主管部门负责指导全国城市公共汽电车客运管理工作。</w:t>
      </w:r>
    </w:p>
    <w:p>
      <w:pPr>
        <w:widowControl w:val="0"/>
        <w:wordWrap/>
        <w:adjustRightInd/>
        <w:snapToGrid/>
        <w:spacing w:before="0" w:after="0" w:line="240" w:lineRule="auto"/>
        <w:ind w:right="0" w:firstLine="640"/>
        <w:textAlignment w:val="auto"/>
        <w:outlineLvl w:val="9"/>
      </w:pPr>
      <w:r>
        <w:rPr>
          <w:rFonts w:hint="eastAsia"/>
        </w:rPr>
        <w:t>省、自治区人民政府交通运输主管部门负责指导本行政区域内城市公共汽电车客运管理工作。</w:t>
      </w:r>
    </w:p>
    <w:p>
      <w:pPr>
        <w:widowControl w:val="0"/>
        <w:wordWrap/>
        <w:adjustRightInd/>
        <w:snapToGrid/>
        <w:spacing w:before="0" w:after="0" w:line="240" w:lineRule="auto"/>
        <w:ind w:right="0" w:firstLine="640"/>
        <w:textAlignment w:val="auto"/>
        <w:outlineLvl w:val="9"/>
      </w:pPr>
      <w:r>
        <w:rPr>
          <w:rFonts w:hint="eastAsia"/>
        </w:rPr>
        <w:t>城市人民政府负责城市公共交通管理的部门（以下简称“城市公共交通管理部门”）负责具体实施本行政区域内城市公共汽电车客运管理工作。</w:t>
      </w:r>
    </w:p>
    <w:p>
      <w:pPr>
        <w:widowControl w:val="0"/>
        <w:wordWrap/>
        <w:adjustRightInd/>
        <w:snapToGrid/>
        <w:spacing w:before="0" w:after="0" w:line="240" w:lineRule="auto"/>
        <w:ind w:right="0" w:firstLine="640"/>
        <w:textAlignment w:val="auto"/>
        <w:outlineLvl w:val="9"/>
      </w:pPr>
      <w:r>
        <w:rPr>
          <w:rFonts w:hint="eastAsia" w:ascii="仿宋" w:hAnsi="仿宋" w:eastAsia="仿宋" w:cs="仿宋"/>
          <w:b/>
          <w:bCs w:val="0"/>
        </w:rPr>
        <w:t>第四条【发展定位及优先发展政策】</w:t>
      </w:r>
      <w:r>
        <w:rPr>
          <w:rFonts w:hint="eastAsia"/>
        </w:rPr>
        <w:t>城市公共汽电车客运是城市公共交通的重要组成部分，是具有公益属性的公用事业。</w:t>
      </w:r>
    </w:p>
    <w:p>
      <w:pPr>
        <w:widowControl w:val="0"/>
        <w:wordWrap/>
        <w:adjustRightInd/>
        <w:snapToGrid/>
        <w:spacing w:before="0" w:after="0" w:line="240" w:lineRule="auto"/>
        <w:ind w:right="0" w:firstLine="640"/>
        <w:textAlignment w:val="auto"/>
        <w:outlineLvl w:val="9"/>
      </w:pPr>
      <w:r>
        <w:rPr>
          <w:rFonts w:hint="eastAsia"/>
        </w:rPr>
        <w:t>省、自治区人民政府交通运输主管部门和城市公共交通管理部门应在人民政府的领导下，会同有关部门，在城市规划、财政政策、用地供给、设施建设、路权分配等方面优先保障城市公共汽电车客运事业发展。</w:t>
      </w:r>
    </w:p>
    <w:p>
      <w:pPr>
        <w:widowControl w:val="0"/>
        <w:wordWrap/>
        <w:adjustRightInd/>
        <w:snapToGrid/>
        <w:spacing w:before="0" w:after="0" w:line="240" w:lineRule="auto"/>
        <w:ind w:right="0" w:firstLine="640"/>
        <w:textAlignment w:val="auto"/>
        <w:outlineLvl w:val="9"/>
      </w:pPr>
      <w:r>
        <w:rPr>
          <w:rFonts w:hint="eastAsia" w:ascii="仿宋" w:hAnsi="仿宋" w:eastAsia="仿宋" w:cs="仿宋"/>
          <w:b/>
          <w:bCs w:val="0"/>
        </w:rPr>
        <w:t>第五条【发展原则】</w:t>
      </w:r>
      <w:r>
        <w:rPr>
          <w:rFonts w:hint="eastAsia"/>
        </w:rPr>
        <w:t>城市公共汽电车客运的发展，应当遵循安全可靠、便捷高效、经济适用、节能环保的原则。</w:t>
      </w:r>
    </w:p>
    <w:p>
      <w:pPr>
        <w:widowControl w:val="0"/>
        <w:wordWrap/>
        <w:adjustRightInd/>
        <w:snapToGrid/>
        <w:spacing w:before="0" w:after="0" w:line="240" w:lineRule="auto"/>
        <w:ind w:right="0" w:firstLine="640"/>
        <w:textAlignment w:val="auto"/>
        <w:outlineLvl w:val="9"/>
      </w:pPr>
      <w:r>
        <w:rPr>
          <w:rFonts w:hint="eastAsia" w:ascii="仿宋" w:hAnsi="仿宋" w:eastAsia="仿宋" w:cs="仿宋"/>
          <w:b/>
          <w:bCs w:val="0"/>
        </w:rPr>
        <w:t>第六条【引导方向】</w:t>
      </w:r>
      <w:r>
        <w:rPr>
          <w:rFonts w:hint="eastAsia"/>
        </w:rPr>
        <w:t>国家鼓励运营企业实行规模化、集约化经营。</w:t>
      </w:r>
    </w:p>
    <w:p>
      <w:pPr>
        <w:widowControl w:val="0"/>
        <w:wordWrap/>
        <w:adjustRightInd/>
        <w:snapToGrid/>
        <w:spacing w:before="0" w:after="0" w:line="240" w:lineRule="auto"/>
        <w:ind w:right="0" w:firstLine="640"/>
        <w:textAlignment w:val="auto"/>
        <w:outlineLvl w:val="9"/>
      </w:pPr>
      <w:r>
        <w:rPr>
          <w:rFonts w:hint="eastAsia" w:ascii="仿宋" w:hAnsi="仿宋" w:eastAsia="仿宋" w:cs="仿宋"/>
          <w:b/>
          <w:bCs w:val="0"/>
        </w:rPr>
        <w:t>第七条【新技术应用】</w:t>
      </w:r>
      <w:r>
        <w:rPr>
          <w:rFonts w:hint="eastAsia"/>
        </w:rPr>
        <w:t>国家鼓励推广新应用、新技术、新能源、新装备，加强城市公共交通智能化建设，推进物联网</w:t>
      </w:r>
      <w:r>
        <w:t>、大数据、移动互联网等现代</w:t>
      </w:r>
      <w:r>
        <w:rPr>
          <w:rFonts w:hint="eastAsia"/>
        </w:rPr>
        <w:t>信息技术在城市公共汽电车运营、服务和管理方面的应用。</w:t>
      </w:r>
    </w:p>
    <w:p>
      <w:pPr>
        <w:widowControl w:val="0"/>
        <w:wordWrap/>
        <w:adjustRightInd/>
        <w:snapToGrid/>
        <w:spacing w:before="0" w:after="0" w:line="240" w:lineRule="auto"/>
        <w:ind w:right="0" w:firstLine="640"/>
        <w:textAlignment w:val="auto"/>
        <w:outlineLvl w:val="9"/>
      </w:pPr>
    </w:p>
    <w:p>
      <w:pPr>
        <w:widowControl w:val="0"/>
        <w:wordWrap/>
        <w:adjustRightInd/>
        <w:snapToGrid/>
        <w:spacing w:before="0" w:after="0" w:line="240" w:lineRule="auto"/>
        <w:ind w:right="0" w:firstLine="0" w:firstLineChars="0"/>
        <w:jc w:val="center"/>
        <w:textAlignment w:val="auto"/>
        <w:outlineLvl w:val="9"/>
        <w:rPr>
          <w:rFonts w:ascii="黑体" w:hAnsi="黑体" w:eastAsia="黑体"/>
        </w:rPr>
      </w:pPr>
      <w:r>
        <w:rPr>
          <w:rFonts w:hint="eastAsia" w:ascii="仿宋" w:hAnsi="仿宋" w:eastAsia="仿宋" w:cs="仿宋"/>
          <w:b/>
          <w:bCs w:val="0"/>
        </w:rPr>
        <w:t>第二章  运营保障</w:t>
      </w:r>
    </w:p>
    <w:p>
      <w:pPr>
        <w:widowControl w:val="0"/>
        <w:wordWrap/>
        <w:adjustRightInd/>
        <w:snapToGrid/>
        <w:spacing w:before="0" w:after="0" w:line="240" w:lineRule="auto"/>
        <w:ind w:right="0" w:firstLine="640"/>
        <w:textAlignment w:val="auto"/>
        <w:outlineLvl w:val="9"/>
      </w:pPr>
      <w:r>
        <w:rPr>
          <w:rFonts w:hint="eastAsia" w:ascii="仿宋" w:hAnsi="仿宋" w:eastAsia="仿宋" w:cs="仿宋"/>
          <w:b/>
          <w:bCs w:val="0"/>
        </w:rPr>
        <w:t>第八条【规划编制总体要求】</w:t>
      </w:r>
      <w:r>
        <w:rPr>
          <w:rFonts w:hint="eastAsia"/>
        </w:rPr>
        <w:t>城市公共交通管理部门应当统筹考虑城市发展和社会公众</w:t>
      </w:r>
      <w:r>
        <w:t>基本出行</w:t>
      </w:r>
      <w:r>
        <w:rPr>
          <w:rFonts w:hint="eastAsia"/>
        </w:rPr>
        <w:t>需要，应在城市人民政府的领导下，会同有关部门组织制定和修订城市公共交通规划。</w:t>
      </w:r>
    </w:p>
    <w:p>
      <w:pPr>
        <w:widowControl w:val="0"/>
        <w:wordWrap/>
        <w:adjustRightInd/>
        <w:snapToGrid/>
        <w:spacing w:before="0" w:after="0" w:line="240" w:lineRule="auto"/>
        <w:ind w:right="0" w:firstLine="640"/>
        <w:textAlignment w:val="auto"/>
        <w:outlineLvl w:val="9"/>
      </w:pPr>
      <w:r>
        <w:rPr>
          <w:rFonts w:hint="eastAsia"/>
        </w:rPr>
        <w:t>城市公共交通规划要符合并纳入城市综合交通体系相关规划，报请城市人民政府批准后实施。</w:t>
      </w:r>
    </w:p>
    <w:p>
      <w:pPr>
        <w:widowControl w:val="0"/>
        <w:wordWrap/>
        <w:adjustRightInd/>
        <w:snapToGrid/>
        <w:spacing w:before="0" w:after="0" w:line="240" w:lineRule="auto"/>
        <w:ind w:right="0" w:firstLine="640"/>
        <w:textAlignment w:val="auto"/>
        <w:outlineLvl w:val="9"/>
        <w:rPr>
          <w:shd w:val="clear" w:color="auto" w:fill="FFFFFF"/>
        </w:rPr>
      </w:pPr>
      <w:r>
        <w:rPr>
          <w:rFonts w:hint="eastAsia" w:ascii="仿宋" w:hAnsi="仿宋" w:eastAsia="仿宋" w:cs="仿宋"/>
          <w:b/>
          <w:bCs w:val="0"/>
        </w:rPr>
        <w:t>第九条【规划编制原则】</w:t>
      </w:r>
      <w:r>
        <w:rPr>
          <w:rFonts w:hint="eastAsia"/>
          <w:shd w:val="clear" w:color="auto" w:fill="FFFFFF"/>
        </w:rPr>
        <w:t>制定和修订城市公共交通规划应当结合当地经济社会发展要求和公众出行需要，科学设计城市公共汽电车线网结构、场站布局、换乘枢纽和重要交通节点设置，注重城市</w:t>
      </w:r>
      <w:r>
        <w:rPr>
          <w:shd w:val="clear" w:color="auto" w:fill="FFFFFF"/>
        </w:rPr>
        <w:t>公共汽电车</w:t>
      </w:r>
      <w:r>
        <w:rPr>
          <w:rFonts w:hint="eastAsia"/>
          <w:shd w:val="clear" w:color="auto" w:fill="FFFFFF"/>
        </w:rPr>
        <w:t>与其他出行方式的衔接和协调，</w:t>
      </w:r>
      <w:r>
        <w:rPr>
          <w:rFonts w:hint="eastAsia"/>
        </w:rPr>
        <w:t>并广泛征求相关部门和社会各方的意见。</w:t>
      </w:r>
    </w:p>
    <w:p>
      <w:pPr>
        <w:widowControl w:val="0"/>
        <w:wordWrap/>
        <w:adjustRightInd/>
        <w:snapToGrid/>
        <w:spacing w:before="0" w:after="0" w:line="240" w:lineRule="auto"/>
        <w:ind w:right="0" w:firstLine="640"/>
        <w:textAlignment w:val="auto"/>
        <w:outlineLvl w:val="9"/>
      </w:pPr>
      <w:r>
        <w:rPr>
          <w:rFonts w:hint="eastAsia" w:ascii="仿宋" w:hAnsi="仿宋" w:eastAsia="仿宋" w:cs="仿宋"/>
          <w:b/>
          <w:bCs w:val="0"/>
        </w:rPr>
        <w:t>第十条【设施建设】</w:t>
      </w:r>
      <w:r>
        <w:rPr>
          <w:rFonts w:hint="eastAsia"/>
        </w:rPr>
        <w:t>新建、改建、扩建城市公共汽电车客运服务设施，应当符合城市公共交通规划，设计和施工应当符合国家、地方有关规定</w:t>
      </w:r>
      <w:r>
        <w:t>和</w:t>
      </w:r>
      <w:r>
        <w:rPr>
          <w:rFonts w:hint="eastAsia"/>
        </w:rPr>
        <w:t>标准。</w:t>
      </w:r>
    </w:p>
    <w:p>
      <w:pPr>
        <w:widowControl w:val="0"/>
        <w:wordWrap/>
        <w:adjustRightInd/>
        <w:snapToGrid/>
        <w:spacing w:before="0" w:after="0" w:line="240" w:lineRule="auto"/>
        <w:ind w:right="0" w:firstLine="640"/>
        <w:textAlignment w:val="auto"/>
        <w:outlineLvl w:val="9"/>
      </w:pPr>
      <w:r>
        <w:rPr>
          <w:rFonts w:hint="eastAsia" w:ascii="仿宋" w:hAnsi="仿宋" w:eastAsia="仿宋" w:cs="仿宋"/>
          <w:b/>
          <w:bCs w:val="0"/>
        </w:rPr>
        <w:t>第十一条【设施配建】</w:t>
      </w:r>
      <w:r>
        <w:rPr>
          <w:rFonts w:hint="eastAsia"/>
        </w:rPr>
        <w:t>新建、改建、扩建城市道路等</w:t>
      </w:r>
      <w:r>
        <w:t>市政设施</w:t>
      </w:r>
      <w:r>
        <w:rPr>
          <w:rFonts w:hint="eastAsia"/>
        </w:rPr>
        <w:t>以及规模居住区、交通枢纽、商业中心、工业园区等大型建设项目，应当按照城市</w:t>
      </w:r>
      <w:r>
        <w:t>公共交通规划和</w:t>
      </w:r>
      <w:r>
        <w:rPr>
          <w:rFonts w:hint="eastAsia"/>
        </w:rPr>
        <w:t>有关标准规定配套建设城市公共汽电车客运服务设施，并与主体工程同步交付使用。</w:t>
      </w:r>
    </w:p>
    <w:p>
      <w:pPr>
        <w:widowControl w:val="0"/>
        <w:wordWrap/>
        <w:adjustRightInd/>
        <w:snapToGrid/>
        <w:spacing w:before="0" w:after="0" w:line="240" w:lineRule="auto"/>
        <w:ind w:right="0" w:firstLine="640"/>
        <w:textAlignment w:val="auto"/>
        <w:outlineLvl w:val="9"/>
      </w:pPr>
      <w:r>
        <w:rPr>
          <w:rFonts w:hint="eastAsia" w:ascii="仿宋" w:hAnsi="仿宋" w:eastAsia="仿宋" w:cs="仿宋"/>
          <w:b/>
          <w:bCs w:val="0"/>
        </w:rPr>
        <w:t>第十二条【优先通行】</w:t>
      </w:r>
      <w:r>
        <w:rPr>
          <w:rFonts w:hint="eastAsia"/>
        </w:rPr>
        <w:t>城市公共交通管理部门应当根据城市公共交通规划和城市交通发展实际需要，在城市人民政府的指导下，会同有关部门，按照相关标准要求，科学设置公交专用道、公交优先通行信号系统、港湾式停靠站等，提高城市公共汽电车的通行效率。</w:t>
      </w:r>
    </w:p>
    <w:p>
      <w:pPr>
        <w:widowControl w:val="0"/>
        <w:wordWrap/>
        <w:adjustRightInd/>
        <w:snapToGrid/>
        <w:spacing w:before="0" w:after="0" w:line="240" w:lineRule="auto"/>
        <w:ind w:right="0" w:firstLine="640"/>
        <w:textAlignment w:val="auto"/>
        <w:outlineLvl w:val="9"/>
      </w:pPr>
    </w:p>
    <w:p>
      <w:pPr>
        <w:widowControl w:val="0"/>
        <w:wordWrap/>
        <w:adjustRightInd/>
        <w:snapToGrid/>
        <w:spacing w:before="0" w:after="0" w:line="240" w:lineRule="auto"/>
        <w:ind w:right="0" w:firstLine="0" w:firstLineChars="0"/>
        <w:jc w:val="center"/>
        <w:textAlignment w:val="auto"/>
        <w:outlineLvl w:val="9"/>
        <w:rPr>
          <w:rFonts w:hint="eastAsia" w:ascii="仿宋" w:hAnsi="仿宋" w:eastAsia="仿宋" w:cs="仿宋"/>
          <w:b/>
          <w:bCs w:val="0"/>
        </w:rPr>
      </w:pPr>
      <w:r>
        <w:rPr>
          <w:rFonts w:hint="eastAsia" w:ascii="仿宋" w:hAnsi="仿宋" w:eastAsia="仿宋" w:cs="仿宋"/>
          <w:b/>
          <w:bCs w:val="0"/>
        </w:rPr>
        <w:t>第三章 运营管理</w:t>
      </w:r>
    </w:p>
    <w:p>
      <w:pPr>
        <w:widowControl w:val="0"/>
        <w:wordWrap/>
        <w:adjustRightInd/>
        <w:snapToGrid/>
        <w:spacing w:before="0" w:after="0" w:line="240" w:lineRule="auto"/>
        <w:ind w:right="0" w:firstLine="640"/>
        <w:textAlignment w:val="auto"/>
        <w:outlineLvl w:val="9"/>
      </w:pPr>
      <w:r>
        <w:rPr>
          <w:rFonts w:hint="eastAsia" w:ascii="仿宋" w:hAnsi="仿宋" w:eastAsia="仿宋" w:cs="仿宋"/>
          <w:b/>
          <w:bCs w:val="0"/>
        </w:rPr>
        <w:t>第十三条【线路、站点的开辟和调整】</w:t>
      </w:r>
      <w:r>
        <w:rPr>
          <w:rFonts w:hint="eastAsia"/>
        </w:rPr>
        <w:t>城市公共交通管理部门应当依据城市公共交通规划，结合城市发展和社会公众出行需要，及时开辟</w:t>
      </w:r>
      <w:r>
        <w:rPr>
          <w:rFonts w:hint="eastAsia" w:hAnsi="仿宋_GB2312"/>
        </w:rPr>
        <w:t>或者</w:t>
      </w:r>
      <w:r>
        <w:rPr>
          <w:rFonts w:hint="eastAsia"/>
        </w:rPr>
        <w:t>调整城市公共汽电车线路和</w:t>
      </w:r>
      <w:r>
        <w:t>站点</w:t>
      </w:r>
      <w:r>
        <w:rPr>
          <w:rFonts w:hint="eastAsia"/>
        </w:rPr>
        <w:t>。开辟</w:t>
      </w:r>
      <w:r>
        <w:rPr>
          <w:rFonts w:hint="eastAsia" w:hAnsi="仿宋_GB2312"/>
        </w:rPr>
        <w:t>、</w:t>
      </w:r>
      <w:r>
        <w:rPr>
          <w:rFonts w:hint="eastAsia"/>
        </w:rPr>
        <w:t>调整城市公共汽电车线路或</w:t>
      </w:r>
      <w:r>
        <w:t>站点</w:t>
      </w:r>
      <w:r>
        <w:rPr>
          <w:rFonts w:hint="eastAsia"/>
        </w:rPr>
        <w:t>，应当征求社会公众意见。</w:t>
      </w:r>
    </w:p>
    <w:p>
      <w:pPr>
        <w:widowControl w:val="0"/>
        <w:wordWrap/>
        <w:adjustRightInd/>
        <w:snapToGrid/>
        <w:spacing w:before="0" w:after="0" w:line="240" w:lineRule="auto"/>
        <w:ind w:right="0" w:firstLine="640"/>
        <w:textAlignment w:val="auto"/>
        <w:outlineLvl w:val="9"/>
      </w:pPr>
      <w:r>
        <w:rPr>
          <w:rFonts w:hint="eastAsia"/>
        </w:rPr>
        <w:t>城市公共交通管理部门应当定期开展公众出行调查，充分利用</w:t>
      </w:r>
      <w:r>
        <w:t>移动互联网、大数据、云计算等现代信息技术</w:t>
      </w:r>
      <w:r>
        <w:rPr>
          <w:rFonts w:hint="eastAsia"/>
        </w:rPr>
        <w:t>收集、分析公众出行时间、方式</w:t>
      </w:r>
      <w:r>
        <w:t>、</w:t>
      </w:r>
      <w:r>
        <w:rPr>
          <w:rFonts w:hint="eastAsia"/>
        </w:rPr>
        <w:t>频率、空间分布等信息，作为优化城市公共交通线网的依据。</w:t>
      </w:r>
    </w:p>
    <w:p>
      <w:pPr>
        <w:widowControl w:val="0"/>
        <w:wordWrap/>
        <w:adjustRightInd/>
        <w:snapToGrid/>
        <w:spacing w:before="0" w:after="0" w:line="240" w:lineRule="auto"/>
        <w:ind w:right="0" w:firstLine="640"/>
        <w:textAlignment w:val="auto"/>
        <w:outlineLvl w:val="9"/>
        <w:rPr>
          <w:highlight w:val="yellow"/>
        </w:rPr>
      </w:pPr>
      <w:r>
        <w:rPr>
          <w:rFonts w:hint="eastAsia" w:ascii="仿宋" w:hAnsi="仿宋" w:eastAsia="仿宋" w:cs="仿宋"/>
          <w:b/>
          <w:bCs w:val="0"/>
        </w:rPr>
        <w:t>第十四条【线路运营权授予】</w:t>
      </w:r>
      <w:r>
        <w:rPr>
          <w:rFonts w:hint="eastAsia"/>
        </w:rPr>
        <w:t>城市公共汽电车客运实行特许经营管理，城市公共交通管理部门应当根据规模经营、适度竞争的原则，综合考虑运力配置、社会公众需求、社会公众安全等因素，通过服务质量招投标的方式授予运营企业城市公共汽电车线路运营权；招投标不成的，由城市公共交通管理部门择优确定取得线路运营权的运营企业。</w:t>
      </w:r>
    </w:p>
    <w:p>
      <w:pPr>
        <w:widowControl w:val="0"/>
        <w:wordWrap/>
        <w:adjustRightInd/>
        <w:snapToGrid/>
        <w:spacing w:before="0" w:after="0" w:line="240" w:lineRule="auto"/>
        <w:ind w:right="0" w:firstLine="640"/>
        <w:textAlignment w:val="auto"/>
        <w:outlineLvl w:val="9"/>
      </w:pPr>
      <w:r>
        <w:rPr>
          <w:rFonts w:hint="eastAsia"/>
        </w:rPr>
        <w:t>城市公共汽电车</w:t>
      </w:r>
      <w:r>
        <w:t>线路运营权实行无偿</w:t>
      </w:r>
      <w:r>
        <w:rPr>
          <w:rFonts w:hint="eastAsia"/>
        </w:rPr>
        <w:t>授予，城市公共交通管理部门不得拍卖城市公共汽电车线路运营权。运营企业不得转让、出租或者变相转让、出租城市公共汽电车线路运营权。</w:t>
      </w:r>
    </w:p>
    <w:p>
      <w:pPr>
        <w:widowControl w:val="0"/>
        <w:wordWrap/>
        <w:adjustRightInd/>
        <w:snapToGrid/>
        <w:spacing w:before="0" w:after="0" w:line="240" w:lineRule="auto"/>
        <w:ind w:right="0" w:firstLine="640"/>
        <w:textAlignment w:val="auto"/>
        <w:outlineLvl w:val="9"/>
        <w:rPr>
          <w:rFonts w:ascii="黑体" w:hAnsi="黑体"/>
        </w:rPr>
      </w:pPr>
      <w:r>
        <w:rPr>
          <w:rFonts w:hint="eastAsia" w:ascii="仿宋" w:hAnsi="仿宋" w:eastAsia="仿宋" w:cs="仿宋"/>
          <w:b/>
          <w:bCs w:val="0"/>
        </w:rPr>
        <w:t>第十五条【运营资质要求】</w:t>
      </w:r>
      <w:r>
        <w:rPr>
          <w:rFonts w:hint="eastAsia"/>
        </w:rPr>
        <w:t>申请城市公共汽电车线路运营权应当符合下列条件：</w:t>
      </w:r>
    </w:p>
    <w:p>
      <w:pPr>
        <w:widowControl w:val="0"/>
        <w:wordWrap/>
        <w:adjustRightInd/>
        <w:snapToGrid/>
        <w:spacing w:before="0" w:after="0" w:line="240" w:lineRule="auto"/>
        <w:ind w:right="0" w:firstLine="640"/>
        <w:textAlignment w:val="auto"/>
        <w:outlineLvl w:val="9"/>
      </w:pPr>
      <w:r>
        <w:rPr>
          <w:rFonts w:hint="eastAsia"/>
        </w:rPr>
        <w:t>（一）具有从事城市公共汽电车</w:t>
      </w:r>
      <w:r>
        <w:t>客运相关</w:t>
      </w:r>
      <w:r>
        <w:rPr>
          <w:rFonts w:hint="eastAsia"/>
        </w:rPr>
        <w:t>资质的工商企业</w:t>
      </w:r>
      <w:r>
        <w:t>法人</w:t>
      </w:r>
      <w:r>
        <w:rPr>
          <w:rFonts w:hint="eastAsia"/>
        </w:rPr>
        <w:t>营业执照；</w:t>
      </w:r>
    </w:p>
    <w:p>
      <w:pPr>
        <w:widowControl w:val="0"/>
        <w:wordWrap/>
        <w:adjustRightInd/>
        <w:snapToGrid/>
        <w:spacing w:before="0" w:after="0" w:line="240" w:lineRule="auto"/>
        <w:ind w:right="0" w:firstLine="640"/>
        <w:textAlignment w:val="auto"/>
        <w:outlineLvl w:val="9"/>
      </w:pPr>
      <w:r>
        <w:rPr>
          <w:rFonts w:hint="eastAsia" w:hAnsi="仿宋_GB2312"/>
        </w:rPr>
        <w:t>（二）</w:t>
      </w:r>
      <w:r>
        <w:rPr>
          <w:rFonts w:hint="eastAsia"/>
        </w:rPr>
        <w:t>具有符合运营线路要求的运营车辆或者提供保证符合国家有关标准和规定车辆的承诺书；</w:t>
      </w:r>
    </w:p>
    <w:p>
      <w:pPr>
        <w:widowControl w:val="0"/>
        <w:wordWrap/>
        <w:adjustRightInd/>
        <w:snapToGrid/>
        <w:spacing w:before="0" w:after="0" w:line="240" w:lineRule="auto"/>
        <w:ind w:right="0" w:firstLine="640"/>
        <w:textAlignment w:val="auto"/>
        <w:outlineLvl w:val="9"/>
      </w:pPr>
      <w:r>
        <w:rPr>
          <w:rFonts w:hint="eastAsia"/>
        </w:rPr>
        <w:t>（三）具有</w:t>
      </w:r>
      <w:r>
        <w:t>固定的经营场所</w:t>
      </w:r>
      <w:r>
        <w:rPr>
          <w:rFonts w:hint="eastAsia"/>
        </w:rPr>
        <w:t>和符合运营线路要求的配套服务设施、设备；</w:t>
      </w:r>
    </w:p>
    <w:p>
      <w:pPr>
        <w:widowControl w:val="0"/>
        <w:wordWrap/>
        <w:adjustRightInd/>
        <w:snapToGrid/>
        <w:spacing w:before="0" w:after="0" w:line="240" w:lineRule="auto"/>
        <w:ind w:right="0" w:firstLine="640"/>
        <w:textAlignment w:val="auto"/>
        <w:outlineLvl w:val="9"/>
      </w:pPr>
      <w:r>
        <w:rPr>
          <w:rFonts w:hint="eastAsia"/>
        </w:rPr>
        <w:t>（四）具有合理可行的线路运营方案；</w:t>
      </w:r>
    </w:p>
    <w:p>
      <w:pPr>
        <w:widowControl w:val="0"/>
        <w:wordWrap/>
        <w:adjustRightInd/>
        <w:snapToGrid/>
        <w:spacing w:before="0" w:after="0" w:line="240" w:lineRule="auto"/>
        <w:ind w:right="0" w:firstLine="640"/>
        <w:textAlignment w:val="auto"/>
        <w:outlineLvl w:val="9"/>
      </w:pPr>
      <w:r>
        <w:rPr>
          <w:rFonts w:hint="eastAsia"/>
        </w:rPr>
        <w:t>（五</w:t>
      </w:r>
      <w:r>
        <w:t>）</w:t>
      </w:r>
      <w:r>
        <w:rPr>
          <w:rFonts w:hint="eastAsia"/>
        </w:rPr>
        <w:t>具有健全的经营管理制度、安全生产管理制度和服务质量保障制度；</w:t>
      </w:r>
    </w:p>
    <w:p>
      <w:pPr>
        <w:widowControl w:val="0"/>
        <w:wordWrap/>
        <w:adjustRightInd/>
        <w:snapToGrid/>
        <w:spacing w:before="0" w:after="0" w:line="240" w:lineRule="auto"/>
        <w:ind w:right="0" w:firstLine="640"/>
        <w:textAlignment w:val="auto"/>
        <w:outlineLvl w:val="9"/>
      </w:pPr>
      <w:r>
        <w:rPr>
          <w:rFonts w:hint="eastAsia"/>
        </w:rPr>
        <w:t>（六）具有相应的管理人员和与运营业务相适应的从业人员；</w:t>
      </w:r>
    </w:p>
    <w:p>
      <w:pPr>
        <w:widowControl w:val="0"/>
        <w:wordWrap/>
        <w:adjustRightInd/>
        <w:snapToGrid/>
        <w:spacing w:before="0" w:after="0" w:line="240" w:lineRule="auto"/>
        <w:ind w:right="0" w:firstLine="640"/>
        <w:textAlignment w:val="auto"/>
        <w:outlineLvl w:val="9"/>
        <w:rPr>
          <w:rFonts w:hAnsi="仿宋_GB2312"/>
        </w:rPr>
      </w:pPr>
      <w:r>
        <w:rPr>
          <w:rFonts w:hint="eastAsia"/>
        </w:rPr>
        <w:t>（七）有关法律、法规规定的其他条件。</w:t>
      </w:r>
    </w:p>
    <w:p>
      <w:pPr>
        <w:widowControl w:val="0"/>
        <w:wordWrap/>
        <w:adjustRightInd/>
        <w:snapToGrid/>
        <w:spacing w:before="0" w:after="0" w:line="240" w:lineRule="auto"/>
        <w:ind w:right="0" w:firstLine="640"/>
        <w:textAlignment w:val="auto"/>
        <w:outlineLvl w:val="9"/>
      </w:pPr>
      <w:r>
        <w:rPr>
          <w:rFonts w:hint="eastAsia" w:ascii="仿宋" w:hAnsi="仿宋" w:eastAsia="仿宋" w:cs="仿宋"/>
          <w:b/>
          <w:bCs w:val="0"/>
        </w:rPr>
        <w:t>第十六条【运营权期限】</w:t>
      </w:r>
      <w:r>
        <w:rPr>
          <w:rFonts w:hint="eastAsia"/>
        </w:rPr>
        <w:t>城市公共汽电车线路运营权实行期限制，具体期限由城市公共交通管理</w:t>
      </w:r>
      <w:r>
        <w:t>部门提出并报请城市人民政府</w:t>
      </w:r>
      <w:r>
        <w:rPr>
          <w:rFonts w:hint="eastAsia"/>
        </w:rPr>
        <w:t>同意</w:t>
      </w:r>
      <w:r>
        <w:t>后</w:t>
      </w:r>
      <w:r>
        <w:rPr>
          <w:rFonts w:hint="eastAsia"/>
        </w:rPr>
        <w:t>确定。</w:t>
      </w:r>
    </w:p>
    <w:p>
      <w:pPr>
        <w:widowControl w:val="0"/>
        <w:wordWrap/>
        <w:adjustRightInd/>
        <w:snapToGrid/>
        <w:spacing w:before="0" w:after="0" w:line="240" w:lineRule="auto"/>
        <w:ind w:right="0" w:firstLine="640"/>
        <w:textAlignment w:val="auto"/>
        <w:outlineLvl w:val="9"/>
      </w:pPr>
      <w:r>
        <w:rPr>
          <w:rFonts w:hint="eastAsia" w:ascii="仿宋" w:hAnsi="仿宋" w:eastAsia="仿宋" w:cs="仿宋"/>
          <w:b/>
          <w:bCs w:val="0"/>
        </w:rPr>
        <w:t>第十七条【线路运营服务协议】</w:t>
      </w:r>
      <w:r>
        <w:rPr>
          <w:rFonts w:hint="eastAsia"/>
        </w:rPr>
        <w:t>城市公共交通管理部门应当与取得线路运营权的运营企业</w:t>
      </w:r>
      <w:r>
        <w:t>签署</w:t>
      </w:r>
      <w:r>
        <w:rPr>
          <w:rFonts w:hint="eastAsia"/>
        </w:rPr>
        <w:t>线路运营服务</w:t>
      </w:r>
      <w:r>
        <w:t>协议</w:t>
      </w:r>
      <w:r>
        <w:rPr>
          <w:rFonts w:hint="eastAsia"/>
        </w:rPr>
        <w:t>。</w:t>
      </w:r>
    </w:p>
    <w:p>
      <w:pPr>
        <w:widowControl w:val="0"/>
        <w:wordWrap/>
        <w:adjustRightInd/>
        <w:snapToGrid/>
        <w:spacing w:before="0" w:after="0" w:line="240" w:lineRule="auto"/>
        <w:ind w:right="0" w:firstLine="640"/>
        <w:textAlignment w:val="auto"/>
        <w:outlineLvl w:val="9"/>
      </w:pPr>
      <w:r>
        <w:rPr>
          <w:rFonts w:hint="eastAsia"/>
        </w:rPr>
        <w:t>城市公共汽电车线路运营服务协议应当明确以下内容：</w:t>
      </w:r>
    </w:p>
    <w:p>
      <w:pPr>
        <w:widowControl w:val="0"/>
        <w:wordWrap/>
        <w:adjustRightInd/>
        <w:snapToGrid/>
        <w:spacing w:before="0" w:after="0" w:line="240" w:lineRule="auto"/>
        <w:ind w:right="0" w:firstLine="640"/>
        <w:textAlignment w:val="auto"/>
        <w:outlineLvl w:val="9"/>
      </w:pPr>
      <w:r>
        <w:t>（一）运营</w:t>
      </w:r>
      <w:r>
        <w:rPr>
          <w:rFonts w:hint="eastAsia"/>
        </w:rPr>
        <w:t>线路、</w:t>
      </w:r>
      <w:r>
        <w:t>站点设置、配置车辆</w:t>
      </w:r>
      <w:r>
        <w:rPr>
          <w:rFonts w:hint="eastAsia"/>
        </w:rPr>
        <w:t>数及车型、首末班次</w:t>
      </w:r>
      <w:r>
        <w:t>时间、</w:t>
      </w:r>
      <w:r>
        <w:rPr>
          <w:rFonts w:hint="eastAsia"/>
        </w:rPr>
        <w:t>运营</w:t>
      </w:r>
      <w:r>
        <w:t>间隔、线路</w:t>
      </w:r>
      <w:r>
        <w:rPr>
          <w:rFonts w:hint="eastAsia"/>
        </w:rPr>
        <w:t>运营权</w:t>
      </w:r>
      <w:r>
        <w:t>期限等</w:t>
      </w:r>
      <w:r>
        <w:rPr>
          <w:rFonts w:hint="eastAsia"/>
        </w:rPr>
        <w:t>；</w:t>
      </w:r>
    </w:p>
    <w:p>
      <w:pPr>
        <w:widowControl w:val="0"/>
        <w:wordWrap/>
        <w:adjustRightInd/>
        <w:snapToGrid/>
        <w:spacing w:before="0" w:after="0" w:line="240" w:lineRule="auto"/>
        <w:ind w:right="0" w:firstLine="640"/>
        <w:textAlignment w:val="auto"/>
        <w:outlineLvl w:val="9"/>
      </w:pPr>
      <w:r>
        <w:rPr>
          <w:rFonts w:hint="eastAsia"/>
        </w:rPr>
        <w:t>（二</w:t>
      </w:r>
      <w:r>
        <w:t>）运营服务</w:t>
      </w:r>
      <w:r>
        <w:rPr>
          <w:rFonts w:hint="eastAsia"/>
        </w:rPr>
        <w:t>标准</w:t>
      </w:r>
      <w:r>
        <w:t>；</w:t>
      </w:r>
    </w:p>
    <w:p>
      <w:pPr>
        <w:widowControl w:val="0"/>
        <w:wordWrap/>
        <w:adjustRightInd/>
        <w:snapToGrid/>
        <w:spacing w:before="0" w:after="0" w:line="240" w:lineRule="auto"/>
        <w:ind w:right="0" w:firstLine="640"/>
        <w:textAlignment w:val="auto"/>
        <w:outlineLvl w:val="9"/>
      </w:pPr>
      <w:r>
        <w:t>（三）安全保障制度</w:t>
      </w:r>
      <w:r>
        <w:rPr>
          <w:rFonts w:hint="eastAsia"/>
        </w:rPr>
        <w:t>、</w:t>
      </w:r>
      <w:r>
        <w:t>措施和责任；</w:t>
      </w:r>
    </w:p>
    <w:p>
      <w:pPr>
        <w:widowControl w:val="0"/>
        <w:wordWrap/>
        <w:adjustRightInd/>
        <w:snapToGrid/>
        <w:spacing w:before="0" w:after="0" w:line="240" w:lineRule="auto"/>
        <w:ind w:right="0" w:firstLine="640"/>
        <w:textAlignment w:val="auto"/>
        <w:outlineLvl w:val="9"/>
      </w:pPr>
      <w:r>
        <w:rPr>
          <w:rFonts w:hint="eastAsia"/>
        </w:rPr>
        <w:t>（四）执行的票制、票价</w:t>
      </w:r>
      <w:r>
        <w:t>；</w:t>
      </w:r>
    </w:p>
    <w:p>
      <w:pPr>
        <w:widowControl w:val="0"/>
        <w:wordWrap/>
        <w:adjustRightInd/>
        <w:snapToGrid/>
        <w:spacing w:before="0" w:after="0" w:line="240" w:lineRule="auto"/>
        <w:ind w:right="0" w:firstLine="640"/>
        <w:textAlignment w:val="auto"/>
        <w:outlineLvl w:val="9"/>
      </w:pPr>
      <w:r>
        <w:rPr>
          <w:rFonts w:hint="eastAsia"/>
        </w:rPr>
        <w:t>（五）线路运营权的变更、延续、暂停、终止的条件和方式；</w:t>
      </w:r>
    </w:p>
    <w:p>
      <w:pPr>
        <w:widowControl w:val="0"/>
        <w:wordWrap/>
        <w:adjustRightInd/>
        <w:snapToGrid/>
        <w:spacing w:before="0" w:after="0" w:line="240" w:lineRule="auto"/>
        <w:ind w:right="0" w:firstLine="640"/>
        <w:textAlignment w:val="auto"/>
        <w:outlineLvl w:val="9"/>
      </w:pPr>
      <w:r>
        <w:rPr>
          <w:rFonts w:hint="eastAsia"/>
        </w:rPr>
        <w:t>（六）履约担保；</w:t>
      </w:r>
    </w:p>
    <w:p>
      <w:pPr>
        <w:widowControl w:val="0"/>
        <w:wordWrap/>
        <w:adjustRightInd/>
        <w:snapToGrid/>
        <w:spacing w:before="0" w:after="0" w:line="240" w:lineRule="auto"/>
        <w:ind w:right="0" w:firstLine="640"/>
        <w:textAlignment w:val="auto"/>
        <w:outlineLvl w:val="9"/>
      </w:pPr>
      <w:r>
        <w:rPr>
          <w:rFonts w:hint="eastAsia"/>
        </w:rPr>
        <w:t>（七）运营期限内的风险分担；</w:t>
      </w:r>
    </w:p>
    <w:p>
      <w:pPr>
        <w:widowControl w:val="0"/>
        <w:wordWrap/>
        <w:adjustRightInd/>
        <w:snapToGrid/>
        <w:spacing w:before="0" w:after="0" w:line="240" w:lineRule="auto"/>
        <w:ind w:right="0" w:firstLine="640"/>
        <w:textAlignment w:val="auto"/>
        <w:outlineLvl w:val="9"/>
      </w:pPr>
      <w:r>
        <w:rPr>
          <w:rFonts w:hint="eastAsia"/>
        </w:rPr>
        <w:t>（八）应急</w:t>
      </w:r>
      <w:r>
        <w:t>预案和临时</w:t>
      </w:r>
      <w:r>
        <w:rPr>
          <w:rFonts w:hint="eastAsia"/>
        </w:rPr>
        <w:t>接管</w:t>
      </w:r>
      <w:r>
        <w:t>预案；</w:t>
      </w:r>
    </w:p>
    <w:p>
      <w:pPr>
        <w:widowControl w:val="0"/>
        <w:wordWrap/>
        <w:adjustRightInd/>
        <w:snapToGrid/>
        <w:spacing w:before="0" w:after="0" w:line="240" w:lineRule="auto"/>
        <w:ind w:right="0" w:firstLine="640"/>
        <w:textAlignment w:val="auto"/>
        <w:outlineLvl w:val="9"/>
      </w:pPr>
      <w:r>
        <w:rPr>
          <w:rFonts w:hint="eastAsia"/>
        </w:rPr>
        <w:t>（九）违约责任；</w:t>
      </w:r>
    </w:p>
    <w:p>
      <w:pPr>
        <w:widowControl w:val="0"/>
        <w:wordWrap/>
        <w:adjustRightInd/>
        <w:snapToGrid/>
        <w:spacing w:before="0" w:after="0" w:line="240" w:lineRule="auto"/>
        <w:ind w:right="0" w:firstLine="640"/>
        <w:textAlignment w:val="auto"/>
        <w:outlineLvl w:val="9"/>
      </w:pPr>
      <w:r>
        <w:rPr>
          <w:rFonts w:hint="eastAsia"/>
        </w:rPr>
        <w:t>（十）争议调解方式；</w:t>
      </w:r>
    </w:p>
    <w:p>
      <w:pPr>
        <w:widowControl w:val="0"/>
        <w:wordWrap/>
        <w:adjustRightInd/>
        <w:snapToGrid/>
        <w:spacing w:before="0" w:after="0" w:line="240" w:lineRule="auto"/>
        <w:ind w:right="0" w:firstLine="640"/>
        <w:textAlignment w:val="auto"/>
        <w:outlineLvl w:val="9"/>
      </w:pPr>
      <w:r>
        <w:rPr>
          <w:rFonts w:hint="eastAsia"/>
        </w:rPr>
        <w:t>（十一）双方的其他权利和义务；</w:t>
      </w:r>
    </w:p>
    <w:p>
      <w:pPr>
        <w:widowControl w:val="0"/>
        <w:wordWrap/>
        <w:adjustRightInd/>
        <w:snapToGrid/>
        <w:spacing w:before="0" w:after="0" w:line="240" w:lineRule="auto"/>
        <w:ind w:right="0" w:firstLine="640"/>
        <w:textAlignment w:val="auto"/>
        <w:outlineLvl w:val="9"/>
      </w:pPr>
      <w:r>
        <w:rPr>
          <w:rFonts w:hint="eastAsia"/>
        </w:rPr>
        <w:t xml:space="preserve">（十二）双方认为应当约定的其他事项。 </w:t>
      </w:r>
    </w:p>
    <w:p>
      <w:pPr>
        <w:widowControl w:val="0"/>
        <w:wordWrap/>
        <w:adjustRightInd/>
        <w:snapToGrid/>
        <w:spacing w:before="0" w:after="0" w:line="240" w:lineRule="auto"/>
        <w:ind w:right="0" w:firstLine="640"/>
        <w:textAlignment w:val="auto"/>
        <w:outlineLvl w:val="9"/>
      </w:pPr>
      <w:r>
        <w:t>在</w:t>
      </w:r>
      <w:r>
        <w:rPr>
          <w:rFonts w:hint="eastAsia"/>
        </w:rPr>
        <w:t>线路运营服务</w:t>
      </w:r>
      <w:r>
        <w:t>协议有效期限内，确需变更协议内容的，协议双方应当在共同协商的基础上签订补充协议。</w:t>
      </w:r>
    </w:p>
    <w:p>
      <w:pPr>
        <w:widowControl w:val="0"/>
        <w:wordWrap/>
        <w:adjustRightInd/>
        <w:snapToGrid/>
        <w:spacing w:before="0" w:after="0" w:line="240" w:lineRule="auto"/>
        <w:ind w:right="0" w:firstLine="640"/>
        <w:textAlignment w:val="auto"/>
        <w:outlineLvl w:val="9"/>
      </w:pPr>
      <w:r>
        <w:rPr>
          <w:rFonts w:hint="eastAsia" w:ascii="仿宋" w:hAnsi="仿宋" w:eastAsia="仿宋" w:cs="仿宋"/>
          <w:b/>
          <w:bCs w:val="0"/>
        </w:rPr>
        <w:t>第十八条【线路运营权期限届满】</w:t>
      </w:r>
      <w:r>
        <w:rPr>
          <w:rFonts w:hint="eastAsia"/>
        </w:rPr>
        <w:t>城市公共汽电车线路运营权期限届满，由城市公共交通管理部门按照本规定第十四条重新确定取得该线路运营权的运营企业。</w:t>
      </w:r>
    </w:p>
    <w:p>
      <w:pPr>
        <w:widowControl w:val="0"/>
        <w:wordWrap/>
        <w:adjustRightInd/>
        <w:snapToGrid/>
        <w:spacing w:before="0" w:after="0" w:line="240" w:lineRule="auto"/>
        <w:ind w:right="0" w:firstLine="640"/>
        <w:textAlignment w:val="auto"/>
        <w:outlineLvl w:val="9"/>
      </w:pPr>
      <w:r>
        <w:rPr>
          <w:rFonts w:hint="eastAsia" w:ascii="仿宋" w:hAnsi="仿宋" w:eastAsia="仿宋" w:cs="仿宋"/>
          <w:b/>
          <w:bCs w:val="0"/>
        </w:rPr>
        <w:t>第十九条【暂停线路运营】</w:t>
      </w:r>
      <w:r>
        <w:rPr>
          <w:rFonts w:hint="eastAsia"/>
        </w:rPr>
        <w:t>获得城市</w:t>
      </w:r>
      <w:r>
        <w:t>公共</w:t>
      </w:r>
      <w:r>
        <w:rPr>
          <w:rFonts w:hint="eastAsia"/>
        </w:rPr>
        <w:t>汽电车</w:t>
      </w:r>
      <w:r>
        <w:t>线路运营权的运营企业，</w:t>
      </w:r>
      <w:r>
        <w:rPr>
          <w:rFonts w:hint="eastAsia"/>
        </w:rPr>
        <w:t>应当</w:t>
      </w:r>
      <w:r>
        <w:t>按照</w:t>
      </w:r>
      <w:r>
        <w:rPr>
          <w:rFonts w:hint="eastAsia"/>
        </w:rPr>
        <w:t>线路运营</w:t>
      </w:r>
      <w:r>
        <w:t>服务协议要求提供连续服务，未经城市公共交通管理部门批准</w:t>
      </w:r>
      <w:r>
        <w:rPr>
          <w:rFonts w:hint="eastAsia"/>
        </w:rPr>
        <w:t>，不得</w:t>
      </w:r>
      <w:r>
        <w:t>擅自停止运营。</w:t>
      </w:r>
    </w:p>
    <w:p>
      <w:pPr>
        <w:widowControl w:val="0"/>
        <w:wordWrap/>
        <w:adjustRightInd/>
        <w:snapToGrid/>
        <w:spacing w:before="0" w:after="0" w:line="240" w:lineRule="auto"/>
        <w:ind w:right="0" w:firstLine="640"/>
        <w:textAlignment w:val="auto"/>
        <w:outlineLvl w:val="9"/>
      </w:pPr>
      <w:r>
        <w:rPr>
          <w:rFonts w:hint="eastAsia"/>
        </w:rPr>
        <w:t>除</w:t>
      </w:r>
      <w:r>
        <w:t>破产</w:t>
      </w:r>
      <w:r>
        <w:rPr>
          <w:rFonts w:hint="eastAsia"/>
        </w:rPr>
        <w:t>、</w:t>
      </w:r>
      <w:r>
        <w:t>解散</w:t>
      </w:r>
      <w:r>
        <w:rPr>
          <w:rFonts w:hint="eastAsia"/>
        </w:rPr>
        <w:t>或</w:t>
      </w:r>
      <w:r>
        <w:t>不可抗力原因外，运</w:t>
      </w:r>
      <w:r>
        <w:rPr>
          <w:rFonts w:hint="eastAsia"/>
        </w:rPr>
        <w:t>营企业需要暂停城市公共汽电车线路运营的，应当提前3个月向城市公共交通管理部门提出申请。经批准的，运营企业应当按照城市公共交通管理部门的要求，自获得批准之日起7日内向社会公告；城市公共交通管理部门应当根据需要，采取临时指定</w:t>
      </w:r>
      <w:r>
        <w:t>运</w:t>
      </w:r>
      <w:r>
        <w:rPr>
          <w:rFonts w:hint="eastAsia"/>
        </w:rPr>
        <w:t>营企业、调配车辆等应对措施，保障社会公众出行需求。</w:t>
      </w:r>
    </w:p>
    <w:p>
      <w:pPr>
        <w:widowControl w:val="0"/>
        <w:wordWrap/>
        <w:adjustRightInd/>
        <w:snapToGrid/>
        <w:spacing w:before="0" w:after="0" w:line="240" w:lineRule="auto"/>
        <w:ind w:right="0" w:firstLine="640"/>
        <w:textAlignment w:val="auto"/>
        <w:outlineLvl w:val="9"/>
      </w:pPr>
      <w:r>
        <w:rPr>
          <w:rFonts w:hint="eastAsia" w:ascii="仿宋" w:hAnsi="仿宋" w:eastAsia="仿宋" w:cs="仿宋"/>
          <w:b/>
          <w:bCs w:val="0"/>
        </w:rPr>
        <w:t>第二十条【终止线路运营】</w:t>
      </w:r>
      <w:r>
        <w:rPr>
          <w:rFonts w:hint="eastAsia"/>
        </w:rPr>
        <w:t>在线路运营权</w:t>
      </w:r>
      <w:r>
        <w:t>期限内</w:t>
      </w:r>
      <w:r>
        <w:rPr>
          <w:rFonts w:hint="eastAsia"/>
        </w:rPr>
        <w:t>，运营企业因破产、解散、被撤销线路运营权以及</w:t>
      </w:r>
      <w:r>
        <w:t>不可抗力</w:t>
      </w:r>
      <w:r>
        <w:rPr>
          <w:rFonts w:hint="eastAsia"/>
        </w:rPr>
        <w:t>等原因不能运营时，城市公共交通管理部门应当依据本规定第十四条，重新确定线路运营主体。</w:t>
      </w:r>
    </w:p>
    <w:p>
      <w:pPr>
        <w:widowControl w:val="0"/>
        <w:wordWrap/>
        <w:adjustRightInd/>
        <w:snapToGrid/>
        <w:spacing w:before="0" w:after="0" w:line="240" w:lineRule="auto"/>
        <w:ind w:right="0" w:firstLine="640"/>
        <w:textAlignment w:val="auto"/>
        <w:outlineLvl w:val="9"/>
      </w:pPr>
      <w:r>
        <w:rPr>
          <w:rFonts w:hint="eastAsia"/>
        </w:rPr>
        <w:t>在</w:t>
      </w:r>
      <w:r>
        <w:t>线路</w:t>
      </w:r>
      <w:r>
        <w:rPr>
          <w:rFonts w:hint="eastAsia"/>
        </w:rPr>
        <w:t>运营权</w:t>
      </w:r>
      <w:r>
        <w:t>期限内</w:t>
      </w:r>
      <w:r>
        <w:rPr>
          <w:rFonts w:hint="eastAsia"/>
        </w:rPr>
        <w:t>，</w:t>
      </w:r>
      <w:r>
        <w:t>运</w:t>
      </w:r>
      <w:r>
        <w:rPr>
          <w:rFonts w:hint="eastAsia"/>
        </w:rPr>
        <w:t>营企业</w:t>
      </w:r>
      <w:r>
        <w:t>因</w:t>
      </w:r>
      <w:r>
        <w:rPr>
          <w:rFonts w:hint="eastAsia"/>
        </w:rPr>
        <w:t>破产</w:t>
      </w:r>
      <w:r>
        <w:t>、解散</w:t>
      </w:r>
      <w:r>
        <w:rPr>
          <w:rFonts w:hint="eastAsia"/>
        </w:rPr>
        <w:t>等</w:t>
      </w:r>
      <w:r>
        <w:t>原因不能正常运营的，应当提前</w:t>
      </w:r>
      <w:r>
        <w:rPr>
          <w:rFonts w:hint="eastAsia"/>
        </w:rPr>
        <w:t>书面</w:t>
      </w:r>
      <w:r>
        <w:t>告知城市公共交通管理部门。</w:t>
      </w:r>
    </w:p>
    <w:p>
      <w:pPr>
        <w:widowControl w:val="0"/>
        <w:wordWrap/>
        <w:adjustRightInd/>
        <w:snapToGrid/>
        <w:spacing w:before="0" w:after="0" w:line="240" w:lineRule="auto"/>
        <w:ind w:right="0" w:firstLine="640"/>
        <w:textAlignment w:val="auto"/>
        <w:outlineLvl w:val="9"/>
      </w:pPr>
      <w:r>
        <w:t>运</w:t>
      </w:r>
      <w:r>
        <w:rPr>
          <w:rFonts w:hint="eastAsia"/>
        </w:rPr>
        <w:t>营企业合并、分立的，应当按照</w:t>
      </w:r>
      <w:r>
        <w:t>上述规定</w:t>
      </w:r>
      <w:r>
        <w:rPr>
          <w:rFonts w:hint="eastAsia"/>
        </w:rPr>
        <w:t>申请终止其既有线路运营权。符合本规定第十五条相关要求的，城市公共交通管理部门可将有关线路运营权直接授予合并、分立后的运营企业，并与之签订线路运营服务协议；不符合相关要求的，城市公共交通管理部门应当按照本规定第十四条，重新确定线路运营企业。</w:t>
      </w:r>
    </w:p>
    <w:p>
      <w:pPr>
        <w:widowControl w:val="0"/>
        <w:wordWrap/>
        <w:adjustRightInd/>
        <w:snapToGrid/>
        <w:spacing w:before="0" w:after="0" w:line="240" w:lineRule="auto"/>
        <w:ind w:right="0" w:firstLine="640"/>
        <w:textAlignment w:val="auto"/>
        <w:outlineLvl w:val="9"/>
      </w:pPr>
      <w:r>
        <w:rPr>
          <w:rFonts w:hint="eastAsia" w:ascii="仿宋" w:hAnsi="仿宋" w:eastAsia="仿宋" w:cs="仿宋"/>
          <w:b/>
          <w:bCs w:val="0"/>
        </w:rPr>
        <w:t>第二十一条【票制票价】</w:t>
      </w:r>
      <w:r>
        <w:rPr>
          <w:rFonts w:hint="eastAsia"/>
        </w:rPr>
        <w:t>城市公共汽电车的票价实行成本定价，票制票价的制定和调整，应当</w:t>
      </w:r>
      <w:r>
        <w:rPr>
          <w:rFonts w:hint="eastAsia" w:hAnsi="仿宋_GB2312"/>
          <w:bCs w:val="0"/>
          <w:shd w:val="clear" w:color="auto" w:fill="FFFFFF"/>
        </w:rPr>
        <w:t>依据成本票价，并</w:t>
      </w:r>
      <w:r>
        <w:t>按照</w:t>
      </w:r>
      <w:r>
        <w:rPr>
          <w:rFonts w:hint="eastAsia"/>
        </w:rPr>
        <w:t>鼓励社会公众优先选择城市公共交通出行的原则，统筹考虑社会公众承受能力、政府财政状况和出行距离等因素，确定执行票制票价。</w:t>
      </w:r>
    </w:p>
    <w:p>
      <w:pPr>
        <w:widowControl w:val="0"/>
        <w:wordWrap/>
        <w:adjustRightInd/>
        <w:snapToGrid/>
        <w:spacing w:before="0" w:after="0" w:line="240" w:lineRule="auto"/>
        <w:ind w:right="0" w:firstLine="640"/>
        <w:textAlignment w:val="auto"/>
        <w:outlineLvl w:val="9"/>
      </w:pPr>
      <w:r>
        <w:rPr>
          <w:rFonts w:hint="eastAsia"/>
        </w:rPr>
        <w:t>运营企业</w:t>
      </w:r>
      <w:r>
        <w:t>应当执行</w:t>
      </w:r>
      <w:r>
        <w:rPr>
          <w:rFonts w:hint="eastAsia"/>
        </w:rPr>
        <w:t>城市人民政府</w:t>
      </w:r>
      <w:r>
        <w:t>确定的</w:t>
      </w:r>
      <w:r>
        <w:rPr>
          <w:rFonts w:hint="eastAsia"/>
        </w:rPr>
        <w:t>城市公共汽电车</w:t>
      </w:r>
      <w:r>
        <w:t>票制票价。</w:t>
      </w:r>
    </w:p>
    <w:p>
      <w:pPr>
        <w:widowControl w:val="0"/>
        <w:wordWrap/>
        <w:adjustRightInd/>
        <w:snapToGrid/>
        <w:spacing w:before="0" w:after="0" w:line="240" w:lineRule="auto"/>
        <w:ind w:right="0" w:firstLine="640"/>
        <w:textAlignment w:val="auto"/>
        <w:outlineLvl w:val="9"/>
      </w:pPr>
      <w:r>
        <w:rPr>
          <w:rFonts w:hint="eastAsia" w:ascii="仿宋" w:hAnsi="仿宋" w:eastAsia="仿宋" w:cs="仿宋"/>
          <w:b/>
          <w:bCs w:val="0"/>
        </w:rPr>
        <w:t>第二十二条【运营成本核算】</w:t>
      </w:r>
      <w:r>
        <w:rPr>
          <w:rFonts w:hint="eastAsia"/>
        </w:rPr>
        <w:t>运营企业应当按照国家有关规定建立企业财务会计制度，加强财务管理和会计核算，并按要求向城市公共交通管理部门报送运营信息、统计报表和成本费用年度核算报告等资料。成本费用年度核算报告内容应当包括运营企业实际执行票价低于运营成本的部分，执行政府乘车优惠政策减少的收入，以及执行抢险救灾等政府指令性任务增加的支出。</w:t>
      </w:r>
    </w:p>
    <w:p>
      <w:pPr>
        <w:widowControl w:val="0"/>
        <w:wordWrap/>
        <w:adjustRightInd/>
        <w:snapToGrid/>
        <w:spacing w:before="0" w:after="0" w:line="240" w:lineRule="auto"/>
        <w:ind w:right="0" w:firstLine="640"/>
        <w:textAlignment w:val="auto"/>
        <w:outlineLvl w:val="9"/>
      </w:pPr>
      <w:r>
        <w:rPr>
          <w:rFonts w:hint="eastAsia" w:ascii="仿宋" w:hAnsi="仿宋" w:eastAsia="仿宋" w:cs="仿宋"/>
          <w:b/>
          <w:bCs w:val="0"/>
        </w:rPr>
        <w:t>第二十三条【补偿补贴】</w:t>
      </w:r>
      <w:r>
        <w:t>城市公共交通管理部门应当会同有关部门建立</w:t>
      </w:r>
      <w:r>
        <w:rPr>
          <w:rFonts w:hint="eastAsia"/>
        </w:rPr>
        <w:t>运营企业的运营</w:t>
      </w:r>
      <w:r>
        <w:t>成本核算制度</w:t>
      </w:r>
      <w:r>
        <w:rPr>
          <w:rFonts w:hint="eastAsia"/>
        </w:rPr>
        <w:t>和</w:t>
      </w:r>
      <w:r>
        <w:t>补偿、补贴</w:t>
      </w:r>
      <w:r>
        <w:rPr>
          <w:rFonts w:hint="eastAsia"/>
        </w:rPr>
        <w:t>制度。</w:t>
      </w:r>
    </w:p>
    <w:p>
      <w:pPr>
        <w:widowControl w:val="0"/>
        <w:wordWrap/>
        <w:adjustRightInd/>
        <w:snapToGrid/>
        <w:spacing w:before="0" w:after="0" w:line="240" w:lineRule="auto"/>
        <w:ind w:right="0" w:firstLine="640"/>
        <w:textAlignment w:val="auto"/>
        <w:outlineLvl w:val="9"/>
      </w:pPr>
      <w:r>
        <w:rPr>
          <w:rFonts w:hint="eastAsia"/>
        </w:rPr>
        <w:t>对于运营企业</w:t>
      </w:r>
      <w:r>
        <w:t>按照有关规定</w:t>
      </w:r>
      <w:r>
        <w:rPr>
          <w:rFonts w:hint="eastAsia"/>
        </w:rPr>
        <w:t>和要求</w:t>
      </w:r>
      <w:r>
        <w:t>对有关人员提供免费及优惠乘车服务、执行票价低于成本票价等所减少的运营收入</w:t>
      </w:r>
      <w:r>
        <w:rPr>
          <w:rFonts w:hint="eastAsia"/>
        </w:rPr>
        <w:t>，以及</w:t>
      </w:r>
      <w:r>
        <w:t>因承担政府指令性任务</w:t>
      </w:r>
      <w:r>
        <w:rPr>
          <w:rFonts w:hint="eastAsia"/>
        </w:rPr>
        <w:t>所造成</w:t>
      </w:r>
      <w:r>
        <w:t>的政策性亏损，应当</w:t>
      </w:r>
      <w:r>
        <w:rPr>
          <w:rFonts w:hint="eastAsia"/>
        </w:rPr>
        <w:t>按规定</w:t>
      </w:r>
      <w:r>
        <w:t>予以补偿</w:t>
      </w:r>
      <w:r>
        <w:rPr>
          <w:rFonts w:hint="eastAsia"/>
        </w:rPr>
        <w:t>、</w:t>
      </w:r>
      <w:r>
        <w:t>补贴。</w:t>
      </w:r>
    </w:p>
    <w:p>
      <w:pPr>
        <w:widowControl w:val="0"/>
        <w:wordWrap/>
        <w:adjustRightInd/>
        <w:snapToGrid/>
        <w:spacing w:before="0" w:after="0" w:line="240" w:lineRule="auto"/>
        <w:ind w:right="0" w:firstLine="0" w:firstLineChars="0"/>
        <w:jc w:val="center"/>
        <w:textAlignment w:val="auto"/>
        <w:outlineLvl w:val="9"/>
        <w:rPr>
          <w:rFonts w:ascii="黑体" w:hAnsi="黑体"/>
        </w:rPr>
      </w:pPr>
      <w:r>
        <w:rPr>
          <w:rFonts w:hint="eastAsia" w:ascii="仿宋" w:hAnsi="仿宋" w:eastAsia="仿宋" w:cs="仿宋"/>
          <w:b/>
          <w:bCs w:val="0"/>
        </w:rPr>
        <w:t>第四章 运营服务</w:t>
      </w:r>
    </w:p>
    <w:p>
      <w:pPr>
        <w:widowControl w:val="0"/>
        <w:wordWrap/>
        <w:adjustRightInd/>
        <w:snapToGrid/>
        <w:spacing w:before="0" w:after="0" w:line="240" w:lineRule="auto"/>
        <w:ind w:right="0" w:firstLine="640"/>
        <w:textAlignment w:val="auto"/>
        <w:outlineLvl w:val="9"/>
        <w:rPr>
          <w:rFonts w:ascii="黑体" w:hAnsi="黑体"/>
        </w:rPr>
      </w:pPr>
      <w:r>
        <w:rPr>
          <w:rFonts w:hint="eastAsia" w:ascii="仿宋" w:hAnsi="仿宋" w:eastAsia="仿宋" w:cs="仿宋"/>
          <w:b/>
          <w:bCs w:val="0"/>
        </w:rPr>
        <w:t>第二十四条【企业服务质量要求】</w:t>
      </w:r>
      <w:r>
        <w:rPr>
          <w:rFonts w:hint="eastAsia"/>
        </w:rPr>
        <w:t>运营企业应当按照线路运营服务协议规定的线路、站点、运营间隔、首末班次时间、车辆数、车型等组织运营。未经城市公共交通管理部门批准，运营企业不得擅自改变线路运营服务协议</w:t>
      </w:r>
      <w:r>
        <w:t>规定的</w:t>
      </w:r>
      <w:r>
        <w:rPr>
          <w:rFonts w:hint="eastAsia"/>
        </w:rPr>
        <w:t>内容进行运营；确需改变的，应当报请城市公共交通管理部门同意并及时向社会公示后实施。</w:t>
      </w:r>
    </w:p>
    <w:p>
      <w:pPr>
        <w:widowControl w:val="0"/>
        <w:wordWrap/>
        <w:adjustRightInd/>
        <w:snapToGrid/>
        <w:spacing w:before="0" w:after="0" w:line="240" w:lineRule="auto"/>
        <w:ind w:right="0" w:firstLine="640"/>
        <w:textAlignment w:val="auto"/>
        <w:outlineLvl w:val="9"/>
      </w:pPr>
      <w:r>
        <w:rPr>
          <w:rFonts w:hint="eastAsia" w:ascii="仿宋" w:hAnsi="仿宋" w:eastAsia="仿宋" w:cs="仿宋"/>
          <w:b/>
          <w:bCs w:val="0"/>
        </w:rPr>
        <w:t>第二十五条【运营车辆要求】</w:t>
      </w:r>
      <w:r>
        <w:rPr>
          <w:rFonts w:hint="eastAsia"/>
        </w:rPr>
        <w:t>运营企业应当按照线路运营服务协议确定的数量、</w:t>
      </w:r>
      <w:r>
        <w:t>车型</w:t>
      </w:r>
      <w:r>
        <w:rPr>
          <w:rFonts w:hint="eastAsia"/>
        </w:rPr>
        <w:t>配备符合有关标准规定的城市公共汽电车辆，</w:t>
      </w:r>
      <w:r>
        <w:t>并</w:t>
      </w:r>
      <w:r>
        <w:rPr>
          <w:rFonts w:hint="eastAsia"/>
        </w:rPr>
        <w:t>报</w:t>
      </w:r>
      <w:r>
        <w:t>城市公共交通管理部门备案</w:t>
      </w:r>
      <w:r>
        <w:rPr>
          <w:rFonts w:hint="eastAsia"/>
        </w:rPr>
        <w:t>。</w:t>
      </w:r>
    </w:p>
    <w:p>
      <w:pPr>
        <w:widowControl w:val="0"/>
        <w:wordWrap/>
        <w:adjustRightInd/>
        <w:snapToGrid/>
        <w:spacing w:before="0" w:after="0" w:line="240" w:lineRule="auto"/>
        <w:ind w:right="0" w:firstLine="640"/>
        <w:textAlignment w:val="auto"/>
        <w:outlineLvl w:val="9"/>
      </w:pPr>
      <w:r>
        <w:rPr>
          <w:rFonts w:hint="eastAsia" w:ascii="仿宋" w:hAnsi="仿宋" w:eastAsia="仿宋" w:cs="仿宋"/>
          <w:b/>
          <w:bCs w:val="0"/>
        </w:rPr>
        <w:t>第二十六条【车辆服务设施和标识】</w:t>
      </w:r>
      <w:r>
        <w:rPr>
          <w:rFonts w:hint="eastAsia"/>
        </w:rPr>
        <w:t>城市公共汽电车</w:t>
      </w:r>
      <w:r>
        <w:t>运营</w:t>
      </w:r>
      <w:r>
        <w:rPr>
          <w:rFonts w:hint="eastAsia"/>
        </w:rPr>
        <w:t>车辆应当按照有关标准及城市公共交通管理部门的要求，配置符合以下要求的相关</w:t>
      </w:r>
      <w:r>
        <w:t>服务设施</w:t>
      </w:r>
      <w:r>
        <w:rPr>
          <w:rFonts w:hint="eastAsia"/>
        </w:rPr>
        <w:t>和运营标识：</w:t>
      </w:r>
    </w:p>
    <w:p>
      <w:pPr>
        <w:widowControl w:val="0"/>
        <w:wordWrap/>
        <w:adjustRightInd/>
        <w:snapToGrid/>
        <w:spacing w:before="0" w:after="0" w:line="240" w:lineRule="auto"/>
        <w:ind w:right="0" w:firstLine="640"/>
        <w:textAlignment w:val="auto"/>
        <w:outlineLvl w:val="9"/>
      </w:pPr>
      <w:r>
        <w:rPr>
          <w:rFonts w:hint="eastAsia"/>
        </w:rPr>
        <w:t>（一）在规定位置公布运营线路图、价格表；</w:t>
      </w:r>
    </w:p>
    <w:p>
      <w:pPr>
        <w:widowControl w:val="0"/>
        <w:wordWrap/>
        <w:adjustRightInd/>
        <w:snapToGrid/>
        <w:spacing w:before="0" w:after="0" w:line="240" w:lineRule="auto"/>
        <w:ind w:right="0" w:firstLine="640"/>
        <w:textAlignment w:val="auto"/>
        <w:outlineLvl w:val="9"/>
      </w:pPr>
      <w:r>
        <w:rPr>
          <w:rFonts w:hint="eastAsia"/>
        </w:rPr>
        <w:t>（二）在规定位置张贴统一制作的乘车规则和投诉电话；</w:t>
      </w:r>
    </w:p>
    <w:p>
      <w:pPr>
        <w:widowControl w:val="0"/>
        <w:wordWrap/>
        <w:adjustRightInd/>
        <w:snapToGrid/>
        <w:spacing w:before="0" w:after="0" w:line="240" w:lineRule="auto"/>
        <w:ind w:right="0" w:firstLine="640"/>
        <w:textAlignment w:val="auto"/>
        <w:outlineLvl w:val="9"/>
      </w:pPr>
      <w:r>
        <w:rPr>
          <w:rFonts w:hint="eastAsia"/>
        </w:rPr>
        <w:t>（三）在规定位置设置特需乘客专用座位；</w:t>
      </w:r>
    </w:p>
    <w:p>
      <w:pPr>
        <w:widowControl w:val="0"/>
        <w:wordWrap/>
        <w:adjustRightInd/>
        <w:snapToGrid/>
        <w:spacing w:before="0" w:after="0" w:line="240" w:lineRule="auto"/>
        <w:ind w:right="0" w:firstLine="640"/>
        <w:textAlignment w:val="auto"/>
        <w:outlineLvl w:val="9"/>
      </w:pPr>
      <w:r>
        <w:rPr>
          <w:rFonts w:hint="eastAsia"/>
        </w:rPr>
        <w:t>（四）在无人售票车辆上配置符合规定的投币箱、电子读卡器等服务设施；</w:t>
      </w:r>
    </w:p>
    <w:p>
      <w:pPr>
        <w:widowControl w:val="0"/>
        <w:wordWrap/>
        <w:adjustRightInd/>
        <w:snapToGrid/>
        <w:spacing w:before="0" w:after="0" w:line="240" w:lineRule="auto"/>
        <w:ind w:right="0" w:firstLine="640"/>
        <w:textAlignment w:val="auto"/>
        <w:outlineLvl w:val="9"/>
      </w:pPr>
      <w:r>
        <w:rPr>
          <w:rFonts w:hint="eastAsia"/>
        </w:rPr>
        <w:t>（五）规定的其他车辆</w:t>
      </w:r>
      <w:r>
        <w:t>服务</w:t>
      </w:r>
      <w:r>
        <w:rPr>
          <w:rFonts w:hint="eastAsia"/>
        </w:rPr>
        <w:t>设施和标识。</w:t>
      </w:r>
    </w:p>
    <w:p>
      <w:pPr>
        <w:widowControl w:val="0"/>
        <w:wordWrap/>
        <w:adjustRightInd/>
        <w:snapToGrid/>
        <w:spacing w:before="0" w:after="0" w:line="240" w:lineRule="auto"/>
        <w:ind w:right="0" w:firstLine="640"/>
        <w:textAlignment w:val="auto"/>
        <w:outlineLvl w:val="9"/>
      </w:pPr>
      <w:r>
        <w:rPr>
          <w:rFonts w:hint="eastAsia" w:ascii="仿宋" w:hAnsi="仿宋" w:eastAsia="仿宋" w:cs="仿宋"/>
          <w:b/>
          <w:bCs w:val="0"/>
        </w:rPr>
        <w:t>第二十七条【站点服务设施】</w:t>
      </w:r>
      <w:r>
        <w:t>城市</w:t>
      </w:r>
      <w:r>
        <w:rPr>
          <w:rFonts w:hint="eastAsia"/>
        </w:rPr>
        <w:t>公共汽电车首末站</w:t>
      </w:r>
      <w:r>
        <w:t>和中途站</w:t>
      </w:r>
      <w:r>
        <w:rPr>
          <w:rFonts w:hint="eastAsia"/>
        </w:rPr>
        <w:t>应当按照有关标准及城市公共交通管理部门的要求，配置符合以下要求的相关服务设施和运营标识：</w:t>
      </w:r>
    </w:p>
    <w:p>
      <w:pPr>
        <w:widowControl w:val="0"/>
        <w:numPr>
          <w:ilvl w:val="0"/>
          <w:numId w:val="4"/>
        </w:numPr>
        <w:wordWrap/>
        <w:adjustRightInd/>
        <w:snapToGrid/>
        <w:spacing w:before="0" w:after="0" w:line="240" w:lineRule="auto"/>
        <w:ind w:left="0" w:right="0" w:firstLine="640" w:firstLineChars="0"/>
        <w:textAlignment w:val="auto"/>
        <w:outlineLvl w:val="9"/>
      </w:pPr>
      <w:r>
        <w:rPr>
          <w:rFonts w:hint="eastAsia"/>
        </w:rPr>
        <w:t>在规定</w:t>
      </w:r>
      <w:r>
        <w:t>位置公布</w:t>
      </w:r>
      <w:r>
        <w:rPr>
          <w:rFonts w:hint="eastAsia"/>
        </w:rPr>
        <w:t>线路票价、站点名称和服务时间；</w:t>
      </w:r>
    </w:p>
    <w:p>
      <w:pPr>
        <w:widowControl w:val="0"/>
        <w:numPr>
          <w:ilvl w:val="0"/>
          <w:numId w:val="4"/>
        </w:numPr>
        <w:wordWrap/>
        <w:adjustRightInd/>
        <w:snapToGrid/>
        <w:spacing w:before="0" w:after="0" w:line="240" w:lineRule="auto"/>
        <w:ind w:right="0" w:firstLineChars="0"/>
        <w:textAlignment w:val="auto"/>
        <w:outlineLvl w:val="9"/>
      </w:pPr>
      <w:r>
        <w:rPr>
          <w:rFonts w:hint="eastAsia"/>
        </w:rPr>
        <w:t>在规定位置张贴投诉电话；</w:t>
      </w:r>
    </w:p>
    <w:p>
      <w:pPr>
        <w:widowControl w:val="0"/>
        <w:numPr>
          <w:ilvl w:val="0"/>
          <w:numId w:val="4"/>
        </w:numPr>
        <w:wordWrap/>
        <w:adjustRightInd/>
        <w:snapToGrid/>
        <w:spacing w:before="0" w:after="0" w:line="240" w:lineRule="auto"/>
        <w:ind w:right="0" w:firstLineChars="0"/>
        <w:textAlignment w:val="auto"/>
        <w:outlineLvl w:val="9"/>
      </w:pPr>
      <w:r>
        <w:rPr>
          <w:rFonts w:hint="eastAsia"/>
        </w:rPr>
        <w:t>规定的其他站点</w:t>
      </w:r>
      <w:r>
        <w:t>服务</w:t>
      </w:r>
      <w:r>
        <w:rPr>
          <w:rFonts w:hint="eastAsia"/>
        </w:rPr>
        <w:t>设施和标识配置要求。</w:t>
      </w:r>
    </w:p>
    <w:p>
      <w:pPr>
        <w:widowControl w:val="0"/>
        <w:wordWrap/>
        <w:adjustRightInd/>
        <w:snapToGrid/>
        <w:spacing w:before="0" w:after="0" w:line="240" w:lineRule="auto"/>
        <w:ind w:right="0" w:firstLine="640"/>
        <w:textAlignment w:val="auto"/>
        <w:outlineLvl w:val="9"/>
      </w:pPr>
      <w:r>
        <w:rPr>
          <w:rFonts w:hint="eastAsia" w:ascii="仿宋" w:hAnsi="仿宋" w:eastAsia="仿宋" w:cs="仿宋"/>
          <w:b/>
          <w:bCs w:val="0"/>
        </w:rPr>
        <w:t>第二十八条【从业人员条件】</w:t>
      </w:r>
      <w:r>
        <w:rPr>
          <w:rFonts w:hint="eastAsia"/>
        </w:rPr>
        <w:t>运营企业</w:t>
      </w:r>
      <w:r>
        <w:t>聘用的</w:t>
      </w:r>
      <w:r>
        <w:rPr>
          <w:rFonts w:hint="eastAsia"/>
        </w:rPr>
        <w:t>从事城市公共汽电车运营服务的驾驶员</w:t>
      </w:r>
      <w:r>
        <w:t>、</w:t>
      </w:r>
      <w:r>
        <w:rPr>
          <w:rFonts w:hint="eastAsia"/>
        </w:rPr>
        <w:t>乘务员，应当具备</w:t>
      </w:r>
      <w:r>
        <w:t>以下条件：</w:t>
      </w:r>
    </w:p>
    <w:p>
      <w:pPr>
        <w:widowControl w:val="0"/>
        <w:wordWrap/>
        <w:adjustRightInd/>
        <w:snapToGrid/>
        <w:spacing w:before="0" w:after="0" w:line="240" w:lineRule="auto"/>
        <w:ind w:right="0" w:firstLine="640"/>
        <w:textAlignment w:val="auto"/>
        <w:outlineLvl w:val="9"/>
      </w:pPr>
      <w:r>
        <w:rPr>
          <w:rFonts w:hint="eastAsia"/>
        </w:rPr>
        <w:t>（</w:t>
      </w:r>
      <w:r>
        <w:t>一）</w:t>
      </w:r>
      <w:r>
        <w:rPr>
          <w:rFonts w:hint="eastAsia"/>
        </w:rPr>
        <w:t>具有履行岗位职责的能力；</w:t>
      </w:r>
    </w:p>
    <w:p>
      <w:pPr>
        <w:widowControl w:val="0"/>
        <w:wordWrap/>
        <w:adjustRightInd/>
        <w:snapToGrid/>
        <w:spacing w:before="0" w:after="0" w:line="240" w:lineRule="auto"/>
        <w:ind w:right="0" w:firstLine="640"/>
        <w:textAlignment w:val="auto"/>
        <w:outlineLvl w:val="9"/>
      </w:pPr>
      <w:r>
        <w:rPr>
          <w:rFonts w:hint="eastAsia"/>
        </w:rPr>
        <w:t>（</w:t>
      </w:r>
      <w:r>
        <w:t>二）</w:t>
      </w:r>
      <w:r>
        <w:rPr>
          <w:rFonts w:hint="eastAsia"/>
        </w:rPr>
        <w:t>身心健康，无可能危及运营安全的疾病病史；</w:t>
      </w:r>
    </w:p>
    <w:p>
      <w:pPr>
        <w:widowControl w:val="0"/>
        <w:wordWrap/>
        <w:adjustRightInd/>
        <w:snapToGrid/>
        <w:spacing w:before="0" w:after="0" w:line="240" w:lineRule="auto"/>
        <w:ind w:right="0" w:firstLine="640"/>
        <w:textAlignment w:val="auto"/>
        <w:outlineLvl w:val="9"/>
      </w:pPr>
      <w:r>
        <w:rPr>
          <w:rFonts w:hint="eastAsia"/>
        </w:rPr>
        <w:t>（三）无醉酒驾驶或</w:t>
      </w:r>
      <w:r>
        <w:t>犯罪记录</w:t>
      </w:r>
      <w:r>
        <w:rPr>
          <w:rFonts w:hint="eastAsia"/>
        </w:rPr>
        <w:t>。</w:t>
      </w:r>
    </w:p>
    <w:p>
      <w:pPr>
        <w:widowControl w:val="0"/>
        <w:wordWrap/>
        <w:adjustRightInd/>
        <w:snapToGrid/>
        <w:spacing w:before="0" w:after="0" w:line="240" w:lineRule="auto"/>
        <w:ind w:right="0" w:firstLine="640"/>
        <w:textAlignment w:val="auto"/>
        <w:outlineLvl w:val="9"/>
      </w:pPr>
      <w:r>
        <w:rPr>
          <w:rFonts w:hint="eastAsia"/>
        </w:rPr>
        <w:t>除上述</w:t>
      </w:r>
      <w:r>
        <w:t>规定外，</w:t>
      </w:r>
      <w:r>
        <w:rPr>
          <w:rFonts w:hint="eastAsia"/>
        </w:rPr>
        <w:t>从事城市公共汽电车运营服务的驾驶员还应当取得与准驾车型相符的驾驶执照且实习期满，3年内无交通违规</w:t>
      </w:r>
      <w:r>
        <w:t>记满</w:t>
      </w:r>
      <w:r>
        <w:rPr>
          <w:rFonts w:hint="eastAsia"/>
        </w:rPr>
        <w:t>分</w:t>
      </w:r>
      <w:r>
        <w:t>记</w:t>
      </w:r>
      <w:r>
        <w:rPr>
          <w:rFonts w:hint="eastAsia"/>
        </w:rPr>
        <w:t>录，无致人死亡或者重伤的交通责任事故纪录。</w:t>
      </w:r>
    </w:p>
    <w:p>
      <w:pPr>
        <w:widowControl w:val="0"/>
        <w:wordWrap/>
        <w:adjustRightInd/>
        <w:snapToGrid/>
        <w:spacing w:before="0" w:after="0" w:line="240" w:lineRule="auto"/>
        <w:ind w:right="0" w:firstLine="640"/>
        <w:textAlignment w:val="auto"/>
        <w:outlineLvl w:val="9"/>
      </w:pPr>
      <w:r>
        <w:rPr>
          <w:rFonts w:hint="eastAsia" w:ascii="仿宋" w:hAnsi="仿宋" w:eastAsia="仿宋" w:cs="仿宋"/>
          <w:b/>
          <w:bCs w:val="0"/>
        </w:rPr>
        <w:t>第二十九条【从业人员培训要求】</w:t>
      </w:r>
      <w:r>
        <w:rPr>
          <w:rFonts w:hint="eastAsia"/>
        </w:rPr>
        <w:t>运营企业应当按照</w:t>
      </w:r>
      <w:r>
        <w:t>国家有关规定和标准</w:t>
      </w:r>
      <w:r>
        <w:rPr>
          <w:rFonts w:hint="eastAsia"/>
        </w:rPr>
        <w:t>对城市公共汽电车驾驶员、乘务员进行有关法律法规、岗位职责、操作规程、服务规范、安全防范</w:t>
      </w:r>
      <w:r>
        <w:t>和应急处置</w:t>
      </w:r>
      <w:r>
        <w:rPr>
          <w:rFonts w:hint="eastAsia"/>
        </w:rPr>
        <w:t>等基本知识与技能的培训和考核；培训、考核合格的，方可上岗。运营企业应当将相关培训、考核情况建档备查，并报城市公共交通管理部门备案。</w:t>
      </w:r>
    </w:p>
    <w:p>
      <w:pPr>
        <w:widowControl w:val="0"/>
        <w:wordWrap/>
        <w:adjustRightInd/>
        <w:snapToGrid/>
        <w:spacing w:before="0" w:after="0" w:line="240" w:lineRule="auto"/>
        <w:ind w:right="0" w:firstLine="640"/>
        <w:textAlignment w:val="auto"/>
        <w:outlineLvl w:val="9"/>
      </w:pPr>
      <w:r>
        <w:rPr>
          <w:rFonts w:hint="eastAsia" w:ascii="仿宋" w:hAnsi="仿宋" w:eastAsia="仿宋" w:cs="仿宋"/>
          <w:b/>
          <w:bCs w:val="0"/>
        </w:rPr>
        <w:t>第三十条【从业人员服务规范】</w:t>
      </w:r>
      <w:r>
        <w:rPr>
          <w:rFonts w:hint="eastAsia"/>
        </w:rPr>
        <w:t>从事城市公共汽电车运营服务的驾驶员、乘务员，应当遵守以下规定：</w:t>
      </w:r>
    </w:p>
    <w:p>
      <w:pPr>
        <w:widowControl w:val="0"/>
        <w:numPr>
          <w:ilvl w:val="0"/>
          <w:numId w:val="5"/>
        </w:numPr>
        <w:wordWrap/>
        <w:adjustRightInd/>
        <w:snapToGrid/>
        <w:spacing w:before="0" w:after="0" w:line="240" w:lineRule="auto"/>
        <w:ind w:right="0" w:firstLineChars="0"/>
        <w:textAlignment w:val="auto"/>
        <w:outlineLvl w:val="9"/>
      </w:pPr>
      <w:r>
        <w:rPr>
          <w:rFonts w:hint="eastAsia"/>
        </w:rPr>
        <w:t>履行相关服务标准;</w:t>
      </w:r>
    </w:p>
    <w:p>
      <w:pPr>
        <w:widowControl w:val="0"/>
        <w:numPr>
          <w:ilvl w:val="0"/>
          <w:numId w:val="5"/>
        </w:numPr>
        <w:wordWrap/>
        <w:adjustRightInd/>
        <w:snapToGrid/>
        <w:spacing w:before="0" w:after="0" w:line="240" w:lineRule="auto"/>
        <w:ind w:left="0" w:right="0" w:firstLine="547" w:firstLineChars="0"/>
        <w:textAlignment w:val="auto"/>
        <w:outlineLvl w:val="9"/>
      </w:pPr>
      <w:r>
        <w:rPr>
          <w:rFonts w:hint="eastAsia"/>
        </w:rPr>
        <w:t>按照规定的时段、线路和站点运营，不得追抢客源、滞站揽客；</w:t>
      </w:r>
    </w:p>
    <w:p>
      <w:pPr>
        <w:widowControl w:val="0"/>
        <w:wordWrap/>
        <w:adjustRightInd/>
        <w:snapToGrid/>
        <w:spacing w:before="0" w:after="0" w:line="240" w:lineRule="auto"/>
        <w:ind w:right="0" w:firstLine="640"/>
        <w:textAlignment w:val="auto"/>
        <w:outlineLvl w:val="9"/>
      </w:pPr>
      <w:r>
        <w:rPr>
          <w:rFonts w:hint="eastAsia"/>
        </w:rPr>
        <w:t>（三）按照物价部门核准的票价收费，并执行有关优惠乘车的规定；</w:t>
      </w:r>
    </w:p>
    <w:p>
      <w:pPr>
        <w:widowControl w:val="0"/>
        <w:wordWrap/>
        <w:adjustRightInd/>
        <w:snapToGrid/>
        <w:spacing w:before="0" w:after="0" w:line="240" w:lineRule="auto"/>
        <w:ind w:right="0" w:firstLine="640"/>
        <w:textAlignment w:val="auto"/>
        <w:outlineLvl w:val="9"/>
      </w:pPr>
      <w:r>
        <w:rPr>
          <w:rFonts w:hint="eastAsia"/>
        </w:rPr>
        <w:t>（</w:t>
      </w:r>
      <w:r>
        <w:t>四</w:t>
      </w:r>
      <w:r>
        <w:rPr>
          <w:rFonts w:hint="eastAsia"/>
        </w:rPr>
        <w:t>）维护城市公共汽电车场站和车厢内的正常运营秩序，播报线路名称、走向和停靠站，提示安全注意事项；</w:t>
      </w:r>
    </w:p>
    <w:p>
      <w:pPr>
        <w:widowControl w:val="0"/>
        <w:wordWrap/>
        <w:adjustRightInd/>
        <w:snapToGrid/>
        <w:spacing w:before="0" w:after="0" w:line="240" w:lineRule="auto"/>
        <w:ind w:right="0" w:firstLine="640"/>
        <w:textAlignment w:val="auto"/>
        <w:outlineLvl w:val="9"/>
      </w:pPr>
      <w:r>
        <w:rPr>
          <w:rFonts w:hint="eastAsia"/>
        </w:rPr>
        <w:t>（</w:t>
      </w:r>
      <w:r>
        <w:t>五</w:t>
      </w:r>
      <w:r>
        <w:rPr>
          <w:rFonts w:hint="eastAsia"/>
        </w:rPr>
        <w:t>）为老、幼、病、残、孕乘客提供必要的帮助；</w:t>
      </w:r>
    </w:p>
    <w:p>
      <w:pPr>
        <w:widowControl w:val="0"/>
        <w:wordWrap/>
        <w:adjustRightInd/>
        <w:snapToGrid/>
        <w:spacing w:before="0" w:after="0" w:line="240" w:lineRule="auto"/>
        <w:ind w:right="0" w:firstLine="640"/>
        <w:textAlignment w:val="auto"/>
        <w:outlineLvl w:val="9"/>
      </w:pPr>
      <w:r>
        <w:rPr>
          <w:rFonts w:hint="eastAsia"/>
        </w:rPr>
        <w:t>（六）发生突发事件时应当及时处置，保护乘客安全，不得先于乘客弃车逃离；</w:t>
      </w:r>
    </w:p>
    <w:p>
      <w:pPr>
        <w:widowControl w:val="0"/>
        <w:wordWrap/>
        <w:adjustRightInd/>
        <w:snapToGrid/>
        <w:spacing w:before="0" w:after="0" w:line="240" w:lineRule="auto"/>
        <w:ind w:right="0" w:firstLine="640"/>
        <w:textAlignment w:val="auto"/>
        <w:outlineLvl w:val="9"/>
      </w:pPr>
      <w:r>
        <w:rPr>
          <w:rFonts w:hint="eastAsia"/>
        </w:rPr>
        <w:t>（</w:t>
      </w:r>
      <w:r>
        <w:t>七</w:t>
      </w:r>
      <w:r>
        <w:rPr>
          <w:rFonts w:hint="eastAsia"/>
        </w:rPr>
        <w:t>）遵守城市公共交通管理部门制定的其他服务规范。</w:t>
      </w:r>
    </w:p>
    <w:p>
      <w:pPr>
        <w:widowControl w:val="0"/>
        <w:wordWrap/>
        <w:adjustRightInd/>
        <w:snapToGrid/>
        <w:spacing w:before="0" w:after="0" w:line="240" w:lineRule="auto"/>
        <w:ind w:right="0" w:firstLine="640"/>
        <w:textAlignment w:val="auto"/>
        <w:outlineLvl w:val="9"/>
      </w:pPr>
      <w:r>
        <w:rPr>
          <w:rFonts w:hint="eastAsia" w:ascii="仿宋" w:hAnsi="仿宋" w:eastAsia="仿宋" w:cs="仿宋"/>
          <w:b/>
          <w:bCs w:val="0"/>
        </w:rPr>
        <w:t>第三十一条【站点命名】</w:t>
      </w:r>
      <w:r>
        <w:rPr>
          <w:rFonts w:hint="eastAsia"/>
        </w:rPr>
        <w:t>城市公共交通管理部门应当按照有关标准对城市公共汽电车线路、站点进行统一命名，方便乘客出行及换乘。</w:t>
      </w:r>
    </w:p>
    <w:p>
      <w:pPr>
        <w:widowControl w:val="0"/>
        <w:wordWrap/>
        <w:adjustRightInd/>
        <w:snapToGrid/>
        <w:spacing w:before="0" w:after="0" w:line="240" w:lineRule="auto"/>
        <w:ind w:right="0" w:firstLine="640"/>
        <w:textAlignment w:val="auto"/>
        <w:outlineLvl w:val="9"/>
      </w:pPr>
      <w:r>
        <w:rPr>
          <w:rFonts w:hint="eastAsia" w:ascii="仿宋" w:hAnsi="仿宋" w:eastAsia="仿宋" w:cs="仿宋"/>
          <w:b/>
          <w:bCs w:val="0"/>
        </w:rPr>
        <w:t>第三十二条【服务设施管理】</w:t>
      </w:r>
      <w:r>
        <w:rPr>
          <w:rFonts w:hint="eastAsia"/>
        </w:rPr>
        <w:t>城市公共汽电车场站等服务设施的日常管理单位应当按照有关标准和规定，对城市公共汽电车场站等服务设施进行日常管理，</w:t>
      </w:r>
      <w:r>
        <w:t>维护场站的</w:t>
      </w:r>
      <w:r>
        <w:rPr>
          <w:rFonts w:hint="eastAsia"/>
        </w:rPr>
        <w:t>正常</w:t>
      </w:r>
      <w:r>
        <w:t>运营秩序</w:t>
      </w:r>
      <w:r>
        <w:rPr>
          <w:rFonts w:hint="eastAsia"/>
        </w:rPr>
        <w:t>。</w:t>
      </w:r>
    </w:p>
    <w:p>
      <w:pPr>
        <w:widowControl w:val="0"/>
        <w:wordWrap/>
        <w:adjustRightInd/>
        <w:snapToGrid/>
        <w:spacing w:before="0" w:after="0" w:line="240" w:lineRule="auto"/>
        <w:ind w:right="0" w:firstLine="640"/>
        <w:textAlignment w:val="auto"/>
        <w:outlineLvl w:val="9"/>
      </w:pPr>
      <w:r>
        <w:rPr>
          <w:rFonts w:hint="eastAsia"/>
        </w:rPr>
        <w:t>进入城市公共汽电车场站等服务设施的单位和个人，应当遵守城市公共汽电车场站等服务设施运营管理制度。</w:t>
      </w:r>
    </w:p>
    <w:p>
      <w:pPr>
        <w:widowControl w:val="0"/>
        <w:wordWrap/>
        <w:adjustRightInd/>
        <w:snapToGrid/>
        <w:spacing w:before="0" w:after="0" w:line="240" w:lineRule="auto"/>
        <w:ind w:right="0" w:firstLine="640"/>
        <w:textAlignment w:val="auto"/>
        <w:outlineLvl w:val="9"/>
      </w:pPr>
      <w:r>
        <w:rPr>
          <w:rFonts w:hint="eastAsia" w:ascii="仿宋" w:hAnsi="仿宋" w:eastAsia="仿宋" w:cs="仿宋"/>
          <w:b/>
          <w:bCs w:val="0"/>
        </w:rPr>
        <w:t>第三十三条【服务设施维保】</w:t>
      </w:r>
      <w:r>
        <w:rPr>
          <w:rFonts w:hint="eastAsia"/>
        </w:rPr>
        <w:t>城市公共汽电车场站等服务设施的管理单位应当定期对场站等服务设施进行维修、保养，保持技术状况、安全性能符合国家标准。</w:t>
      </w:r>
    </w:p>
    <w:p>
      <w:pPr>
        <w:widowControl w:val="0"/>
        <w:wordWrap/>
        <w:adjustRightInd/>
        <w:snapToGrid/>
        <w:spacing w:before="0" w:after="0" w:line="240" w:lineRule="auto"/>
        <w:ind w:right="0" w:firstLine="640"/>
        <w:textAlignment w:val="auto"/>
        <w:outlineLvl w:val="9"/>
      </w:pPr>
      <w:r>
        <w:rPr>
          <w:rFonts w:hint="eastAsia" w:ascii="仿宋" w:hAnsi="仿宋" w:eastAsia="仿宋" w:cs="仿宋"/>
          <w:b/>
          <w:bCs w:val="0"/>
        </w:rPr>
        <w:t>第三十四条【供配电保障】</w:t>
      </w:r>
      <w:r>
        <w:rPr>
          <w:rFonts w:hint="eastAsia"/>
        </w:rPr>
        <w:t>城市公共电车运营企业应当按照国家有关标准，定期对城市公共电车触线网、馈线网、整流站等供配电设施进行维护，保证其正常使用，并按照国家有关规定设立保护标识。</w:t>
      </w:r>
    </w:p>
    <w:p>
      <w:pPr>
        <w:widowControl w:val="0"/>
        <w:wordWrap/>
        <w:adjustRightInd/>
        <w:snapToGrid/>
        <w:spacing w:before="0" w:after="0" w:line="240" w:lineRule="auto"/>
        <w:ind w:right="0" w:firstLine="640"/>
        <w:textAlignment w:val="auto"/>
        <w:outlineLvl w:val="9"/>
      </w:pPr>
      <w:r>
        <w:rPr>
          <w:rFonts w:hint="eastAsia" w:ascii="仿宋" w:hAnsi="仿宋" w:eastAsia="仿宋" w:cs="仿宋"/>
          <w:b/>
          <w:bCs w:val="0"/>
        </w:rPr>
        <w:t>第三十五条【数据备案与上报】</w:t>
      </w:r>
      <w:r>
        <w:rPr>
          <w:rFonts w:hint="eastAsia"/>
        </w:rPr>
        <w:t>运营企业应当依据城市公共汽电车线路运营服务协议制定行车作业计划，并报城市公共交通管理部门备案。运营企业应当按照行车作业计划调度车辆，并如实记录、保存线路运营情况和数据。</w:t>
      </w:r>
    </w:p>
    <w:p>
      <w:pPr>
        <w:widowControl w:val="0"/>
        <w:wordWrap/>
        <w:adjustRightInd/>
        <w:snapToGrid/>
        <w:spacing w:before="0" w:after="0" w:line="240" w:lineRule="auto"/>
        <w:ind w:right="0" w:firstLine="640"/>
        <w:textAlignment w:val="auto"/>
        <w:outlineLvl w:val="9"/>
      </w:pPr>
      <w:r>
        <w:rPr>
          <w:rFonts w:hint="eastAsia"/>
        </w:rPr>
        <w:t>运营企业应当及时向</w:t>
      </w:r>
      <w:r>
        <w:t>城市</w:t>
      </w:r>
      <w:r>
        <w:rPr>
          <w:rFonts w:hint="eastAsia"/>
        </w:rPr>
        <w:t>公共交通</w:t>
      </w:r>
      <w:r>
        <w:t>管理部门上报相关信息和数据</w:t>
      </w:r>
      <w:r>
        <w:rPr>
          <w:rFonts w:hint="eastAsia"/>
        </w:rPr>
        <w:t>，主要包括</w:t>
      </w:r>
      <w:r>
        <w:t>运营企业</w:t>
      </w:r>
      <w:r>
        <w:rPr>
          <w:rFonts w:hint="eastAsia"/>
        </w:rPr>
        <w:t>人员</w:t>
      </w:r>
      <w:r>
        <w:t>、资产等信息</w:t>
      </w:r>
      <w:r>
        <w:rPr>
          <w:rFonts w:hint="eastAsia"/>
        </w:rPr>
        <w:t>，场站</w:t>
      </w:r>
      <w:r>
        <w:t>、车辆等设施设备</w:t>
      </w:r>
      <w:r>
        <w:rPr>
          <w:rFonts w:hint="eastAsia"/>
        </w:rPr>
        <w:t>相关</w:t>
      </w:r>
      <w:r>
        <w:t>数据</w:t>
      </w:r>
      <w:r>
        <w:rPr>
          <w:rFonts w:hint="eastAsia"/>
        </w:rPr>
        <w:t>，运营线路</w:t>
      </w:r>
      <w:r>
        <w:t>、客运量、运营成本等</w:t>
      </w:r>
      <w:r>
        <w:rPr>
          <w:rFonts w:hint="eastAsia"/>
        </w:rPr>
        <w:t>相关</w:t>
      </w:r>
      <w:r>
        <w:t>数据</w:t>
      </w:r>
      <w:r>
        <w:rPr>
          <w:rFonts w:hint="eastAsia"/>
        </w:rPr>
        <w:t>，公共汽电车</w:t>
      </w:r>
      <w:r>
        <w:t>调查数据</w:t>
      </w:r>
      <w:r>
        <w:rPr>
          <w:rFonts w:hint="eastAsia"/>
        </w:rPr>
        <w:t>，</w:t>
      </w:r>
      <w:r>
        <w:t>企业政策与制度信息等。</w:t>
      </w:r>
    </w:p>
    <w:p>
      <w:pPr>
        <w:widowControl w:val="0"/>
        <w:wordWrap/>
        <w:adjustRightInd/>
        <w:snapToGrid/>
        <w:spacing w:before="0" w:after="0" w:line="240" w:lineRule="auto"/>
        <w:ind w:right="0" w:firstLine="640"/>
        <w:textAlignment w:val="auto"/>
        <w:outlineLvl w:val="9"/>
      </w:pPr>
      <w:r>
        <w:rPr>
          <w:rFonts w:hint="eastAsia" w:ascii="仿宋" w:hAnsi="仿宋" w:eastAsia="仿宋" w:cs="仿宋"/>
          <w:b/>
          <w:bCs w:val="0"/>
        </w:rPr>
        <w:t>第三十六条【线路运营变更】</w:t>
      </w:r>
      <w:r>
        <w:rPr>
          <w:rFonts w:hint="eastAsia"/>
        </w:rPr>
        <w:t>由于交通管制、城市建设、重大公共活动、公共突发事件等影响城市公共汽电车线路正常运营的，城市公共交通管理部门和运营企业应当及时向社会公告相关线路运营的变更、暂停情况，并采取相应措施，保障社会公众出行需求。</w:t>
      </w:r>
    </w:p>
    <w:p>
      <w:pPr>
        <w:widowControl w:val="0"/>
        <w:wordWrap/>
        <w:adjustRightInd/>
        <w:snapToGrid/>
        <w:spacing w:before="0" w:after="0" w:line="240" w:lineRule="auto"/>
        <w:ind w:right="0" w:firstLine="640"/>
        <w:textAlignment w:val="auto"/>
        <w:outlineLvl w:val="9"/>
      </w:pPr>
      <w:r>
        <w:rPr>
          <w:rFonts w:hint="eastAsia" w:ascii="仿宋" w:hAnsi="仿宋" w:eastAsia="仿宋" w:cs="仿宋"/>
          <w:b/>
          <w:bCs w:val="0"/>
        </w:rPr>
        <w:t>第三十七条【线路调整】</w:t>
      </w:r>
      <w:r>
        <w:rPr>
          <w:rFonts w:hint="eastAsia"/>
        </w:rPr>
        <w:t>因城市发展和社会公众出行需求变化，需要对城市公共汽电车线路进行调整时，城市</w:t>
      </w:r>
      <w:r>
        <w:t>公共交通管理部门</w:t>
      </w:r>
      <w:r>
        <w:rPr>
          <w:rFonts w:hint="eastAsia"/>
        </w:rPr>
        <w:t>应当</w:t>
      </w:r>
      <w:r>
        <w:t>调整线路</w:t>
      </w:r>
      <w:r>
        <w:rPr>
          <w:rFonts w:hint="eastAsia"/>
        </w:rPr>
        <w:t>，</w:t>
      </w:r>
      <w:r>
        <w:t>并</w:t>
      </w:r>
      <w:r>
        <w:rPr>
          <w:rFonts w:hint="eastAsia"/>
        </w:rPr>
        <w:t>对</w:t>
      </w:r>
      <w:r>
        <w:t>相应的线路运营服务协议</w:t>
      </w:r>
      <w:r>
        <w:rPr>
          <w:rFonts w:hint="eastAsia"/>
        </w:rPr>
        <w:t>予以</w:t>
      </w:r>
      <w:r>
        <w:t>变更</w:t>
      </w:r>
      <w:r>
        <w:rPr>
          <w:rFonts w:hint="eastAsia"/>
        </w:rPr>
        <w:t>。</w:t>
      </w:r>
    </w:p>
    <w:p>
      <w:pPr>
        <w:widowControl w:val="0"/>
        <w:wordWrap/>
        <w:adjustRightInd/>
        <w:snapToGrid/>
        <w:spacing w:before="0" w:after="0" w:line="240" w:lineRule="auto"/>
        <w:ind w:right="0" w:firstLine="640"/>
        <w:textAlignment w:val="auto"/>
        <w:outlineLvl w:val="9"/>
      </w:pPr>
      <w:r>
        <w:rPr>
          <w:rFonts w:hint="eastAsia" w:ascii="仿宋" w:hAnsi="仿宋" w:eastAsia="仿宋" w:cs="仿宋"/>
          <w:b/>
          <w:bCs w:val="0"/>
        </w:rPr>
        <w:t>第三十八条【应急运输】</w:t>
      </w:r>
      <w:r>
        <w:rPr>
          <w:rFonts w:hint="eastAsia"/>
        </w:rPr>
        <w:t>发生下列情形之一的，运营企业应当按照城市公共交通管理部门的要求，采取应急运输措施：</w:t>
      </w:r>
    </w:p>
    <w:p>
      <w:pPr>
        <w:widowControl w:val="0"/>
        <w:wordWrap/>
        <w:adjustRightInd/>
        <w:snapToGrid/>
        <w:spacing w:before="0" w:after="0" w:line="240" w:lineRule="auto"/>
        <w:ind w:right="0" w:firstLine="640"/>
        <w:textAlignment w:val="auto"/>
        <w:outlineLvl w:val="9"/>
      </w:pPr>
      <w:r>
        <w:rPr>
          <w:rFonts w:hint="eastAsia"/>
        </w:rPr>
        <w:t>（一）抢险救灾；</w:t>
      </w:r>
    </w:p>
    <w:p>
      <w:pPr>
        <w:widowControl w:val="0"/>
        <w:wordWrap/>
        <w:adjustRightInd/>
        <w:snapToGrid/>
        <w:spacing w:before="0" w:after="0" w:line="240" w:lineRule="auto"/>
        <w:ind w:right="0" w:firstLine="640"/>
        <w:textAlignment w:val="auto"/>
        <w:outlineLvl w:val="9"/>
      </w:pPr>
      <w:r>
        <w:rPr>
          <w:rFonts w:hint="eastAsia"/>
        </w:rPr>
        <w:t>（二）主要客流集散点运力严重不足；</w:t>
      </w:r>
    </w:p>
    <w:p>
      <w:pPr>
        <w:widowControl w:val="0"/>
        <w:wordWrap/>
        <w:adjustRightInd/>
        <w:snapToGrid/>
        <w:spacing w:before="0" w:after="0" w:line="240" w:lineRule="auto"/>
        <w:ind w:right="0" w:firstLine="640"/>
        <w:textAlignment w:val="auto"/>
        <w:outlineLvl w:val="9"/>
      </w:pPr>
      <w:r>
        <w:rPr>
          <w:rFonts w:hint="eastAsia"/>
        </w:rPr>
        <w:t>（三）举行重大公共活动；</w:t>
      </w:r>
    </w:p>
    <w:p>
      <w:pPr>
        <w:widowControl w:val="0"/>
        <w:wordWrap/>
        <w:adjustRightInd/>
        <w:snapToGrid/>
        <w:spacing w:before="0" w:after="0" w:line="240" w:lineRule="auto"/>
        <w:ind w:right="0" w:firstLine="640"/>
        <w:textAlignment w:val="auto"/>
        <w:outlineLvl w:val="9"/>
      </w:pPr>
      <w:r>
        <w:rPr>
          <w:rFonts w:hint="eastAsia"/>
        </w:rPr>
        <w:t>（四）其他需要及时组织运力对人员进行疏运的突发事件。</w:t>
      </w:r>
    </w:p>
    <w:p>
      <w:pPr>
        <w:widowControl w:val="0"/>
        <w:wordWrap/>
        <w:adjustRightInd/>
        <w:snapToGrid/>
        <w:spacing w:before="0" w:after="0" w:line="240" w:lineRule="auto"/>
        <w:ind w:right="0" w:firstLine="640"/>
        <w:textAlignment w:val="auto"/>
        <w:outlineLvl w:val="9"/>
      </w:pPr>
      <w:r>
        <w:rPr>
          <w:rFonts w:hint="eastAsia" w:ascii="仿宋" w:hAnsi="仿宋" w:eastAsia="仿宋" w:cs="仿宋"/>
          <w:b/>
          <w:bCs w:val="0"/>
        </w:rPr>
        <w:t>第三十九条【乘客的义务】</w:t>
      </w:r>
      <w:r>
        <w:rPr>
          <w:rFonts w:hint="eastAsia"/>
        </w:rPr>
        <w:t>乘客应当遵守乘车规则，文明乘车，</w:t>
      </w:r>
      <w:r>
        <w:t>不得</w:t>
      </w:r>
      <w:r>
        <w:rPr>
          <w:rFonts w:hint="eastAsia"/>
        </w:rPr>
        <w:t>在城市公共汽电车车辆或场站内饮酒、吸烟、乞讨或者乱扔废弃物。</w:t>
      </w:r>
    </w:p>
    <w:p>
      <w:pPr>
        <w:widowControl w:val="0"/>
        <w:wordWrap/>
        <w:adjustRightInd/>
        <w:snapToGrid/>
        <w:spacing w:before="0" w:after="0" w:line="240" w:lineRule="auto"/>
        <w:ind w:right="0" w:firstLine="640"/>
        <w:textAlignment w:val="auto"/>
        <w:outlineLvl w:val="9"/>
      </w:pPr>
      <w:r>
        <w:rPr>
          <w:rFonts w:hint="eastAsia"/>
        </w:rPr>
        <w:t>乘客有违反前款行为时，运营企业从业人员应当对乘客进行劝止，劝阻无效的，运营企业从业人员有权拒绝为其提供服务。</w:t>
      </w:r>
    </w:p>
    <w:p>
      <w:pPr>
        <w:widowControl w:val="0"/>
        <w:wordWrap/>
        <w:adjustRightInd/>
        <w:snapToGrid/>
        <w:spacing w:before="0" w:after="0" w:line="240" w:lineRule="auto"/>
        <w:ind w:right="0" w:firstLine="640"/>
        <w:textAlignment w:val="auto"/>
        <w:outlineLvl w:val="9"/>
      </w:pPr>
      <w:r>
        <w:rPr>
          <w:rFonts w:hint="eastAsia"/>
        </w:rPr>
        <w:t>乘客应当按照规定票价支付车费，未按规定票价支付的，运营企业从业人员有权要求乘客补交车费，并可按照票价标准加倍收取车费。</w:t>
      </w:r>
    </w:p>
    <w:p>
      <w:pPr>
        <w:widowControl w:val="0"/>
        <w:wordWrap/>
        <w:adjustRightInd/>
        <w:snapToGrid/>
        <w:spacing w:before="0" w:after="0" w:line="240" w:lineRule="auto"/>
        <w:ind w:right="0" w:firstLine="640"/>
        <w:textAlignment w:val="auto"/>
        <w:outlineLvl w:val="9"/>
        <w:rPr>
          <w:rFonts w:hint="eastAsia"/>
        </w:rPr>
      </w:pPr>
      <w:r>
        <w:t>符合当地优惠乘车条件的乘客</w:t>
      </w:r>
      <w:r>
        <w:rPr>
          <w:rFonts w:hint="eastAsia"/>
        </w:rPr>
        <w:t>，</w:t>
      </w:r>
      <w:r>
        <w:t>应按规定出示有效乘车凭证</w:t>
      </w:r>
      <w:r>
        <w:rPr>
          <w:rFonts w:hint="eastAsia"/>
        </w:rPr>
        <w:t xml:space="preserve">，不能出示的，运营企业从业人员有权要求其按照普通乘客支付车费。 </w:t>
      </w:r>
    </w:p>
    <w:p>
      <w:pPr>
        <w:widowControl w:val="0"/>
        <w:wordWrap/>
        <w:adjustRightInd/>
        <w:snapToGrid/>
        <w:spacing w:before="0" w:after="0" w:line="240" w:lineRule="auto"/>
        <w:ind w:right="0" w:firstLine="640"/>
        <w:textAlignment w:val="auto"/>
        <w:outlineLvl w:val="9"/>
      </w:pPr>
      <w:r>
        <w:rPr>
          <w:rFonts w:hint="eastAsia" w:ascii="仿宋" w:hAnsi="仿宋" w:eastAsia="仿宋" w:cs="仿宋"/>
          <w:b/>
          <w:bCs w:val="0"/>
        </w:rPr>
        <w:t>第四十条【乘客的权利】</w:t>
      </w:r>
      <w:r>
        <w:rPr>
          <w:rFonts w:hint="eastAsia"/>
        </w:rPr>
        <w:t>有下列情形之一的，乘客可以拒绝支付车费：</w:t>
      </w:r>
    </w:p>
    <w:p>
      <w:pPr>
        <w:widowControl w:val="0"/>
        <w:wordWrap/>
        <w:adjustRightInd/>
        <w:snapToGrid/>
        <w:spacing w:before="0" w:after="0" w:line="240" w:lineRule="auto"/>
        <w:ind w:right="0" w:firstLine="640"/>
        <w:textAlignment w:val="auto"/>
        <w:outlineLvl w:val="9"/>
      </w:pPr>
      <w:r>
        <w:rPr>
          <w:rFonts w:hint="eastAsia"/>
        </w:rPr>
        <w:t>（一）运营车辆未按规定公布运营收费标准的；</w:t>
      </w:r>
    </w:p>
    <w:p>
      <w:pPr>
        <w:widowControl w:val="0"/>
        <w:wordWrap/>
        <w:adjustRightInd/>
        <w:snapToGrid/>
        <w:spacing w:before="0" w:after="0" w:line="240" w:lineRule="auto"/>
        <w:ind w:right="0" w:firstLine="640"/>
        <w:textAlignment w:val="auto"/>
        <w:outlineLvl w:val="9"/>
      </w:pPr>
      <w:r>
        <w:rPr>
          <w:rFonts w:hint="eastAsia"/>
        </w:rPr>
        <w:t>（二）无法提供车票凭证或者车票凭证不符合规定的；</w:t>
      </w:r>
    </w:p>
    <w:p>
      <w:pPr>
        <w:widowControl w:val="0"/>
        <w:wordWrap/>
        <w:adjustRightInd/>
        <w:snapToGrid/>
        <w:spacing w:before="0" w:after="0" w:line="240" w:lineRule="auto"/>
        <w:ind w:right="0" w:firstLine="640"/>
        <w:textAlignment w:val="auto"/>
        <w:outlineLvl w:val="9"/>
      </w:pPr>
      <w:r>
        <w:rPr>
          <w:rFonts w:hint="eastAsia"/>
        </w:rPr>
        <w:t>（三）不按核准的收费标准收费的；</w:t>
      </w:r>
    </w:p>
    <w:p>
      <w:pPr>
        <w:widowControl w:val="0"/>
        <w:wordWrap/>
        <w:adjustRightInd/>
        <w:snapToGrid/>
        <w:spacing w:before="0" w:after="0" w:line="240" w:lineRule="auto"/>
        <w:ind w:right="0" w:firstLine="640"/>
        <w:textAlignment w:val="auto"/>
        <w:outlineLvl w:val="9"/>
      </w:pPr>
      <w:r>
        <w:rPr>
          <w:rFonts w:hint="eastAsia"/>
        </w:rPr>
        <w:t>（四）使用电子乘车卡但是电子读卡机无法使用的。</w:t>
      </w:r>
    </w:p>
    <w:p>
      <w:pPr>
        <w:widowControl w:val="0"/>
        <w:wordWrap/>
        <w:adjustRightInd/>
        <w:snapToGrid/>
        <w:spacing w:before="0" w:after="0" w:line="240" w:lineRule="auto"/>
        <w:ind w:right="0" w:firstLine="640"/>
        <w:textAlignment w:val="auto"/>
        <w:outlineLvl w:val="9"/>
      </w:pPr>
      <w:r>
        <w:rPr>
          <w:rFonts w:hint="eastAsia" w:ascii="仿宋" w:hAnsi="仿宋" w:eastAsia="仿宋" w:cs="仿宋"/>
          <w:b/>
          <w:bCs w:val="0"/>
        </w:rPr>
        <w:t>第四十一条【车辆运营故障处理】</w:t>
      </w:r>
      <w:r>
        <w:rPr>
          <w:rFonts w:hint="eastAsia"/>
        </w:rPr>
        <w:t>城市公共汽电车在运营途中发生故障不能继续运营时，驾驶员、乘务员应当向乘客说明原因，安排改乘同线路后序车辆或者采取其他有效措施疏导乘客，并及时报告运营企业和有关部门。</w:t>
      </w:r>
    </w:p>
    <w:p>
      <w:pPr>
        <w:widowControl w:val="0"/>
        <w:wordWrap/>
        <w:adjustRightInd/>
        <w:snapToGrid/>
        <w:spacing w:before="0" w:after="0" w:line="240" w:lineRule="auto"/>
        <w:ind w:right="0" w:firstLine="640"/>
        <w:textAlignment w:val="auto"/>
        <w:outlineLvl w:val="9"/>
      </w:pPr>
      <w:r>
        <w:rPr>
          <w:rFonts w:hint="eastAsia" w:ascii="仿宋" w:hAnsi="仿宋" w:eastAsia="仿宋" w:cs="仿宋"/>
          <w:b/>
          <w:bCs w:val="0"/>
        </w:rPr>
        <w:t>第四十二条【广告设置】</w:t>
      </w:r>
      <w:r>
        <w:rPr>
          <w:rFonts w:hint="eastAsia"/>
        </w:rPr>
        <w:t>运营企业利用城市</w:t>
      </w:r>
      <w:r>
        <w:t>公共汽电车客运服务设施和车辆</w:t>
      </w:r>
      <w:r>
        <w:rPr>
          <w:rFonts w:hint="eastAsia"/>
        </w:rPr>
        <w:t>设置广告的，应当遵守有关广告管理的法律、法规</w:t>
      </w:r>
      <w:r>
        <w:t>及</w:t>
      </w:r>
      <w:r>
        <w:rPr>
          <w:rFonts w:hint="eastAsia"/>
        </w:rPr>
        <w:t>标准。广告</w:t>
      </w:r>
      <w:r>
        <w:t>设置</w:t>
      </w:r>
      <w:r>
        <w:rPr>
          <w:rFonts w:hint="eastAsia"/>
        </w:rPr>
        <w:t>不得有覆盖站牌标识和车辆运营标识、妨碍车辆行驶安全视线等影响运营安全的情形。</w:t>
      </w:r>
    </w:p>
    <w:p>
      <w:pPr>
        <w:widowControl w:val="0"/>
        <w:wordWrap/>
        <w:adjustRightInd/>
        <w:snapToGrid/>
        <w:spacing w:before="0" w:after="0" w:line="240" w:lineRule="auto"/>
        <w:ind w:right="0" w:firstLine="640"/>
        <w:textAlignment w:val="auto"/>
        <w:outlineLvl w:val="9"/>
      </w:pPr>
      <w:r>
        <w:rPr>
          <w:rFonts w:hint="eastAsia" w:ascii="仿宋" w:hAnsi="仿宋" w:eastAsia="仿宋" w:cs="仿宋"/>
          <w:b/>
          <w:bCs w:val="0"/>
        </w:rPr>
        <w:t>第四十三条【多样化服务】</w:t>
      </w:r>
      <w:r>
        <w:rPr>
          <w:rFonts w:hint="eastAsia"/>
        </w:rPr>
        <w:t>城市公共交通管理部门应当根据公众出行便利、城市公共汽电车线网优化等需要，组织运营企业提供社区公交、</w:t>
      </w:r>
      <w:r>
        <w:t>定制公交</w:t>
      </w:r>
      <w:r>
        <w:rPr>
          <w:rFonts w:hint="eastAsia"/>
        </w:rPr>
        <w:t>、夜间公交等多样化服务。</w:t>
      </w:r>
    </w:p>
    <w:p>
      <w:pPr>
        <w:widowControl w:val="0"/>
        <w:wordWrap/>
        <w:adjustRightInd/>
        <w:snapToGrid/>
        <w:spacing w:before="0" w:after="0" w:line="240" w:lineRule="auto"/>
        <w:ind w:right="0" w:firstLine="0" w:firstLineChars="0"/>
        <w:jc w:val="center"/>
        <w:textAlignment w:val="auto"/>
        <w:outlineLvl w:val="9"/>
        <w:rPr>
          <w:rFonts w:ascii="黑体" w:hAnsi="黑体"/>
        </w:rPr>
      </w:pPr>
      <w:r>
        <w:rPr>
          <w:rFonts w:hint="eastAsia" w:ascii="仿宋" w:hAnsi="仿宋" w:eastAsia="仿宋" w:cs="仿宋"/>
          <w:b/>
          <w:bCs w:val="0"/>
        </w:rPr>
        <w:t>第五章  运营安全</w:t>
      </w:r>
    </w:p>
    <w:p>
      <w:pPr>
        <w:widowControl w:val="0"/>
        <w:wordWrap/>
        <w:adjustRightInd/>
        <w:snapToGrid/>
        <w:spacing w:before="0" w:after="0" w:line="240" w:lineRule="auto"/>
        <w:ind w:right="0" w:firstLine="640"/>
        <w:textAlignment w:val="auto"/>
        <w:outlineLvl w:val="9"/>
      </w:pPr>
      <w:r>
        <w:rPr>
          <w:rFonts w:hint="eastAsia" w:ascii="仿宋" w:hAnsi="仿宋" w:eastAsia="仿宋" w:cs="仿宋"/>
          <w:b/>
          <w:bCs w:val="0"/>
        </w:rPr>
        <w:t>第四十四条【企业主体责任】</w:t>
      </w:r>
      <w:r>
        <w:rPr>
          <w:rFonts w:hint="eastAsia"/>
        </w:rPr>
        <w:t>运营企业是城市公共汽电车安全生产的责任主体。运营企业应当建立健全企业安全生产管理制度，设置安全生产管理机构或者配备安全生产管理人员，保障安全生产经费投入，增强突发事件防范和应急处置能力</w:t>
      </w:r>
      <w:r>
        <w:t>，</w:t>
      </w:r>
      <w:r>
        <w:rPr>
          <w:rFonts w:hint="eastAsia"/>
        </w:rPr>
        <w:t>定期开展安全检查和隐患排查，加强</w:t>
      </w:r>
      <w:r>
        <w:t>安全乘车和应急知识宣传</w:t>
      </w:r>
      <w:r>
        <w:rPr>
          <w:rFonts w:hint="eastAsia"/>
        </w:rPr>
        <w:t>。</w:t>
      </w:r>
    </w:p>
    <w:p>
      <w:pPr>
        <w:widowControl w:val="0"/>
        <w:wordWrap/>
        <w:adjustRightInd/>
        <w:snapToGrid/>
        <w:spacing w:before="0" w:after="0" w:line="240" w:lineRule="auto"/>
        <w:ind w:right="0" w:firstLine="640"/>
        <w:textAlignment w:val="auto"/>
        <w:outlineLvl w:val="9"/>
      </w:pPr>
      <w:r>
        <w:rPr>
          <w:rFonts w:hint="eastAsia"/>
        </w:rPr>
        <w:t>鼓励运营企业之间联合建立城市公共汽电车运营安全风险分担机制，增强安全风险应对能力。</w:t>
      </w:r>
    </w:p>
    <w:p>
      <w:pPr>
        <w:widowControl w:val="0"/>
        <w:wordWrap/>
        <w:adjustRightInd/>
        <w:snapToGrid/>
        <w:spacing w:before="0" w:after="0" w:line="240" w:lineRule="auto"/>
        <w:ind w:right="0" w:firstLine="640"/>
        <w:textAlignment w:val="auto"/>
        <w:outlineLvl w:val="9"/>
      </w:pPr>
      <w:r>
        <w:rPr>
          <w:rFonts w:hint="eastAsia" w:ascii="仿宋" w:hAnsi="仿宋" w:eastAsia="仿宋" w:cs="仿宋"/>
          <w:b/>
          <w:bCs w:val="0"/>
        </w:rPr>
        <w:t>第四十五条【安全操作规程】</w:t>
      </w:r>
      <w:r>
        <w:rPr>
          <w:rFonts w:hint="eastAsia"/>
        </w:rPr>
        <w:t>运营企业应当制定城市公共汽电车运营安全操作规程，加强对驾驶员、乘务员等从业人员的安全管理和教育培训。驾驶员、乘务员等从业人员在运营过程中应当执行安全操作规程。</w:t>
      </w:r>
    </w:p>
    <w:p>
      <w:pPr>
        <w:widowControl w:val="0"/>
        <w:wordWrap/>
        <w:adjustRightInd/>
        <w:snapToGrid/>
        <w:spacing w:before="0" w:after="0" w:line="240" w:lineRule="auto"/>
        <w:ind w:right="0" w:firstLine="640"/>
        <w:textAlignment w:val="auto"/>
        <w:outlineLvl w:val="9"/>
      </w:pPr>
      <w:r>
        <w:rPr>
          <w:rFonts w:hint="eastAsia" w:ascii="仿宋" w:hAnsi="仿宋" w:eastAsia="仿宋" w:cs="仿宋"/>
          <w:b/>
          <w:bCs w:val="0"/>
        </w:rPr>
        <w:t>第四十六条【应急预案】</w:t>
      </w:r>
      <w:r>
        <w:rPr>
          <w:rFonts w:hint="eastAsia"/>
        </w:rPr>
        <w:t>城市公共交通管理部门应当会同有关部门制定城市公共汽电车客运突发事件应急预案，报城市人民政府批准。</w:t>
      </w:r>
    </w:p>
    <w:p>
      <w:pPr>
        <w:widowControl w:val="0"/>
        <w:wordWrap/>
        <w:adjustRightInd/>
        <w:snapToGrid/>
        <w:spacing w:before="0" w:after="0" w:line="240" w:lineRule="auto"/>
        <w:ind w:right="0" w:firstLine="640"/>
        <w:textAlignment w:val="auto"/>
        <w:outlineLvl w:val="9"/>
      </w:pPr>
      <w:r>
        <w:rPr>
          <w:rFonts w:hint="eastAsia"/>
        </w:rPr>
        <w:t>运营企业应当根据城市公共汽电车客运突发事件应急预案，制定本企业的应急预案，并定期演练。</w:t>
      </w:r>
    </w:p>
    <w:p>
      <w:pPr>
        <w:widowControl w:val="0"/>
        <w:wordWrap/>
        <w:adjustRightInd/>
        <w:snapToGrid/>
        <w:spacing w:before="0" w:after="0" w:line="240" w:lineRule="auto"/>
        <w:ind w:right="0" w:firstLine="640"/>
        <w:textAlignment w:val="auto"/>
        <w:outlineLvl w:val="9"/>
      </w:pPr>
      <w:r>
        <w:rPr>
          <w:rFonts w:hint="eastAsia"/>
        </w:rPr>
        <w:t>发生安全事故</w:t>
      </w:r>
      <w:r>
        <w:t>或者</w:t>
      </w:r>
      <w:r>
        <w:rPr>
          <w:rFonts w:hint="eastAsia"/>
        </w:rPr>
        <w:t>影响城市公共汽电车运营安全的突发事件时，城市公共交通管理部门、运营企业等应当按照应急预案及时采取应急处置措施。</w:t>
      </w:r>
    </w:p>
    <w:p>
      <w:pPr>
        <w:widowControl w:val="0"/>
        <w:wordWrap/>
        <w:adjustRightInd/>
        <w:snapToGrid/>
        <w:spacing w:before="0" w:after="0" w:line="240" w:lineRule="auto"/>
        <w:ind w:right="0" w:firstLine="640"/>
        <w:textAlignment w:val="auto"/>
        <w:outlineLvl w:val="9"/>
      </w:pPr>
      <w:r>
        <w:rPr>
          <w:rFonts w:hint="eastAsia" w:ascii="仿宋" w:hAnsi="仿宋" w:eastAsia="仿宋" w:cs="仿宋"/>
          <w:b/>
          <w:bCs w:val="0"/>
        </w:rPr>
        <w:t>第四十七条【设施设备安全管理】</w:t>
      </w:r>
      <w:r>
        <w:rPr>
          <w:rFonts w:hint="eastAsia"/>
        </w:rPr>
        <w:t>运营企业应当对城市公共汽电车客运服务设施设备建立安全生产管理制度，落实责任制，加强对有关设施设备的管理和维护。</w:t>
      </w:r>
    </w:p>
    <w:p>
      <w:pPr>
        <w:widowControl w:val="0"/>
        <w:wordWrap/>
        <w:adjustRightInd/>
        <w:snapToGrid/>
        <w:spacing w:before="0" w:after="0" w:line="240" w:lineRule="auto"/>
        <w:ind w:right="0" w:firstLine="640"/>
        <w:textAlignment w:val="auto"/>
        <w:outlineLvl w:val="9"/>
      </w:pPr>
      <w:r>
        <w:rPr>
          <w:rFonts w:hint="eastAsia"/>
        </w:rPr>
        <w:t>城市公共交通管理部门应当会同有关部门，定期进行安全检查，督促运营企业及时采取措施消除各种安全隐患。</w:t>
      </w:r>
    </w:p>
    <w:p>
      <w:pPr>
        <w:widowControl w:val="0"/>
        <w:wordWrap/>
        <w:adjustRightInd/>
        <w:snapToGrid/>
        <w:spacing w:before="0" w:after="0" w:line="240" w:lineRule="auto"/>
        <w:ind w:right="0" w:firstLine="640"/>
        <w:textAlignment w:val="auto"/>
        <w:outlineLvl w:val="9"/>
      </w:pPr>
      <w:r>
        <w:rPr>
          <w:rFonts w:hint="eastAsia" w:ascii="仿宋" w:hAnsi="仿宋" w:eastAsia="仿宋" w:cs="仿宋"/>
          <w:b/>
          <w:bCs w:val="0"/>
        </w:rPr>
        <w:t>第四十八条【车辆安全管理】</w:t>
      </w:r>
      <w:r>
        <w:rPr>
          <w:rFonts w:hint="eastAsia"/>
        </w:rPr>
        <w:t>运营企业应当建立城市公共汽电车车辆安全管理制度，定期对运营车辆及附属设备进行检测、维护、更新，保证其处于良好状态。不得将存在安全隐患的车辆投入运营。</w:t>
      </w:r>
    </w:p>
    <w:p>
      <w:pPr>
        <w:widowControl w:val="0"/>
        <w:wordWrap/>
        <w:adjustRightInd/>
        <w:snapToGrid/>
        <w:spacing w:before="0" w:after="0" w:line="240" w:lineRule="auto"/>
        <w:ind w:right="0" w:firstLine="640"/>
        <w:textAlignment w:val="auto"/>
        <w:outlineLvl w:val="9"/>
      </w:pPr>
      <w:r>
        <w:rPr>
          <w:rFonts w:hint="eastAsia" w:ascii="仿宋" w:hAnsi="仿宋" w:eastAsia="仿宋" w:cs="仿宋"/>
          <w:b/>
          <w:bCs w:val="0"/>
        </w:rPr>
        <w:t>第四十九条【警示标志及应急设备】</w:t>
      </w:r>
      <w:r>
        <w:rPr>
          <w:rFonts w:hint="eastAsia"/>
        </w:rPr>
        <w:t>运营企业应当在城市公共汽电车车辆和场站醒目位置设置安全警示标志、安全疏散示意图等，并为车辆配备灭火器、安全锤等安全应急设备，保证安全应急设备处于良好状态。</w:t>
      </w:r>
    </w:p>
    <w:p>
      <w:pPr>
        <w:widowControl w:val="0"/>
        <w:wordWrap/>
        <w:adjustRightInd/>
        <w:snapToGrid/>
        <w:spacing w:before="0" w:after="0" w:line="240" w:lineRule="auto"/>
        <w:ind w:right="0" w:firstLine="640"/>
        <w:textAlignment w:val="auto"/>
        <w:outlineLvl w:val="9"/>
      </w:pPr>
      <w:r>
        <w:rPr>
          <w:rFonts w:hint="eastAsia" w:ascii="仿宋" w:hAnsi="仿宋" w:eastAsia="仿宋" w:cs="仿宋"/>
          <w:b/>
          <w:bCs w:val="0"/>
        </w:rPr>
        <w:t>第五十条【禁止携带物品要求】</w:t>
      </w:r>
      <w:r>
        <w:t>禁止携带</w:t>
      </w:r>
      <w:r>
        <w:rPr>
          <w:rFonts w:hint="eastAsia"/>
        </w:rPr>
        <w:t>枪支弹药、管制器具、烟花爆竹、易燃易爆品等违禁物品乘车。城市公共</w:t>
      </w:r>
      <w:r>
        <w:t>交通管理部门应当会同有关部门制定禁止携带物品</w:t>
      </w:r>
      <w:r>
        <w:rPr>
          <w:rFonts w:hint="eastAsia"/>
        </w:rPr>
        <w:t>目录，并向社会公布。运营企业应当</w:t>
      </w:r>
      <w:r>
        <w:t>在城市</w:t>
      </w:r>
      <w:r>
        <w:rPr>
          <w:rFonts w:hint="eastAsia"/>
        </w:rPr>
        <w:t>公共汽电车首末站的</w:t>
      </w:r>
      <w:r>
        <w:t>醒目位置公布</w:t>
      </w:r>
      <w:r>
        <w:rPr>
          <w:rFonts w:hint="eastAsia"/>
        </w:rPr>
        <w:t>禁止携带物品目录</w:t>
      </w:r>
      <w:r>
        <w:t>。</w:t>
      </w:r>
    </w:p>
    <w:p>
      <w:pPr>
        <w:widowControl w:val="0"/>
        <w:wordWrap/>
        <w:adjustRightInd/>
        <w:snapToGrid/>
        <w:spacing w:before="0" w:after="0" w:line="240" w:lineRule="auto"/>
        <w:ind w:right="0" w:firstLine="640"/>
        <w:textAlignment w:val="auto"/>
        <w:outlineLvl w:val="9"/>
      </w:pPr>
      <w:r>
        <w:rPr>
          <w:rFonts w:hint="eastAsia"/>
        </w:rPr>
        <w:t>运营企业可以对乘客携带的物品采取必要的安全检查措施。乘客</w:t>
      </w:r>
      <w:r>
        <w:t>应当自觉接受、配合安全检查。</w:t>
      </w:r>
      <w:r>
        <w:rPr>
          <w:rFonts w:hint="eastAsia"/>
        </w:rPr>
        <w:t>对于拒绝接受安全检查或者携带违禁物品的乘客，运营企业</w:t>
      </w:r>
      <w:r>
        <w:t>从业</w:t>
      </w:r>
      <w:r>
        <w:rPr>
          <w:rFonts w:hint="eastAsia"/>
        </w:rPr>
        <w:t>人员应当制止其乘车；制止无效</w:t>
      </w:r>
      <w:r>
        <w:t>的，及时</w:t>
      </w:r>
      <w:r>
        <w:rPr>
          <w:rFonts w:hint="eastAsia"/>
        </w:rPr>
        <w:t>报告</w:t>
      </w:r>
      <w:r>
        <w:t>公安</w:t>
      </w:r>
      <w:r>
        <w:rPr>
          <w:rFonts w:hint="eastAsia"/>
        </w:rPr>
        <w:t>部门处理</w:t>
      </w:r>
      <w:r>
        <w:t>。</w:t>
      </w:r>
    </w:p>
    <w:p>
      <w:pPr>
        <w:widowControl w:val="0"/>
        <w:wordWrap/>
        <w:adjustRightInd/>
        <w:snapToGrid/>
        <w:spacing w:before="0" w:after="0" w:line="240" w:lineRule="auto"/>
        <w:ind w:right="0" w:firstLine="640"/>
        <w:textAlignment w:val="auto"/>
        <w:outlineLvl w:val="9"/>
        <w:rPr>
          <w:rFonts w:ascii="黑体" w:hAnsi="黑体"/>
        </w:rPr>
      </w:pPr>
      <w:r>
        <w:rPr>
          <w:rFonts w:hint="eastAsia" w:ascii="仿宋" w:hAnsi="仿宋" w:eastAsia="仿宋" w:cs="仿宋"/>
          <w:b/>
          <w:bCs w:val="0"/>
        </w:rPr>
        <w:t>第五十一条【危害运营安全的禁止行为】</w:t>
      </w:r>
      <w:r>
        <w:rPr>
          <w:rFonts w:hint="eastAsia"/>
        </w:rPr>
        <w:t>禁止从事下列危害城市公共汽电车运营安全、扰乱乘车秩序的行为：</w:t>
      </w:r>
    </w:p>
    <w:p>
      <w:pPr>
        <w:widowControl w:val="0"/>
        <w:wordWrap/>
        <w:adjustRightInd/>
        <w:snapToGrid/>
        <w:spacing w:before="0" w:after="0" w:line="240" w:lineRule="auto"/>
        <w:ind w:right="0" w:firstLine="640"/>
        <w:textAlignment w:val="auto"/>
        <w:outlineLvl w:val="9"/>
      </w:pPr>
      <w:r>
        <w:rPr>
          <w:rFonts w:hint="eastAsia"/>
        </w:rPr>
        <w:t>（一）非法拦截或者强行上下城市公共汽电车车辆；</w:t>
      </w:r>
    </w:p>
    <w:p>
      <w:pPr>
        <w:widowControl w:val="0"/>
        <w:wordWrap/>
        <w:adjustRightInd/>
        <w:snapToGrid/>
        <w:spacing w:before="0" w:after="0" w:line="240" w:lineRule="auto"/>
        <w:ind w:right="0" w:firstLine="640"/>
        <w:textAlignment w:val="auto"/>
        <w:outlineLvl w:val="9"/>
      </w:pPr>
      <w:r>
        <w:rPr>
          <w:rFonts w:hint="eastAsia"/>
        </w:rPr>
        <w:t>（二）在城市公共汽电车场站及其出入口通道擅自停放非城市公共汽电车车辆、堆放杂物或者摆摊设点等；</w:t>
      </w:r>
    </w:p>
    <w:p>
      <w:pPr>
        <w:widowControl w:val="0"/>
        <w:wordWrap/>
        <w:adjustRightInd/>
        <w:snapToGrid/>
        <w:spacing w:before="0" w:after="0" w:line="240" w:lineRule="auto"/>
        <w:ind w:right="0" w:firstLine="640"/>
        <w:textAlignment w:val="auto"/>
        <w:outlineLvl w:val="9"/>
      </w:pPr>
      <w:r>
        <w:rPr>
          <w:rFonts w:hint="eastAsia"/>
        </w:rPr>
        <w:t xml:space="preserve">（三）妨碍驾驶员的正常驾驶； </w:t>
      </w:r>
    </w:p>
    <w:p>
      <w:pPr>
        <w:widowControl w:val="0"/>
        <w:wordWrap/>
        <w:adjustRightInd/>
        <w:snapToGrid/>
        <w:spacing w:before="0" w:after="0" w:line="240" w:lineRule="auto"/>
        <w:ind w:right="0" w:firstLine="640"/>
        <w:textAlignment w:val="auto"/>
        <w:outlineLvl w:val="9"/>
      </w:pPr>
      <w:r>
        <w:rPr>
          <w:rFonts w:hint="eastAsia"/>
        </w:rPr>
        <w:t>（四）违反规定进入公交专用道；</w:t>
      </w:r>
    </w:p>
    <w:p>
      <w:pPr>
        <w:widowControl w:val="0"/>
        <w:wordWrap/>
        <w:adjustRightInd/>
        <w:snapToGrid/>
        <w:spacing w:before="0" w:after="0" w:line="240" w:lineRule="auto"/>
        <w:ind w:right="0" w:firstLine="640"/>
        <w:textAlignment w:val="auto"/>
        <w:outlineLvl w:val="9"/>
      </w:pPr>
      <w:r>
        <w:rPr>
          <w:rFonts w:hint="eastAsia"/>
        </w:rPr>
        <w:t>（五）擅自操作有警示标志的城市公共汽电车按钮、开关装置，非紧急状态下动用紧急或安全装置；</w:t>
      </w:r>
    </w:p>
    <w:p>
      <w:pPr>
        <w:widowControl w:val="0"/>
        <w:wordWrap/>
        <w:adjustRightInd/>
        <w:snapToGrid/>
        <w:spacing w:before="0" w:after="0" w:line="240" w:lineRule="auto"/>
        <w:ind w:right="0" w:firstLine="640"/>
        <w:textAlignment w:val="auto"/>
        <w:outlineLvl w:val="9"/>
      </w:pPr>
      <w:r>
        <w:rPr>
          <w:rFonts w:hint="eastAsia"/>
        </w:rPr>
        <w:t>（六）妨碍乘客正常上下车；</w:t>
      </w:r>
    </w:p>
    <w:p>
      <w:pPr>
        <w:widowControl w:val="0"/>
        <w:wordWrap/>
        <w:adjustRightInd/>
        <w:snapToGrid/>
        <w:spacing w:before="0" w:after="0" w:line="240" w:lineRule="auto"/>
        <w:ind w:right="0" w:firstLine="640"/>
        <w:textAlignment w:val="auto"/>
        <w:outlineLvl w:val="9"/>
      </w:pPr>
      <w:r>
        <w:rPr>
          <w:rFonts w:hint="eastAsia"/>
        </w:rPr>
        <w:t>（七）在城市公共汽电车场站及周边保护区内燃放烟花爆竹。</w:t>
      </w:r>
    </w:p>
    <w:p>
      <w:pPr>
        <w:widowControl w:val="0"/>
        <w:wordWrap/>
        <w:adjustRightInd/>
        <w:snapToGrid/>
        <w:spacing w:before="0" w:after="0" w:line="240" w:lineRule="auto"/>
        <w:ind w:right="0" w:firstLine="640"/>
        <w:textAlignment w:val="auto"/>
        <w:outlineLvl w:val="9"/>
      </w:pPr>
      <w:r>
        <w:rPr>
          <w:rFonts w:hint="eastAsia"/>
        </w:rPr>
        <w:t>（八）法律、法规规定的其他危害城市公共汽电车运营安全、扰乱乘车秩序的行为。</w:t>
      </w:r>
    </w:p>
    <w:p>
      <w:pPr>
        <w:widowControl w:val="0"/>
        <w:wordWrap/>
        <w:adjustRightInd/>
        <w:snapToGrid/>
        <w:spacing w:before="0" w:after="0" w:line="240" w:lineRule="auto"/>
        <w:ind w:right="0" w:firstLine="640"/>
        <w:textAlignment w:val="auto"/>
        <w:outlineLvl w:val="9"/>
      </w:pPr>
      <w:r>
        <w:rPr>
          <w:rFonts w:hint="eastAsia"/>
        </w:rPr>
        <w:t>运营企业从业人员接到报告或者发现上述行为应当及时制止；制止无效</w:t>
      </w:r>
      <w:r>
        <w:t>的，及时</w:t>
      </w:r>
      <w:r>
        <w:rPr>
          <w:rFonts w:hint="eastAsia"/>
        </w:rPr>
        <w:t>报告</w:t>
      </w:r>
      <w:r>
        <w:t>公安</w:t>
      </w:r>
      <w:r>
        <w:rPr>
          <w:rFonts w:hint="eastAsia"/>
        </w:rPr>
        <w:t>部门处理</w:t>
      </w:r>
      <w:r>
        <w:t>。</w:t>
      </w:r>
    </w:p>
    <w:p>
      <w:pPr>
        <w:widowControl w:val="0"/>
        <w:wordWrap/>
        <w:adjustRightInd/>
        <w:snapToGrid/>
        <w:spacing w:before="0" w:after="0" w:line="240" w:lineRule="auto"/>
        <w:ind w:right="0" w:firstLine="640"/>
        <w:textAlignment w:val="auto"/>
        <w:outlineLvl w:val="9"/>
      </w:pPr>
      <w:r>
        <w:rPr>
          <w:rFonts w:hint="eastAsia" w:ascii="仿宋" w:hAnsi="仿宋" w:eastAsia="仿宋" w:cs="仿宋"/>
          <w:b/>
          <w:bCs w:val="0"/>
        </w:rPr>
        <w:t>第五十二条【禁止危害设施的行为】</w:t>
      </w:r>
      <w:r>
        <w:rPr>
          <w:rFonts w:hint="eastAsia"/>
        </w:rPr>
        <w:t>任何单位和个人都有保护城市公共汽电车客运</w:t>
      </w:r>
      <w:r>
        <w:t>服务</w:t>
      </w:r>
      <w:r>
        <w:rPr>
          <w:rFonts w:hint="eastAsia"/>
        </w:rPr>
        <w:t>设施的义务，不得有下列行为：</w:t>
      </w:r>
    </w:p>
    <w:p>
      <w:pPr>
        <w:widowControl w:val="0"/>
        <w:wordWrap/>
        <w:adjustRightInd/>
        <w:snapToGrid/>
        <w:spacing w:before="0" w:after="0" w:line="240" w:lineRule="auto"/>
        <w:ind w:right="0" w:firstLine="640"/>
        <w:textAlignment w:val="auto"/>
        <w:outlineLvl w:val="9"/>
      </w:pPr>
      <w:r>
        <w:rPr>
          <w:rFonts w:hint="eastAsia"/>
        </w:rPr>
        <w:t>（一）破坏、盗窃城市公共汽电车车辆、设施、设备；</w:t>
      </w:r>
    </w:p>
    <w:p>
      <w:pPr>
        <w:widowControl w:val="0"/>
        <w:wordWrap/>
        <w:adjustRightInd/>
        <w:snapToGrid/>
        <w:spacing w:before="0" w:after="0" w:line="240" w:lineRule="auto"/>
        <w:ind w:right="0" w:firstLine="640"/>
        <w:textAlignment w:val="auto"/>
        <w:outlineLvl w:val="9"/>
      </w:pPr>
      <w:r>
        <w:rPr>
          <w:rFonts w:hint="eastAsia"/>
        </w:rPr>
        <w:t>（二）擅自关闭、侵占、拆除城市公共汽电车客运服务设施或者挪作他用；</w:t>
      </w:r>
    </w:p>
    <w:p>
      <w:pPr>
        <w:widowControl w:val="0"/>
        <w:wordWrap/>
        <w:adjustRightInd/>
        <w:snapToGrid/>
        <w:spacing w:before="0" w:after="0" w:line="240" w:lineRule="auto"/>
        <w:ind w:right="0" w:firstLine="640"/>
        <w:textAlignment w:val="auto"/>
        <w:outlineLvl w:val="9"/>
      </w:pPr>
      <w:r>
        <w:rPr>
          <w:rFonts w:hint="eastAsia"/>
        </w:rPr>
        <w:t>（三）损坏、覆盖电车供电设施及其保护标识；在电车架线杆、馈线安全保护范围内修建建筑物、构筑物或者堆放、悬挂物品、搭设管线、电（光）缆等；</w:t>
      </w:r>
    </w:p>
    <w:p>
      <w:pPr>
        <w:widowControl w:val="0"/>
        <w:wordWrap/>
        <w:adjustRightInd/>
        <w:snapToGrid/>
        <w:spacing w:before="0" w:after="0" w:line="240" w:lineRule="auto"/>
        <w:ind w:right="0" w:firstLine="640"/>
        <w:textAlignment w:val="auto"/>
        <w:outlineLvl w:val="9"/>
      </w:pPr>
      <w:r>
        <w:rPr>
          <w:rFonts w:hint="eastAsia"/>
        </w:rPr>
        <w:t>（四）擅自覆盖、涂改、污损、毁坏或者迁移、拆除站牌；</w:t>
      </w:r>
    </w:p>
    <w:p>
      <w:pPr>
        <w:widowControl w:val="0"/>
        <w:wordWrap/>
        <w:adjustRightInd/>
        <w:snapToGrid/>
        <w:spacing w:before="0" w:after="0" w:line="240" w:lineRule="auto"/>
        <w:ind w:right="0" w:firstLine="640"/>
        <w:textAlignment w:val="auto"/>
        <w:outlineLvl w:val="9"/>
      </w:pPr>
      <w:r>
        <w:rPr>
          <w:rFonts w:hint="eastAsia"/>
        </w:rPr>
        <w:t>（五）其他影响城市公共汽电车客运服务设施功能和安全的行为。</w:t>
      </w:r>
    </w:p>
    <w:p>
      <w:pPr>
        <w:widowControl w:val="0"/>
        <w:wordWrap/>
        <w:adjustRightInd/>
        <w:snapToGrid/>
        <w:spacing w:before="0" w:after="0" w:line="240" w:lineRule="auto"/>
        <w:ind w:right="0" w:firstLine="0" w:firstLineChars="0"/>
        <w:jc w:val="center"/>
        <w:textAlignment w:val="auto"/>
        <w:outlineLvl w:val="9"/>
        <w:rPr>
          <w:rFonts w:hint="eastAsia" w:ascii="仿宋" w:hAnsi="仿宋" w:eastAsia="仿宋" w:cs="仿宋"/>
          <w:b/>
          <w:bCs w:val="0"/>
        </w:rPr>
      </w:pPr>
      <w:r>
        <w:rPr>
          <w:rFonts w:hint="eastAsia" w:ascii="仿宋" w:hAnsi="仿宋" w:eastAsia="仿宋" w:cs="仿宋"/>
          <w:b/>
          <w:bCs w:val="0"/>
        </w:rPr>
        <w:t>第六章 监督检查</w:t>
      </w:r>
    </w:p>
    <w:p>
      <w:pPr>
        <w:widowControl w:val="0"/>
        <w:wordWrap/>
        <w:adjustRightInd/>
        <w:snapToGrid/>
        <w:spacing w:before="0" w:after="0" w:line="240" w:lineRule="auto"/>
        <w:ind w:right="0" w:firstLine="640"/>
        <w:textAlignment w:val="auto"/>
        <w:outlineLvl w:val="9"/>
      </w:pPr>
      <w:r>
        <w:rPr>
          <w:rFonts w:hint="eastAsia" w:ascii="仿宋" w:hAnsi="仿宋" w:eastAsia="仿宋" w:cs="仿宋"/>
          <w:b/>
          <w:bCs w:val="0"/>
        </w:rPr>
        <w:t>第五十三条【监督责任】</w:t>
      </w:r>
      <w:r>
        <w:rPr>
          <w:rFonts w:hint="eastAsia"/>
        </w:rPr>
        <w:t>城市公共交通管理部门应当定期对城市公共汽电车运营进行监督检查，维护正常的运营秩序，保障运营服务质量。</w:t>
      </w:r>
    </w:p>
    <w:p>
      <w:pPr>
        <w:widowControl w:val="0"/>
        <w:wordWrap/>
        <w:adjustRightInd/>
        <w:snapToGrid/>
        <w:spacing w:before="0" w:after="0" w:line="240" w:lineRule="auto"/>
        <w:ind w:right="0" w:firstLine="640"/>
        <w:textAlignment w:val="auto"/>
        <w:outlineLvl w:val="9"/>
      </w:pPr>
      <w:r>
        <w:t>城市公共交通管理</w:t>
      </w:r>
      <w:r>
        <w:rPr>
          <w:rFonts w:hint="eastAsia"/>
        </w:rPr>
        <w:t>部门应当建立健全内部监督制度，对其工作人员执行职务情况进行监督检查。</w:t>
      </w:r>
    </w:p>
    <w:p>
      <w:pPr>
        <w:widowControl w:val="0"/>
        <w:wordWrap/>
        <w:adjustRightInd/>
        <w:snapToGrid/>
        <w:spacing w:before="0" w:after="0" w:line="240" w:lineRule="auto"/>
        <w:ind w:right="0" w:firstLine="640"/>
        <w:textAlignment w:val="auto"/>
        <w:outlineLvl w:val="9"/>
      </w:pPr>
      <w:r>
        <w:t>城市公共交通管理</w:t>
      </w:r>
      <w:r>
        <w:rPr>
          <w:rFonts w:hint="eastAsia"/>
        </w:rPr>
        <w:t>部门及其工作人员执行职务时，应当自觉接受社会和公民的监督。</w:t>
      </w:r>
    </w:p>
    <w:p>
      <w:pPr>
        <w:widowControl w:val="0"/>
        <w:wordWrap/>
        <w:adjustRightInd/>
        <w:snapToGrid/>
        <w:spacing w:before="0" w:after="0" w:line="240" w:lineRule="auto"/>
        <w:ind w:right="0" w:firstLine="640"/>
        <w:textAlignment w:val="auto"/>
        <w:outlineLvl w:val="9"/>
      </w:pPr>
      <w:r>
        <w:rPr>
          <w:rFonts w:hint="eastAsia" w:ascii="仿宋" w:hAnsi="仿宋" w:eastAsia="仿宋" w:cs="仿宋"/>
          <w:b/>
          <w:bCs w:val="0"/>
        </w:rPr>
        <w:t>第五十四条【监督队伍】</w:t>
      </w:r>
      <w:r>
        <w:t>城市公共交通管理</w:t>
      </w:r>
      <w:r>
        <w:rPr>
          <w:rFonts w:hint="eastAsia"/>
        </w:rPr>
        <w:t>部门应当加强监督队伍建设，提高其工作人员的业务素质。</w:t>
      </w:r>
    </w:p>
    <w:p>
      <w:pPr>
        <w:widowControl w:val="0"/>
        <w:wordWrap/>
        <w:adjustRightInd/>
        <w:snapToGrid/>
        <w:spacing w:before="0" w:after="0" w:line="240" w:lineRule="auto"/>
        <w:ind w:right="0" w:firstLine="640"/>
        <w:textAlignment w:val="auto"/>
        <w:outlineLvl w:val="9"/>
      </w:pPr>
      <w:r>
        <w:t>城市公共交通管理</w:t>
      </w:r>
      <w:r>
        <w:rPr>
          <w:rFonts w:hint="eastAsia"/>
        </w:rPr>
        <w:t>部门工作人员应当接受城市公共汽电车管理业务培训、考核，考核不合格的，不得上岗。</w:t>
      </w:r>
    </w:p>
    <w:p>
      <w:pPr>
        <w:widowControl w:val="0"/>
        <w:wordWrap/>
        <w:adjustRightInd/>
        <w:snapToGrid/>
        <w:spacing w:before="0" w:after="0" w:line="240" w:lineRule="auto"/>
        <w:ind w:right="0" w:firstLine="640"/>
        <w:textAlignment w:val="auto"/>
        <w:outlineLvl w:val="9"/>
      </w:pPr>
      <w:r>
        <w:rPr>
          <w:rFonts w:hint="eastAsia" w:ascii="仿宋" w:hAnsi="仿宋" w:eastAsia="仿宋" w:cs="仿宋"/>
          <w:b/>
          <w:bCs w:val="0"/>
        </w:rPr>
        <w:t>第五十五条【监督检查】</w:t>
      </w:r>
      <w:r>
        <w:rPr>
          <w:rFonts w:hint="eastAsia"/>
        </w:rPr>
        <w:t>城市公共交通管理部门对运营企业执行有关法律、法规和标准的情况进行监督检查，在保守被调查单位和个人的商业秘密情况下</w:t>
      </w:r>
      <w:r>
        <w:t>，</w:t>
      </w:r>
      <w:r>
        <w:rPr>
          <w:rFonts w:hint="eastAsia"/>
        </w:rPr>
        <w:t>行使以下职权：</w:t>
      </w:r>
    </w:p>
    <w:p>
      <w:pPr>
        <w:widowControl w:val="0"/>
        <w:wordWrap/>
        <w:adjustRightInd/>
        <w:snapToGrid/>
        <w:spacing w:before="0" w:after="0" w:line="240" w:lineRule="auto"/>
        <w:ind w:right="0" w:firstLine="640"/>
        <w:textAlignment w:val="auto"/>
        <w:outlineLvl w:val="9"/>
      </w:pPr>
      <w:r>
        <w:rPr>
          <w:rFonts w:hint="eastAsia"/>
        </w:rPr>
        <w:t>（一）进入运营企业进行检查，调阅有关资料，向有关单位和人员了解情况；</w:t>
      </w:r>
    </w:p>
    <w:p>
      <w:pPr>
        <w:widowControl w:val="0"/>
        <w:wordWrap/>
        <w:adjustRightInd/>
        <w:snapToGrid/>
        <w:spacing w:before="0" w:after="0" w:line="240" w:lineRule="auto"/>
        <w:ind w:right="0" w:firstLine="640"/>
        <w:textAlignment w:val="auto"/>
        <w:outlineLvl w:val="9"/>
      </w:pPr>
      <w:r>
        <w:rPr>
          <w:rFonts w:hint="eastAsia"/>
        </w:rPr>
        <w:t>（二）对检查中发现的违法行为，当场予以纠正或者要求限期改正；对依法应当给予行政处罚的行为，依照本规定和其他有关法律、法规的规定作出行政处罚决定；</w:t>
      </w:r>
    </w:p>
    <w:p>
      <w:pPr>
        <w:widowControl w:val="0"/>
        <w:wordWrap/>
        <w:adjustRightInd/>
        <w:snapToGrid/>
        <w:spacing w:before="0" w:after="0" w:line="240" w:lineRule="auto"/>
        <w:ind w:right="0" w:firstLine="640"/>
        <w:textAlignment w:val="auto"/>
        <w:outlineLvl w:val="9"/>
      </w:pPr>
      <w:r>
        <w:rPr>
          <w:rFonts w:hint="eastAsia"/>
        </w:rPr>
        <w:t>（三）对涉及安全生产的违法行为，依据安全生产法实施查封或者扣押，并依法作出处理决定。</w:t>
      </w:r>
    </w:p>
    <w:p>
      <w:pPr>
        <w:widowControl w:val="0"/>
        <w:wordWrap/>
        <w:adjustRightInd/>
        <w:snapToGrid/>
        <w:spacing w:before="0" w:after="0" w:line="240" w:lineRule="auto"/>
        <w:ind w:right="0" w:firstLine="640"/>
        <w:textAlignment w:val="auto"/>
        <w:outlineLvl w:val="9"/>
      </w:pPr>
      <w:r>
        <w:rPr>
          <w:rFonts w:hint="eastAsia"/>
        </w:rPr>
        <w:t>被监督检查的单位和个人应当接受城市公共交通管理部门及其工作人员依法实施的监督检查，如实提供有关资料或者说明情况。</w:t>
      </w:r>
    </w:p>
    <w:p>
      <w:pPr>
        <w:widowControl w:val="0"/>
        <w:wordWrap/>
        <w:adjustRightInd/>
        <w:snapToGrid/>
        <w:spacing w:before="0" w:after="0" w:line="240" w:lineRule="auto"/>
        <w:ind w:right="0" w:firstLine="640"/>
        <w:textAlignment w:val="auto"/>
        <w:outlineLvl w:val="9"/>
      </w:pPr>
      <w:r>
        <w:rPr>
          <w:rFonts w:hint="eastAsia" w:ascii="仿宋" w:hAnsi="仿宋" w:eastAsia="仿宋" w:cs="仿宋"/>
          <w:b/>
          <w:bCs w:val="0"/>
        </w:rPr>
        <w:t>第五十六条【服务质量评价】</w:t>
      </w:r>
      <w:r>
        <w:rPr>
          <w:rFonts w:hint="eastAsia"/>
        </w:rPr>
        <w:t>城市公共交通管理部门应当建立运营企业服务质量评价制度，定期对运营企业的服务质量进行评价并向社会公布</w:t>
      </w:r>
      <w:r>
        <w:t>，</w:t>
      </w:r>
      <w:r>
        <w:rPr>
          <w:rFonts w:hint="eastAsia"/>
        </w:rPr>
        <w:t>评价</w:t>
      </w:r>
      <w:r>
        <w:t>结果作为衡量</w:t>
      </w:r>
      <w:r>
        <w:rPr>
          <w:rFonts w:hint="eastAsia"/>
        </w:rPr>
        <w:t>运营企业</w:t>
      </w:r>
      <w:r>
        <w:t>运营绩效、发放政府补贴</w:t>
      </w:r>
      <w:r>
        <w:rPr>
          <w:rFonts w:hint="eastAsia"/>
        </w:rPr>
        <w:t>和</w:t>
      </w:r>
      <w:r>
        <w:t>线路</w:t>
      </w:r>
      <w:r>
        <w:rPr>
          <w:rFonts w:hint="eastAsia"/>
        </w:rPr>
        <w:t>运营</w:t>
      </w:r>
      <w:r>
        <w:t>权管理等的依据</w:t>
      </w:r>
      <w:r>
        <w:rPr>
          <w:rFonts w:hint="eastAsia"/>
        </w:rPr>
        <w:t>。</w:t>
      </w:r>
    </w:p>
    <w:p>
      <w:pPr>
        <w:widowControl w:val="0"/>
        <w:wordWrap/>
        <w:adjustRightInd/>
        <w:snapToGrid/>
        <w:spacing w:before="0" w:after="0" w:line="240" w:lineRule="auto"/>
        <w:ind w:right="0" w:firstLine="640"/>
        <w:textAlignment w:val="auto"/>
        <w:outlineLvl w:val="9"/>
      </w:pPr>
      <w:r>
        <w:rPr>
          <w:rFonts w:hint="eastAsia"/>
        </w:rPr>
        <w:t>服务质量评价不合格的线路，责令相关运营企业整改，整改不合格的，城市公共交通管理部门可以根据线路运营服务协议撤销</w:t>
      </w:r>
      <w:r>
        <w:t>相应</w:t>
      </w:r>
      <w:r>
        <w:rPr>
          <w:rFonts w:hint="eastAsia"/>
        </w:rPr>
        <w:t>线路的运营权。</w:t>
      </w:r>
    </w:p>
    <w:p>
      <w:pPr>
        <w:widowControl w:val="0"/>
        <w:wordWrap/>
        <w:adjustRightInd/>
        <w:snapToGrid/>
        <w:spacing w:before="0" w:after="0" w:line="240" w:lineRule="auto"/>
        <w:ind w:right="0" w:firstLine="640"/>
        <w:textAlignment w:val="auto"/>
        <w:outlineLvl w:val="9"/>
      </w:pPr>
      <w:r>
        <w:rPr>
          <w:rFonts w:hint="eastAsia" w:ascii="仿宋" w:hAnsi="仿宋" w:eastAsia="仿宋" w:cs="仿宋"/>
          <w:b/>
          <w:bCs w:val="0"/>
        </w:rPr>
        <w:t>第五十七条【投诉受理制度】</w:t>
      </w:r>
      <w:r>
        <w:rPr>
          <w:rFonts w:hint="eastAsia"/>
        </w:rPr>
        <w:t>城市公共交通管理部门和运营企业应当分别建立城市公共交通服务投诉受理制度并向社会公布，及时核查和处理投诉事项，并将处理结果及时告知投诉人。</w:t>
      </w:r>
    </w:p>
    <w:p>
      <w:pPr>
        <w:widowControl w:val="0"/>
        <w:wordWrap/>
        <w:adjustRightInd/>
        <w:snapToGrid/>
        <w:spacing w:before="0" w:after="0" w:line="240" w:lineRule="auto"/>
        <w:ind w:right="0" w:firstLine="640"/>
        <w:textAlignment w:val="auto"/>
        <w:outlineLvl w:val="9"/>
      </w:pPr>
      <w:r>
        <w:rPr>
          <w:rFonts w:hint="eastAsia" w:ascii="仿宋" w:hAnsi="仿宋" w:eastAsia="仿宋" w:cs="仿宋"/>
          <w:b/>
          <w:bCs w:val="0"/>
        </w:rPr>
        <w:t>第五十八条【奖励机制】</w:t>
      </w:r>
      <w:r>
        <w:rPr>
          <w:rFonts w:hint="eastAsia"/>
        </w:rPr>
        <w:t>城市公共交通</w:t>
      </w:r>
      <w:r>
        <w:t>管理部门</w:t>
      </w:r>
      <w:r>
        <w:rPr>
          <w:rFonts w:hint="eastAsia"/>
        </w:rPr>
        <w:t>应当对完成政府指令性运输任务成绩突出，文明服务成绩显著，有救死扶伤、见义勇为等先进事迹的运营企业和相关从业</w:t>
      </w:r>
      <w:r>
        <w:t>人员</w:t>
      </w:r>
      <w:r>
        <w:rPr>
          <w:rFonts w:hint="eastAsia"/>
        </w:rPr>
        <w:t>，予以表彰和奖励。</w:t>
      </w:r>
    </w:p>
    <w:p>
      <w:pPr>
        <w:widowControl w:val="0"/>
        <w:wordWrap/>
        <w:adjustRightInd/>
        <w:snapToGrid/>
        <w:spacing w:before="0" w:after="0" w:line="240" w:lineRule="auto"/>
        <w:ind w:right="0" w:firstLine="0" w:firstLineChars="0"/>
        <w:jc w:val="center"/>
        <w:textAlignment w:val="auto"/>
        <w:outlineLvl w:val="9"/>
        <w:rPr>
          <w:rFonts w:hint="eastAsia" w:ascii="仿宋" w:hAnsi="仿宋" w:eastAsia="仿宋" w:cs="仿宋"/>
          <w:b/>
          <w:bCs w:val="0"/>
        </w:rPr>
      </w:pPr>
      <w:r>
        <w:rPr>
          <w:rFonts w:hint="eastAsia" w:ascii="仿宋" w:hAnsi="仿宋" w:eastAsia="仿宋" w:cs="仿宋"/>
          <w:b/>
          <w:bCs w:val="0"/>
        </w:rPr>
        <w:t>第七章 法律责任</w:t>
      </w:r>
    </w:p>
    <w:p>
      <w:pPr>
        <w:widowControl w:val="0"/>
        <w:wordWrap/>
        <w:adjustRightInd/>
        <w:snapToGrid/>
        <w:spacing w:before="0" w:after="0" w:line="240" w:lineRule="auto"/>
        <w:ind w:right="0" w:firstLine="640"/>
        <w:textAlignment w:val="auto"/>
        <w:outlineLvl w:val="9"/>
      </w:pPr>
      <w:r>
        <w:rPr>
          <w:rFonts w:hint="eastAsia" w:ascii="仿宋" w:hAnsi="仿宋" w:eastAsia="仿宋" w:cs="仿宋"/>
          <w:b/>
          <w:bCs w:val="0"/>
        </w:rPr>
        <w:t>第五十九条【擅自从事线路运营的责任】</w:t>
      </w:r>
      <w:r>
        <w:rPr>
          <w:rFonts w:hint="eastAsia"/>
        </w:rPr>
        <w:t>未经城市公共交通管理部门确定，擅自从事城市公共汽电车线路运营的，由城市公共交通管理部门责令停止运营，没收违法所得，并处</w:t>
      </w:r>
      <w:r>
        <w:t>2</w:t>
      </w:r>
      <w:r>
        <w:rPr>
          <w:rFonts w:hint="eastAsia"/>
        </w:rPr>
        <w:t>万元以上</w:t>
      </w:r>
      <w:r>
        <w:t>3</w:t>
      </w:r>
      <w:r>
        <w:rPr>
          <w:rFonts w:hint="eastAsia"/>
        </w:rPr>
        <w:t>万元以下的罚款。</w:t>
      </w:r>
    </w:p>
    <w:p>
      <w:pPr>
        <w:widowControl w:val="0"/>
        <w:wordWrap/>
        <w:adjustRightInd/>
        <w:snapToGrid/>
        <w:spacing w:before="0" w:after="0" w:line="240" w:lineRule="auto"/>
        <w:ind w:right="0" w:firstLine="640"/>
        <w:textAlignment w:val="auto"/>
        <w:outlineLvl w:val="9"/>
      </w:pPr>
      <w:r>
        <w:rPr>
          <w:rFonts w:hint="eastAsia" w:ascii="仿宋" w:hAnsi="仿宋" w:eastAsia="仿宋" w:cs="仿宋"/>
          <w:b/>
          <w:bCs w:val="0"/>
        </w:rPr>
        <w:t>第六十条【未设置标识标志的责任】</w:t>
      </w:r>
      <w:r>
        <w:rPr>
          <w:rFonts w:hint="eastAsia"/>
        </w:rPr>
        <w:t>运营企业违反本规定</w:t>
      </w:r>
      <w:r>
        <w:t>第</w:t>
      </w:r>
      <w:r>
        <w:rPr>
          <w:rFonts w:hint="eastAsia"/>
        </w:rPr>
        <w:t>二十六</w:t>
      </w:r>
      <w:r>
        <w:t>条</w:t>
      </w:r>
      <w:r>
        <w:rPr>
          <w:rFonts w:hint="eastAsia"/>
        </w:rPr>
        <w:t>、</w:t>
      </w:r>
      <w:r>
        <w:t>第二十七条</w:t>
      </w:r>
      <w:r>
        <w:rPr>
          <w:rFonts w:hint="eastAsia"/>
        </w:rPr>
        <w:t>规定的，由城市公共交通管理部门责令限期改正；逾期不改正的，处5000元以下的罚款。</w:t>
      </w:r>
    </w:p>
    <w:p>
      <w:pPr>
        <w:widowControl w:val="0"/>
        <w:wordWrap/>
        <w:adjustRightInd/>
        <w:snapToGrid/>
        <w:spacing w:before="0" w:after="0" w:line="240" w:lineRule="auto"/>
        <w:ind w:right="0" w:firstLine="640"/>
        <w:textAlignment w:val="auto"/>
        <w:outlineLvl w:val="9"/>
      </w:pPr>
      <w:r>
        <w:rPr>
          <w:rFonts w:hint="eastAsia" w:ascii="仿宋" w:hAnsi="仿宋" w:eastAsia="仿宋" w:cs="仿宋"/>
          <w:b/>
          <w:bCs w:val="0"/>
        </w:rPr>
        <w:t>第六十一条【违反企业安全管理规定的责任】</w:t>
      </w:r>
      <w:r>
        <w:rPr>
          <w:rFonts w:hint="eastAsia"/>
        </w:rPr>
        <w:t>运营企业有下列行为之一的，由城市公共交通管理部门责令限期改正；逾期未改正的，处5000元以上</w:t>
      </w:r>
      <w:r>
        <w:t>1</w:t>
      </w:r>
      <w:r>
        <w:rPr>
          <w:rFonts w:hint="eastAsia"/>
        </w:rPr>
        <w:t>万元以下的罚款；情节特别严重的，撤销其部分或者全部线路运营权：</w:t>
      </w:r>
    </w:p>
    <w:p>
      <w:pPr>
        <w:widowControl w:val="0"/>
        <w:wordWrap/>
        <w:adjustRightInd/>
        <w:snapToGrid/>
        <w:spacing w:before="0" w:after="0" w:line="240" w:lineRule="auto"/>
        <w:ind w:right="0" w:firstLine="640"/>
        <w:textAlignment w:val="auto"/>
        <w:outlineLvl w:val="9"/>
      </w:pPr>
      <w:r>
        <w:rPr>
          <w:rFonts w:hint="eastAsia"/>
        </w:rPr>
        <w:t>（一）未定期对城市公共汽电车车辆</w:t>
      </w:r>
      <w:r>
        <w:t>及其</w:t>
      </w:r>
      <w:r>
        <w:rPr>
          <w:rFonts w:hint="eastAsia"/>
        </w:rPr>
        <w:t>安全设施、设备进行检测、维护、更新的；</w:t>
      </w:r>
    </w:p>
    <w:p>
      <w:pPr>
        <w:widowControl w:val="0"/>
        <w:wordWrap/>
        <w:adjustRightInd/>
        <w:snapToGrid/>
        <w:spacing w:before="0" w:after="0" w:line="240" w:lineRule="auto"/>
        <w:ind w:right="0" w:firstLine="640"/>
        <w:textAlignment w:val="auto"/>
        <w:outlineLvl w:val="9"/>
      </w:pPr>
      <w:r>
        <w:rPr>
          <w:rFonts w:hint="eastAsia"/>
        </w:rPr>
        <w:t>（二）未在城市公共汽电车车辆和场站醒目位置设置安全警示标志、安全疏散示意图和安全应急设备的；</w:t>
      </w:r>
    </w:p>
    <w:p>
      <w:pPr>
        <w:widowControl w:val="0"/>
        <w:wordWrap/>
        <w:adjustRightInd/>
        <w:snapToGrid/>
        <w:spacing w:before="0" w:after="0" w:line="240" w:lineRule="auto"/>
        <w:ind w:right="0" w:firstLine="640"/>
        <w:textAlignment w:val="auto"/>
        <w:outlineLvl w:val="9"/>
      </w:pPr>
      <w:r>
        <w:rPr>
          <w:rFonts w:hint="eastAsia"/>
        </w:rPr>
        <w:t>（三）使用不具备本规定第二十八条规定条件的人员担任驾驶员、乘务员的；</w:t>
      </w:r>
    </w:p>
    <w:p>
      <w:pPr>
        <w:widowControl w:val="0"/>
        <w:wordWrap/>
        <w:adjustRightInd/>
        <w:snapToGrid/>
        <w:spacing w:before="0" w:after="0" w:line="240" w:lineRule="auto"/>
        <w:ind w:right="0" w:firstLine="640"/>
        <w:textAlignment w:val="auto"/>
        <w:outlineLvl w:val="9"/>
      </w:pPr>
      <w:r>
        <w:rPr>
          <w:rFonts w:hint="eastAsia"/>
        </w:rPr>
        <w:t>（四）未对拟担任驾驶员、乘务员的人员进行培训、考核并存档备查的。</w:t>
      </w:r>
    </w:p>
    <w:p>
      <w:pPr>
        <w:widowControl w:val="0"/>
        <w:wordWrap/>
        <w:adjustRightInd/>
        <w:snapToGrid/>
        <w:spacing w:before="0" w:after="0" w:line="240" w:lineRule="auto"/>
        <w:ind w:right="0" w:firstLine="640"/>
        <w:textAlignment w:val="auto"/>
        <w:outlineLvl w:val="9"/>
      </w:pPr>
      <w:r>
        <w:rPr>
          <w:rFonts w:hint="eastAsia" w:ascii="仿宋" w:hAnsi="仿宋" w:eastAsia="仿宋" w:cs="仿宋"/>
          <w:b/>
          <w:bCs w:val="0"/>
        </w:rPr>
        <w:t>第六十二条【未制定应急预案的责任】</w:t>
      </w:r>
      <w:r>
        <w:rPr>
          <w:rFonts w:hint="eastAsia"/>
        </w:rPr>
        <w:t>运营企业未制定应急预案并组织演练的，由城市公共交通管理部门责令限期改正，并处1万元以下的罚款。</w:t>
      </w:r>
    </w:p>
    <w:p>
      <w:pPr>
        <w:widowControl w:val="0"/>
        <w:wordWrap/>
        <w:adjustRightInd/>
        <w:snapToGrid/>
        <w:spacing w:before="0" w:after="0" w:line="240" w:lineRule="auto"/>
        <w:ind w:right="0" w:firstLine="640"/>
        <w:textAlignment w:val="auto"/>
        <w:outlineLvl w:val="9"/>
      </w:pPr>
      <w:r>
        <w:rPr>
          <w:rFonts w:hint="eastAsia"/>
        </w:rPr>
        <w:t>发生影响城市公共汽电车运营安全的突发事件时，运营企业未按照应急预案的规定采取应急处置措施，造成严重后果的，由城市公共交通管理部门暂停或者撤销其部分或者全部线路</w:t>
      </w:r>
      <w:r>
        <w:t>运</w:t>
      </w:r>
      <w:r>
        <w:rPr>
          <w:rFonts w:hint="eastAsia"/>
        </w:rPr>
        <w:t>营权，并处</w:t>
      </w:r>
      <w:r>
        <w:t>2</w:t>
      </w:r>
      <w:r>
        <w:rPr>
          <w:rFonts w:hint="eastAsia"/>
        </w:rPr>
        <w:t>万元以上</w:t>
      </w:r>
      <w:r>
        <w:t>3</w:t>
      </w:r>
      <w:r>
        <w:rPr>
          <w:rFonts w:hint="eastAsia"/>
        </w:rPr>
        <w:t>万元以下的罚款。</w:t>
      </w:r>
    </w:p>
    <w:p>
      <w:pPr>
        <w:widowControl w:val="0"/>
        <w:wordWrap/>
        <w:adjustRightInd/>
        <w:snapToGrid/>
        <w:spacing w:before="0" w:after="0" w:line="240" w:lineRule="auto"/>
        <w:ind w:right="0" w:firstLine="640"/>
        <w:textAlignment w:val="auto"/>
        <w:outlineLvl w:val="9"/>
      </w:pPr>
      <w:r>
        <w:rPr>
          <w:rFonts w:hint="eastAsia" w:ascii="仿宋" w:hAnsi="仿宋" w:eastAsia="仿宋" w:cs="仿宋"/>
          <w:b/>
          <w:bCs w:val="0"/>
        </w:rPr>
        <w:t>第六十三条【未按规定对设施进行管理维护的责任】</w:t>
      </w:r>
      <w:r>
        <w:rPr>
          <w:rFonts w:hint="eastAsia"/>
        </w:rPr>
        <w:t>城市公共汽电车场站和服务设施的日常管理单位未按照规定对有关场站设施进行管理和维护的，由城市公共交通管理部门责令限期改正；逾期未改正的，处1万元以下的罚款。</w:t>
      </w:r>
    </w:p>
    <w:p>
      <w:pPr>
        <w:widowControl w:val="0"/>
        <w:wordWrap/>
        <w:adjustRightInd/>
        <w:snapToGrid/>
        <w:spacing w:before="0" w:after="0" w:line="240" w:lineRule="auto"/>
        <w:ind w:right="0" w:firstLine="640"/>
        <w:textAlignment w:val="auto"/>
        <w:outlineLvl w:val="9"/>
      </w:pPr>
      <w:r>
        <w:rPr>
          <w:rFonts w:hint="eastAsia" w:ascii="仿宋" w:hAnsi="仿宋" w:eastAsia="仿宋" w:cs="仿宋"/>
          <w:b/>
          <w:bCs w:val="0"/>
        </w:rPr>
        <w:t>第六十四条【违反治安管理行为处罚】</w:t>
      </w:r>
      <w:r>
        <w:rPr>
          <w:rFonts w:hint="eastAsia"/>
        </w:rPr>
        <w:t>违法携带违禁物品进站乘车的，或者有</w:t>
      </w:r>
      <w:r>
        <w:t>本规定第五十一条</w:t>
      </w:r>
      <w:r>
        <w:rPr>
          <w:rFonts w:hint="eastAsia"/>
        </w:rPr>
        <w:t>危害</w:t>
      </w:r>
      <w:r>
        <w:t>运营安全行为的，</w:t>
      </w:r>
      <w:r>
        <w:rPr>
          <w:rFonts w:hint="eastAsia"/>
        </w:rPr>
        <w:t>运营企业应当报当地公安部门依法处理。</w:t>
      </w:r>
    </w:p>
    <w:p>
      <w:pPr>
        <w:widowControl w:val="0"/>
        <w:wordWrap/>
        <w:adjustRightInd/>
        <w:snapToGrid/>
        <w:spacing w:before="0" w:after="0" w:line="240" w:lineRule="auto"/>
        <w:ind w:right="0" w:firstLine="640"/>
        <w:textAlignment w:val="auto"/>
        <w:outlineLvl w:val="9"/>
        <w:rPr>
          <w:b/>
        </w:rPr>
      </w:pPr>
      <w:r>
        <w:rPr>
          <w:rFonts w:hint="eastAsia" w:ascii="仿宋" w:hAnsi="仿宋" w:eastAsia="仿宋" w:cs="仿宋"/>
          <w:b/>
          <w:bCs w:val="0"/>
        </w:rPr>
        <w:t>第六十五条【危害设施行为的责任】</w:t>
      </w:r>
      <w:r>
        <w:rPr>
          <w:rFonts w:hint="eastAsia"/>
        </w:rPr>
        <w:t>违反本规定第五十</w:t>
      </w:r>
      <w:r>
        <w:t>二</w:t>
      </w:r>
      <w:r>
        <w:rPr>
          <w:rFonts w:hint="eastAsia"/>
        </w:rPr>
        <w:t>条，有危害城市公共汽电车客运服务设施行为的，由城市公共交通管理部门责令改正，对损坏的设施依法赔偿，并对个人处1000元以下的罚款，对单位处5000元以下的罚款。</w:t>
      </w:r>
      <w:r>
        <w:rPr>
          <w:rFonts w:hint="eastAsia" w:hAnsi="仿宋_GB2312"/>
        </w:rPr>
        <w:t>构成犯罪的，依法追究刑事责任</w:t>
      </w:r>
      <w:r>
        <w:rPr>
          <w:rFonts w:hint="eastAsia"/>
        </w:rPr>
        <w:t>。</w:t>
      </w:r>
    </w:p>
    <w:p>
      <w:pPr>
        <w:widowControl w:val="0"/>
        <w:wordWrap/>
        <w:adjustRightInd/>
        <w:snapToGrid/>
        <w:spacing w:before="0" w:after="0" w:line="240" w:lineRule="auto"/>
        <w:ind w:right="0" w:firstLine="640"/>
        <w:textAlignment w:val="auto"/>
        <w:outlineLvl w:val="9"/>
      </w:pPr>
      <w:r>
        <w:rPr>
          <w:rFonts w:hint="eastAsia" w:ascii="仿宋" w:hAnsi="仿宋" w:eastAsia="仿宋" w:cs="仿宋"/>
          <w:b/>
          <w:bCs w:val="0"/>
        </w:rPr>
        <w:t>第六十六条【责任处分规定】</w:t>
      </w:r>
      <w:r>
        <w:rPr>
          <w:rFonts w:hint="eastAsia"/>
        </w:rPr>
        <w:t>城市公共交通管理部门不履行本规定职责、造成严重后果的，</w:t>
      </w:r>
      <w:r>
        <w:rPr>
          <w:rFonts w:hint="eastAsia" w:hAnsi="黑体"/>
        </w:rPr>
        <w:t>或者有其他滥用职权、玩忽职守、徇私舞弊行为的</w:t>
      </w:r>
      <w:r>
        <w:rPr>
          <w:rFonts w:hint="eastAsia"/>
        </w:rPr>
        <w:t>，对负有责任的领导人员和直接责任人员依法给予处分；构成犯罪的，依法追究刑事责任。</w:t>
      </w:r>
    </w:p>
    <w:p>
      <w:pPr>
        <w:widowControl w:val="0"/>
        <w:wordWrap/>
        <w:adjustRightInd/>
        <w:snapToGrid/>
        <w:spacing w:before="0" w:after="0" w:line="240" w:lineRule="auto"/>
        <w:ind w:right="0" w:firstLine="0" w:firstLineChars="0"/>
        <w:jc w:val="center"/>
        <w:textAlignment w:val="auto"/>
        <w:outlineLvl w:val="9"/>
        <w:rPr>
          <w:rFonts w:ascii="黑体" w:hAnsi="黑体" w:eastAsia="黑体"/>
        </w:rPr>
      </w:pPr>
      <w:r>
        <w:rPr>
          <w:rFonts w:hint="eastAsia" w:ascii="仿宋" w:hAnsi="仿宋" w:eastAsia="仿宋" w:cs="仿宋"/>
          <w:b/>
          <w:bCs w:val="0"/>
        </w:rPr>
        <w:t>第八章　附则</w:t>
      </w:r>
    </w:p>
    <w:p>
      <w:pPr>
        <w:widowControl w:val="0"/>
        <w:wordWrap/>
        <w:adjustRightInd/>
        <w:snapToGrid/>
        <w:spacing w:before="0" w:after="0" w:line="240" w:lineRule="auto"/>
        <w:ind w:right="0" w:firstLine="640"/>
        <w:textAlignment w:val="auto"/>
        <w:outlineLvl w:val="9"/>
      </w:pPr>
      <w:r>
        <w:rPr>
          <w:rFonts w:hint="eastAsia" w:ascii="仿宋" w:hAnsi="仿宋" w:eastAsia="仿宋" w:cs="仿宋"/>
          <w:b/>
          <w:bCs w:val="0"/>
        </w:rPr>
        <w:t>第六十七条【县（自治县、旗、自治旗）的适用性】</w:t>
      </w:r>
      <w:r>
        <w:rPr>
          <w:rFonts w:hint="eastAsia"/>
        </w:rPr>
        <w:t>县（自治县、旗、自治旗、团场）开通公共汽电车客运的，参照适用本规定。</w:t>
      </w:r>
    </w:p>
    <w:p>
      <w:pPr>
        <w:widowControl w:val="0"/>
        <w:wordWrap/>
        <w:adjustRightInd/>
        <w:snapToGrid/>
        <w:spacing w:before="0" w:after="0" w:line="240" w:lineRule="auto"/>
        <w:ind w:right="0" w:firstLine="640"/>
        <w:textAlignment w:val="auto"/>
        <w:outlineLvl w:val="9"/>
      </w:pPr>
      <w:r>
        <w:rPr>
          <w:rFonts w:hint="eastAsia" w:ascii="仿宋" w:hAnsi="仿宋" w:eastAsia="仿宋" w:cs="仿宋"/>
          <w:b/>
          <w:bCs w:val="0"/>
        </w:rPr>
        <w:t>第六十八条【城市之间的适用性】</w:t>
      </w:r>
      <w:r>
        <w:rPr>
          <w:rFonts w:hint="eastAsia"/>
        </w:rPr>
        <w:t>经相关城市人民政府协商开通的毗邻城市间公共汽电车客</w:t>
      </w:r>
      <w:bookmarkStart w:id="1" w:name="_GoBack"/>
      <w:bookmarkEnd w:id="1"/>
      <w:r>
        <w:rPr>
          <w:rFonts w:hint="eastAsia"/>
        </w:rPr>
        <w:t>运，参照适用本规定。</w:t>
      </w:r>
    </w:p>
    <w:p>
      <w:pPr>
        <w:widowControl w:val="0"/>
        <w:wordWrap/>
        <w:adjustRightInd/>
        <w:snapToGrid/>
        <w:spacing w:before="0" w:after="0" w:line="240" w:lineRule="auto"/>
        <w:ind w:right="0" w:firstLine="640"/>
        <w:textAlignment w:val="auto"/>
        <w:outlineLvl w:val="9"/>
      </w:pPr>
      <w:r>
        <w:rPr>
          <w:rFonts w:hint="eastAsia" w:ascii="仿宋" w:hAnsi="仿宋" w:eastAsia="仿宋" w:cs="仿宋"/>
          <w:b/>
          <w:bCs w:val="0"/>
        </w:rPr>
        <w:t>第六十九条【生效时限】</w:t>
      </w:r>
      <w:r>
        <w:rPr>
          <w:rFonts w:hint="eastAsia"/>
        </w:rPr>
        <w:t>本规定自  年  月  日起施行。</w:t>
      </w:r>
    </w:p>
    <w:p>
      <w:pPr>
        <w:ind w:firstLine="0" w:firstLineChars="0"/>
      </w:pPr>
    </w:p>
    <w:sectPr>
      <w:headerReference r:id="rId6" w:type="first"/>
      <w:footerReference r:id="rId9" w:type="first"/>
      <w:headerReference r:id="rId4" w:type="default"/>
      <w:footerReference r:id="rId7" w:type="default"/>
      <w:headerReference r:id="rId5" w:type="even"/>
      <w:footerReference r:id="rId8" w:type="even"/>
      <w:pgSz w:w="11906" w:h="16838"/>
      <w:pgMar w:top="1440" w:right="1800" w:bottom="1440" w:left="1800" w:header="851" w:footer="992" w:gutter="0"/>
      <w:pgNumType w:start="1"/>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auto"/>
    <w:pitch w:val="default"/>
    <w:sig w:usb0="00000001" w:usb1="080E0000" w:usb2="00000010" w:usb3="00000000" w:csb0="00040000" w:csb1="00000000"/>
  </w:font>
  <w:font w:name="楷体_GB2312">
    <w:altName w:val="楷体"/>
    <w:panose1 w:val="02010609030101010101"/>
    <w:charset w:val="86"/>
    <w:family w:val="auto"/>
    <w:pitch w:val="default"/>
    <w:sig w:usb0="00000001" w:usb1="080E0000" w:usb2="00000010" w:usb3="00000000" w:csb0="00040000"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Calibri Light">
    <w:panose1 w:val="020F0302020204030204"/>
    <w:charset w:val="00"/>
    <w:family w:val="auto"/>
    <w:pitch w:val="default"/>
    <w:sig w:usb0="A00002EF" w:usb1="4000207B" w:usb2="00000000" w:usb3="00000000" w:csb0="2000019F" w:csb1="00000000"/>
  </w:font>
  <w:font w:name="方正小标宋简体">
    <w:altName w:val="Arial Unicode MS"/>
    <w:panose1 w:val="02010601030101010101"/>
    <w:charset w:val="86"/>
    <w:family w:val="auto"/>
    <w:pitch w:val="default"/>
    <w:sig w:usb0="00000001" w:usb1="080E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0"/>
      <w:ind w:firstLine="360"/>
      <w:jc w:val="center"/>
      <w:rPr>
        <w:sz w:val="21"/>
      </w:rPr>
    </w:pPr>
    <w:r>
      <w:fldChar w:fldCharType="begin"/>
    </w:r>
    <w:r>
      <w:instrText xml:space="preserve">PAGE   \* MERGEFORMAT</w:instrText>
    </w:r>
    <w:r>
      <w:fldChar w:fldCharType="separate"/>
    </w:r>
    <w:r>
      <w:rPr>
        <w:lang w:val="zh-CN"/>
      </w:rPr>
      <w:t>20</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0"/>
      <w:ind w:firstLine="360"/>
      <w:rPr>
        <w:rStyle w:val="37"/>
      </w:rPr>
    </w:pPr>
    <w:r>
      <w:fldChar w:fldCharType="begin"/>
    </w:r>
    <w:r>
      <w:rPr>
        <w:rStyle w:val="37"/>
      </w:rPr>
      <w:instrText xml:space="preserve">PAGE  </w:instrText>
    </w:r>
    <w:r>
      <w:fldChar w:fldCharType="separate"/>
    </w:r>
    <w:r>
      <w:rPr>
        <w:rStyle w:val="37"/>
      </w:rPr>
      <w:t>- 31 -</w:t>
    </w:r>
    <w:r>
      <w:fldChar w:fldCharType="end"/>
    </w:r>
  </w:p>
  <w:p>
    <w:pPr>
      <w:pStyle w:val="10"/>
      <w:ind w:firstLine="360"/>
    </w:pPr>
  </w:p>
  <w:p>
    <w:pPr>
      <w:ind w:firstLine="64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0"/>
      <w:ind w:firstLine="360"/>
    </w:pPr>
    <w:r>
      <w:fldChar w:fldCharType="begin"/>
    </w:r>
    <w:r>
      <w:rPr>
        <w:rStyle w:val="17"/>
      </w:rPr>
      <w:instrText xml:space="preserve"> PAGE  </w:instrText>
    </w:r>
    <w:r>
      <w:fldChar w:fldCharType="separate"/>
    </w:r>
    <w:r>
      <w:rPr>
        <w:rStyle w:val="17"/>
      </w:rPr>
      <w:t>- 31 -</w:t>
    </w:r>
    <w:r>
      <w:fldChar w:fldCharType="end"/>
    </w:r>
  </w:p>
  <w:p>
    <w:pPr>
      <w:pStyle w:val="10"/>
      <w:ind w:firstLine="360"/>
    </w:pPr>
  </w:p>
  <w:p>
    <w:pPr>
      <w:ind w:firstLine="64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ind w:left="640" w:firstLine="0" w:firstLineChars="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1"/>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1"/>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288970466">
    <w:nsid w:val="4CD420E2"/>
    <w:multiLevelType w:val="multilevel"/>
    <w:tmpl w:val="4CD420E2"/>
    <w:lvl w:ilvl="0" w:tentative="1">
      <w:start w:val="1"/>
      <w:numFmt w:val="decimal"/>
      <w:pStyle w:val="28"/>
      <w:lvlText w:val="%1."/>
      <w:lvlJc w:val="left"/>
      <w:pPr>
        <w:ind w:left="1060" w:hanging="420"/>
      </w:pPr>
    </w:lvl>
    <w:lvl w:ilvl="1" w:tentative="1">
      <w:start w:val="1"/>
      <w:numFmt w:val="lowerLetter"/>
      <w:lvlText w:val="%2)"/>
      <w:lvlJc w:val="left"/>
      <w:pPr>
        <w:ind w:left="1480" w:hanging="420"/>
      </w:pPr>
    </w:lvl>
    <w:lvl w:ilvl="2" w:tentative="1">
      <w:start w:val="1"/>
      <w:numFmt w:val="lowerRoman"/>
      <w:lvlText w:val="%3."/>
      <w:lvlJc w:val="right"/>
      <w:pPr>
        <w:ind w:left="1900" w:hanging="420"/>
      </w:pPr>
    </w:lvl>
    <w:lvl w:ilvl="3" w:tentative="1">
      <w:start w:val="1"/>
      <w:numFmt w:val="decimal"/>
      <w:lvlText w:val="%4."/>
      <w:lvlJc w:val="left"/>
      <w:pPr>
        <w:ind w:left="2320" w:hanging="420"/>
      </w:pPr>
    </w:lvl>
    <w:lvl w:ilvl="4" w:tentative="1">
      <w:start w:val="1"/>
      <w:numFmt w:val="lowerLetter"/>
      <w:lvlText w:val="%5)"/>
      <w:lvlJc w:val="left"/>
      <w:pPr>
        <w:ind w:left="2740" w:hanging="420"/>
      </w:pPr>
    </w:lvl>
    <w:lvl w:ilvl="5" w:tentative="1">
      <w:start w:val="1"/>
      <w:numFmt w:val="lowerRoman"/>
      <w:lvlText w:val="%6."/>
      <w:lvlJc w:val="right"/>
      <w:pPr>
        <w:ind w:left="3160" w:hanging="420"/>
      </w:pPr>
    </w:lvl>
    <w:lvl w:ilvl="6" w:tentative="1">
      <w:start w:val="1"/>
      <w:numFmt w:val="decimal"/>
      <w:lvlText w:val="%7."/>
      <w:lvlJc w:val="left"/>
      <w:pPr>
        <w:ind w:left="3580" w:hanging="420"/>
      </w:pPr>
    </w:lvl>
    <w:lvl w:ilvl="7" w:tentative="1">
      <w:start w:val="1"/>
      <w:numFmt w:val="lowerLetter"/>
      <w:lvlText w:val="%8)"/>
      <w:lvlJc w:val="left"/>
      <w:pPr>
        <w:ind w:left="4000" w:hanging="420"/>
      </w:pPr>
    </w:lvl>
    <w:lvl w:ilvl="8" w:tentative="1">
      <w:start w:val="1"/>
      <w:numFmt w:val="lowerRoman"/>
      <w:lvlText w:val="%9."/>
      <w:lvlJc w:val="right"/>
      <w:pPr>
        <w:ind w:left="4420" w:hanging="420"/>
      </w:pPr>
    </w:lvl>
  </w:abstractNum>
  <w:abstractNum w:abstractNumId="892810157">
    <w:nsid w:val="353733AD"/>
    <w:multiLevelType w:val="multilevel"/>
    <w:tmpl w:val="353733AD"/>
    <w:lvl w:ilvl="0" w:tentative="1">
      <w:start w:val="1"/>
      <w:numFmt w:val="chineseCountingThousand"/>
      <w:pStyle w:val="3"/>
      <w:lvlText w:val="(%1)"/>
      <w:lvlJc w:val="left"/>
      <w:pPr>
        <w:ind w:left="420" w:hanging="42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12553411">
    <w:nsid w:val="06B56DC3"/>
    <w:multiLevelType w:val="multilevel"/>
    <w:tmpl w:val="06B56DC3"/>
    <w:lvl w:ilvl="0" w:tentative="1">
      <w:start w:val="1"/>
      <w:numFmt w:val="chineseCountingThousand"/>
      <w:pStyle w:val="2"/>
      <w:lvlText w:val="%1、"/>
      <w:lvlJc w:val="left"/>
      <w:pPr>
        <w:ind w:left="420" w:hanging="42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602031098">
    <w:nsid w:val="23E243FA"/>
    <w:multiLevelType w:val="multilevel"/>
    <w:tmpl w:val="23E243FA"/>
    <w:lvl w:ilvl="0" w:tentative="1">
      <w:start w:val="1"/>
      <w:numFmt w:val="japaneseCounting"/>
      <w:lvlText w:val="（%1）"/>
      <w:lvlJc w:val="left"/>
      <w:pPr>
        <w:ind w:left="1720" w:hanging="1080"/>
      </w:pPr>
      <w:rPr>
        <w:rFonts w:hint="default"/>
      </w:rPr>
    </w:lvl>
    <w:lvl w:ilvl="1" w:tentative="1">
      <w:start w:val="1"/>
      <w:numFmt w:val="lowerLetter"/>
      <w:lvlText w:val="%2)"/>
      <w:lvlJc w:val="left"/>
      <w:pPr>
        <w:ind w:left="1480" w:hanging="420"/>
      </w:pPr>
    </w:lvl>
    <w:lvl w:ilvl="2" w:tentative="1">
      <w:start w:val="1"/>
      <w:numFmt w:val="lowerRoman"/>
      <w:lvlText w:val="%3."/>
      <w:lvlJc w:val="right"/>
      <w:pPr>
        <w:ind w:left="1900" w:hanging="420"/>
      </w:pPr>
    </w:lvl>
    <w:lvl w:ilvl="3" w:tentative="1">
      <w:start w:val="1"/>
      <w:numFmt w:val="decimal"/>
      <w:lvlText w:val="%4."/>
      <w:lvlJc w:val="left"/>
      <w:pPr>
        <w:ind w:left="2320" w:hanging="420"/>
      </w:pPr>
    </w:lvl>
    <w:lvl w:ilvl="4" w:tentative="1">
      <w:start w:val="1"/>
      <w:numFmt w:val="lowerLetter"/>
      <w:lvlText w:val="%5)"/>
      <w:lvlJc w:val="left"/>
      <w:pPr>
        <w:ind w:left="2740" w:hanging="420"/>
      </w:pPr>
    </w:lvl>
    <w:lvl w:ilvl="5" w:tentative="1">
      <w:start w:val="1"/>
      <w:numFmt w:val="lowerRoman"/>
      <w:lvlText w:val="%6."/>
      <w:lvlJc w:val="right"/>
      <w:pPr>
        <w:ind w:left="3160" w:hanging="420"/>
      </w:pPr>
    </w:lvl>
    <w:lvl w:ilvl="6" w:tentative="1">
      <w:start w:val="1"/>
      <w:numFmt w:val="decimal"/>
      <w:lvlText w:val="%7."/>
      <w:lvlJc w:val="left"/>
      <w:pPr>
        <w:ind w:left="3580" w:hanging="420"/>
      </w:pPr>
    </w:lvl>
    <w:lvl w:ilvl="7" w:tentative="1">
      <w:start w:val="1"/>
      <w:numFmt w:val="lowerLetter"/>
      <w:lvlText w:val="%8)"/>
      <w:lvlJc w:val="left"/>
      <w:pPr>
        <w:ind w:left="4000" w:hanging="420"/>
      </w:pPr>
    </w:lvl>
    <w:lvl w:ilvl="8" w:tentative="1">
      <w:start w:val="1"/>
      <w:numFmt w:val="lowerRoman"/>
      <w:lvlText w:val="%9."/>
      <w:lvlJc w:val="right"/>
      <w:pPr>
        <w:ind w:left="4420" w:hanging="420"/>
      </w:pPr>
    </w:lvl>
  </w:abstractNum>
  <w:abstractNum w:abstractNumId="1598052975">
    <w:nsid w:val="5F405A6F"/>
    <w:multiLevelType w:val="multilevel"/>
    <w:tmpl w:val="5F405A6F"/>
    <w:lvl w:ilvl="0" w:tentative="1">
      <w:start w:val="1"/>
      <w:numFmt w:val="japaneseCounting"/>
      <w:lvlText w:val="（%1）"/>
      <w:lvlJc w:val="left"/>
      <w:pPr>
        <w:ind w:left="1627" w:hanging="1080"/>
      </w:pPr>
      <w:rPr>
        <w:rFonts w:hint="default"/>
      </w:rPr>
    </w:lvl>
    <w:lvl w:ilvl="1" w:tentative="1">
      <w:start w:val="1"/>
      <w:numFmt w:val="lowerLetter"/>
      <w:lvlText w:val="%2)"/>
      <w:lvlJc w:val="left"/>
      <w:pPr>
        <w:ind w:left="1387" w:hanging="420"/>
      </w:pPr>
    </w:lvl>
    <w:lvl w:ilvl="2" w:tentative="1">
      <w:start w:val="1"/>
      <w:numFmt w:val="lowerRoman"/>
      <w:lvlText w:val="%3."/>
      <w:lvlJc w:val="right"/>
      <w:pPr>
        <w:ind w:left="1807" w:hanging="420"/>
      </w:pPr>
    </w:lvl>
    <w:lvl w:ilvl="3" w:tentative="1">
      <w:start w:val="1"/>
      <w:numFmt w:val="decimal"/>
      <w:lvlText w:val="%4."/>
      <w:lvlJc w:val="left"/>
      <w:pPr>
        <w:ind w:left="2227" w:hanging="420"/>
      </w:pPr>
    </w:lvl>
    <w:lvl w:ilvl="4" w:tentative="1">
      <w:start w:val="1"/>
      <w:numFmt w:val="lowerLetter"/>
      <w:lvlText w:val="%5)"/>
      <w:lvlJc w:val="left"/>
      <w:pPr>
        <w:ind w:left="2647" w:hanging="420"/>
      </w:pPr>
    </w:lvl>
    <w:lvl w:ilvl="5" w:tentative="1">
      <w:start w:val="1"/>
      <w:numFmt w:val="lowerRoman"/>
      <w:lvlText w:val="%6."/>
      <w:lvlJc w:val="right"/>
      <w:pPr>
        <w:ind w:left="3067" w:hanging="420"/>
      </w:pPr>
    </w:lvl>
    <w:lvl w:ilvl="6" w:tentative="1">
      <w:start w:val="1"/>
      <w:numFmt w:val="decimal"/>
      <w:lvlText w:val="%7."/>
      <w:lvlJc w:val="left"/>
      <w:pPr>
        <w:ind w:left="3487" w:hanging="420"/>
      </w:pPr>
    </w:lvl>
    <w:lvl w:ilvl="7" w:tentative="1">
      <w:start w:val="1"/>
      <w:numFmt w:val="lowerLetter"/>
      <w:lvlText w:val="%8)"/>
      <w:lvlJc w:val="left"/>
      <w:pPr>
        <w:ind w:left="3907" w:hanging="420"/>
      </w:pPr>
    </w:lvl>
    <w:lvl w:ilvl="8" w:tentative="1">
      <w:start w:val="1"/>
      <w:numFmt w:val="lowerRoman"/>
      <w:lvlText w:val="%9."/>
      <w:lvlJc w:val="right"/>
      <w:pPr>
        <w:ind w:left="4327" w:hanging="420"/>
      </w:pPr>
    </w:lvl>
  </w:abstractNum>
  <w:num w:numId="1">
    <w:abstractNumId w:val="112553411"/>
  </w:num>
  <w:num w:numId="2">
    <w:abstractNumId w:val="892810157"/>
  </w:num>
  <w:num w:numId="3">
    <w:abstractNumId w:val="1288970466"/>
  </w:num>
  <w:num w:numId="4">
    <w:abstractNumId w:val="602031098"/>
  </w:num>
  <w:num w:numId="5">
    <w:abstractNumId w:val="159805297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51"/>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0"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nhideWhenUsed="0" w:uiPriority="0" w:semiHidden="0" w:name="annotation text"/>
    <w:lsdException w:unhideWhenUsed="0" w:uiPriority="0" w:semiHidden="0" w:name="header"/>
    <w:lsdException w:unhideWhenUsed="0"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nhideWhenUsed="0" w:uiPriority="0" w:semiHidden="0" w:name="annotation reference"/>
    <w:lsdException w:uiPriority="0" w:name="line number"/>
    <w:lsdException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nhideWhenUsed="0" w:uiPriority="0" w:semiHidden="0" w:name="Hyperlink"/>
    <w:lsdException w:uiPriority="0" w:name="FollowedHyperlink"/>
    <w:lsdException w:qFormat="1" w:unhideWhenUsed="0" w:uiPriority="0" w:semiHidden="0" w:name="Strong"/>
    <w:lsdException w:qFormat="1" w:unhideWhenUsed="0" w:uiPriority="20" w:semiHidden="0" w:name="Emphasis"/>
    <w:lsdException w:uiPriority="0" w:name="Document Map"/>
    <w:lsdException w:uiPriority="0" w:name="Plain Text"/>
    <w:lsdException w:uiPriority="0" w:name="E-mail Signature"/>
    <w:lsdException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nhideWhenUsed="0" w:uiPriority="0" w:semiHidden="0" w:name="annotation subject"/>
    <w:lsdException w:unhideWhenUsed="0" w:uiPriority="0" w:semiHidden="0" w:name="Balloon Text"/>
  </w:latentStyles>
  <w:style w:type="paragraph" w:default="1" w:styleId="1">
    <w:name w:val="Normal"/>
    <w:qFormat/>
    <w:uiPriority w:val="0"/>
    <w:pPr>
      <w:widowControl w:val="0"/>
      <w:ind w:firstLine="200" w:firstLineChars="200"/>
    </w:pPr>
    <w:rPr>
      <w:rFonts w:ascii="仿宋_GB2312" w:hAnsi="Times New Roman" w:eastAsia="仿宋_GB2312" w:cs="Times New Roman"/>
      <w:bCs/>
      <w:kern w:val="2"/>
      <w:sz w:val="32"/>
      <w:szCs w:val="32"/>
      <w:lang w:val="en-US" w:eastAsia="zh-CN" w:bidi="ar-SA"/>
    </w:rPr>
  </w:style>
  <w:style w:type="paragraph" w:styleId="2">
    <w:name w:val="heading 1"/>
    <w:basedOn w:val="1"/>
    <w:next w:val="1"/>
    <w:link w:val="35"/>
    <w:qFormat/>
    <w:uiPriority w:val="0"/>
    <w:pPr>
      <w:numPr>
        <w:ilvl w:val="0"/>
        <w:numId w:val="1"/>
      </w:numPr>
      <w:ind w:left="0" w:firstLine="0" w:firstLineChars="0"/>
      <w:outlineLvl w:val="0"/>
    </w:pPr>
    <w:rPr>
      <w:rFonts w:ascii="黑体" w:hAnsi="黑体" w:eastAsia="黑体"/>
    </w:rPr>
  </w:style>
  <w:style w:type="paragraph" w:styleId="3">
    <w:name w:val="heading 2"/>
    <w:basedOn w:val="1"/>
    <w:next w:val="1"/>
    <w:link w:val="42"/>
    <w:unhideWhenUsed/>
    <w:qFormat/>
    <w:uiPriority w:val="9"/>
    <w:pPr>
      <w:numPr>
        <w:ilvl w:val="0"/>
        <w:numId w:val="2"/>
      </w:numPr>
      <w:ind w:left="0" w:firstLine="0" w:firstLineChars="0"/>
      <w:outlineLvl w:val="1"/>
    </w:pPr>
    <w:rPr>
      <w:rFonts w:ascii="楷体_GB2312" w:eastAsia="楷体_GB2312"/>
      <w:b/>
    </w:rPr>
  </w:style>
  <w:style w:type="paragraph" w:styleId="4">
    <w:name w:val="heading 3"/>
    <w:next w:val="1"/>
    <w:qFormat/>
    <w:uiPriority w:val="0"/>
    <w:pPr>
      <w:keepNext/>
      <w:keepLines/>
      <w:spacing w:before="260" w:after="260" w:line="413" w:lineRule="auto"/>
      <w:outlineLvl w:val="2"/>
    </w:pPr>
    <w:rPr>
      <w:b/>
      <w:bCs/>
      <w:kern w:val="2"/>
      <w:sz w:val="32"/>
      <w:szCs w:val="32"/>
    </w:rPr>
  </w:style>
  <w:style w:type="character" w:default="1" w:styleId="15">
    <w:name w:val="Default Paragraph Font"/>
    <w:semiHidden/>
    <w:unhideWhenUsed/>
    <w:uiPriority w:val="1"/>
  </w:style>
  <w:style w:type="paragraph" w:styleId="5">
    <w:name w:val="annotation subject"/>
    <w:basedOn w:val="6"/>
    <w:next w:val="6"/>
    <w:link w:val="39"/>
    <w:uiPriority w:val="0"/>
    <w:rPr>
      <w:b/>
      <w:bCs w:val="0"/>
    </w:rPr>
  </w:style>
  <w:style w:type="paragraph" w:styleId="6">
    <w:name w:val="annotation text"/>
    <w:basedOn w:val="1"/>
    <w:link w:val="38"/>
    <w:uiPriority w:val="0"/>
    <w:rPr>
      <w:sz w:val="28"/>
    </w:rPr>
  </w:style>
  <w:style w:type="character" w:customStyle="1" w:styleId="7">
    <w:name w:val="日期 Char"/>
    <w:link w:val="8"/>
    <w:uiPriority w:val="0"/>
    <w:rPr>
      <w:kern w:val="2"/>
      <w:sz w:val="28"/>
      <w:szCs w:val="28"/>
    </w:rPr>
  </w:style>
  <w:style w:type="paragraph" w:customStyle="1" w:styleId="8">
    <w:name w:val="日期1"/>
    <w:basedOn w:val="1"/>
    <w:next w:val="1"/>
    <w:link w:val="7"/>
    <w:uiPriority w:val="0"/>
    <w:pPr>
      <w:ind w:left="100" w:leftChars="2500"/>
    </w:pPr>
    <w:rPr>
      <w:sz w:val="28"/>
    </w:rPr>
  </w:style>
  <w:style w:type="paragraph" w:styleId="9">
    <w:name w:val="Balloon Text"/>
    <w:basedOn w:val="1"/>
    <w:link w:val="36"/>
    <w:uiPriority w:val="0"/>
    <w:rPr>
      <w:sz w:val="18"/>
      <w:szCs w:val="18"/>
    </w:rPr>
  </w:style>
  <w:style w:type="paragraph" w:styleId="10">
    <w:name w:val="footer"/>
    <w:basedOn w:val="1"/>
    <w:link w:val="46"/>
    <w:uiPriority w:val="99"/>
    <w:pPr>
      <w:tabs>
        <w:tab w:val="center" w:pos="4153"/>
        <w:tab w:val="right" w:pos="8306"/>
      </w:tabs>
      <w:snapToGrid w:val="0"/>
    </w:pPr>
    <w:rPr>
      <w:sz w:val="18"/>
      <w:szCs w:val="18"/>
    </w:rPr>
  </w:style>
  <w:style w:type="paragraph" w:styleId="11">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12">
    <w:name w:val="toc 1"/>
    <w:basedOn w:val="1"/>
    <w:next w:val="1"/>
    <w:uiPriority w:val="0"/>
  </w:style>
  <w:style w:type="paragraph" w:styleId="13">
    <w:name w:val="Normal (Web)"/>
    <w:basedOn w:val="1"/>
    <w:unhideWhenUsed/>
    <w:uiPriority w:val="0"/>
    <w:pPr>
      <w:widowControl/>
      <w:spacing w:before="100" w:beforeAutospacing="1" w:after="100" w:afterAutospacing="1"/>
    </w:pPr>
    <w:rPr>
      <w:rFonts w:ascii="宋体" w:hAnsi="宋体" w:cs="宋体"/>
      <w:kern w:val="0"/>
      <w:sz w:val="24"/>
      <w:szCs w:val="24"/>
    </w:rPr>
  </w:style>
  <w:style w:type="paragraph" w:styleId="14">
    <w:name w:val="Title"/>
    <w:basedOn w:val="1"/>
    <w:next w:val="1"/>
    <w:link w:val="43"/>
    <w:qFormat/>
    <w:uiPriority w:val="10"/>
    <w:pPr>
      <w:spacing w:before="240" w:after="60"/>
      <w:jc w:val="center"/>
      <w:outlineLvl w:val="0"/>
    </w:pPr>
    <w:rPr>
      <w:rFonts w:ascii="Calibri Light" w:hAnsi="Calibri Light"/>
      <w:b/>
      <w:bCs w:val="0"/>
    </w:rPr>
  </w:style>
  <w:style w:type="character" w:styleId="16">
    <w:name w:val="Strong"/>
    <w:qFormat/>
    <w:uiPriority w:val="0"/>
    <w:rPr>
      <w:b/>
      <w:bCs/>
    </w:rPr>
  </w:style>
  <w:style w:type="character" w:styleId="17">
    <w:name w:val="page number"/>
    <w:basedOn w:val="15"/>
    <w:uiPriority w:val="0"/>
    <w:rPr/>
  </w:style>
  <w:style w:type="character" w:styleId="18">
    <w:name w:val="Hyperlink"/>
    <w:uiPriority w:val="0"/>
    <w:rPr>
      <w:color w:val="0000FF"/>
      <w:u w:val="single"/>
    </w:rPr>
  </w:style>
  <w:style w:type="character" w:styleId="19">
    <w:name w:val="annotation reference"/>
    <w:uiPriority w:val="0"/>
    <w:rPr>
      <w:sz w:val="21"/>
      <w:szCs w:val="21"/>
    </w:rPr>
  </w:style>
  <w:style w:type="paragraph" w:customStyle="1" w:styleId="20">
    <w:name w:val="Char"/>
    <w:basedOn w:val="21"/>
    <w:uiPriority w:val="0"/>
    <w:pPr>
      <w:adjustRightInd w:val="0"/>
      <w:spacing w:line="436" w:lineRule="exact"/>
      <w:ind w:left="357"/>
      <w:outlineLvl w:val="3"/>
    </w:pPr>
  </w:style>
  <w:style w:type="paragraph" w:customStyle="1" w:styleId="21">
    <w:name w:val="文档结构图1"/>
    <w:basedOn w:val="1"/>
    <w:uiPriority w:val="0"/>
    <w:pPr>
      <w:shd w:val="clear" w:color="auto" w:fill="000080"/>
    </w:pPr>
  </w:style>
  <w:style w:type="paragraph" w:customStyle="1" w:styleId="22">
    <w:name w:val="无间隔1"/>
    <w:qFormat/>
    <w:uiPriority w:val="1"/>
    <w:pPr>
      <w:widowControl w:val="0"/>
      <w:jc w:val="both"/>
    </w:pPr>
    <w:rPr>
      <w:rFonts w:ascii="Calibri" w:hAnsi="Calibri"/>
      <w:kern w:val="2"/>
      <w:sz w:val="21"/>
      <w:szCs w:val="22"/>
    </w:rPr>
  </w:style>
  <w:style w:type="paragraph" w:customStyle="1" w:styleId="23">
    <w:name w:val="样式 标题 2 + 楷体_GB2312 黑色 首行缩进:  2 字符"/>
    <w:uiPriority w:val="0"/>
    <w:pPr>
      <w:ind w:firstLine="643" w:firstLineChars="200"/>
    </w:pPr>
    <w:rPr>
      <w:rFonts w:ascii="楷体_GB2312" w:hAnsi="楷体_GB2312" w:eastAsia="仿宋_GB2312" w:cs="宋体"/>
      <w:color w:val="000000"/>
    </w:rPr>
  </w:style>
  <w:style w:type="paragraph" w:customStyle="1" w:styleId="24">
    <w:name w:val="Default"/>
    <w:uiPriority w:val="0"/>
    <w:pPr>
      <w:widowControl w:val="0"/>
      <w:autoSpaceDE w:val="0"/>
      <w:autoSpaceDN w:val="0"/>
      <w:adjustRightInd w:val="0"/>
    </w:pPr>
    <w:rPr>
      <w:rFonts w:ascii="黑体" w:eastAsia="黑体" w:cs="黑体"/>
      <w:color w:val="000000"/>
      <w:sz w:val="24"/>
      <w:szCs w:val="24"/>
    </w:rPr>
  </w:style>
  <w:style w:type="paragraph" w:customStyle="1" w:styleId="25">
    <w:name w:val="TOC 标题1"/>
    <w:basedOn w:val="2"/>
    <w:next w:val="1"/>
    <w:uiPriority w:val="0"/>
    <w:pPr>
      <w:widowControl/>
      <w:spacing w:before="240" w:line="259" w:lineRule="auto"/>
      <w:outlineLvl w:val="9"/>
    </w:pPr>
    <w:rPr>
      <w:rFonts w:ascii="Cambria" w:hAnsi="Cambria"/>
      <w:b/>
      <w:bCs w:val="0"/>
      <w:color w:val="365F91"/>
    </w:rPr>
  </w:style>
  <w:style w:type="paragraph" w:customStyle="1" w:styleId="26">
    <w:name w:val="列出段落1"/>
    <w:basedOn w:val="1"/>
    <w:uiPriority w:val="0"/>
    <w:pPr>
      <w:ind w:firstLine="420"/>
    </w:pPr>
  </w:style>
  <w:style w:type="paragraph" w:customStyle="1" w:styleId="27">
    <w:name w:val="Revision"/>
    <w:semiHidden/>
    <w:uiPriority w:val="99"/>
    <w:rPr>
      <w:kern w:val="2"/>
      <w:sz w:val="28"/>
      <w:szCs w:val="28"/>
    </w:rPr>
  </w:style>
  <w:style w:type="paragraph" w:customStyle="1" w:styleId="28">
    <w:name w:val="小标题"/>
    <w:basedOn w:val="1"/>
    <w:link w:val="44"/>
    <w:qFormat/>
    <w:uiPriority w:val="0"/>
    <w:pPr>
      <w:numPr>
        <w:ilvl w:val="0"/>
        <w:numId w:val="3"/>
      </w:numPr>
      <w:ind w:left="0" w:firstLine="640" w:firstLineChars="0"/>
    </w:pPr>
  </w:style>
  <w:style w:type="paragraph" w:customStyle="1" w:styleId="29">
    <w:name w:val="无间隔2"/>
    <w:qFormat/>
    <w:uiPriority w:val="1"/>
    <w:pPr>
      <w:widowControl w:val="0"/>
      <w:jc w:val="both"/>
    </w:pPr>
    <w:rPr>
      <w:rFonts w:ascii="Calibri" w:hAnsi="Calibri"/>
      <w:kern w:val="2"/>
      <w:sz w:val="21"/>
      <w:szCs w:val="22"/>
    </w:rPr>
  </w:style>
  <w:style w:type="paragraph" w:customStyle="1" w:styleId="30">
    <w:name w:val="日期2"/>
    <w:basedOn w:val="1"/>
    <w:next w:val="1"/>
    <w:uiPriority w:val="0"/>
    <w:pPr>
      <w:ind w:left="100" w:leftChars="2500" w:firstLine="0" w:firstLineChars="0"/>
    </w:pPr>
    <w:rPr>
      <w:rFonts w:ascii="Times New Roman" w:eastAsia="宋体"/>
      <w:bCs w:val="0"/>
      <w:sz w:val="28"/>
      <w:szCs w:val="28"/>
    </w:rPr>
  </w:style>
  <w:style w:type="paragraph" w:customStyle="1" w:styleId="31">
    <w:name w:val="Char Char Char Char"/>
    <w:basedOn w:val="1"/>
    <w:uiPriority w:val="0"/>
    <w:pPr>
      <w:ind w:firstLine="0" w:firstLineChars="0"/>
      <w:jc w:val="both"/>
    </w:pPr>
    <w:rPr>
      <w:rFonts w:ascii="Times New Roman" w:eastAsia="宋体"/>
      <w:bCs w:val="0"/>
      <w:sz w:val="21"/>
      <w:szCs w:val="20"/>
    </w:rPr>
  </w:style>
  <w:style w:type="paragraph" w:customStyle="1" w:styleId="32">
    <w:name w:val="TOC 标题2"/>
    <w:basedOn w:val="2"/>
    <w:next w:val="1"/>
    <w:uiPriority w:val="0"/>
    <w:pPr>
      <w:keepNext/>
      <w:keepLines/>
      <w:widowControl/>
      <w:numPr>
        <w:ilvl w:val="0"/>
        <w:numId w:val="0"/>
      </w:numPr>
      <w:spacing w:before="240" w:line="259" w:lineRule="auto"/>
      <w:outlineLvl w:val="9"/>
    </w:pPr>
    <w:rPr>
      <w:rFonts w:ascii="Cambria" w:hAnsi="Cambria" w:eastAsia="宋体"/>
      <w:bCs w:val="0"/>
      <w:color w:val="365F91"/>
      <w:kern w:val="0"/>
    </w:rPr>
  </w:style>
  <w:style w:type="paragraph" w:customStyle="1" w:styleId="33">
    <w:name w:val="文档结构图2"/>
    <w:basedOn w:val="1"/>
    <w:uiPriority w:val="0"/>
    <w:pPr>
      <w:shd w:val="clear" w:color="auto" w:fill="000080"/>
      <w:ind w:firstLine="0" w:firstLineChars="0"/>
    </w:pPr>
    <w:rPr>
      <w:rFonts w:ascii="Times New Roman" w:eastAsia="宋体"/>
      <w:bCs w:val="0"/>
      <w:sz w:val="28"/>
      <w:szCs w:val="28"/>
    </w:rPr>
  </w:style>
  <w:style w:type="paragraph" w:customStyle="1" w:styleId="34">
    <w:name w:val="列出段落2"/>
    <w:basedOn w:val="1"/>
    <w:uiPriority w:val="0"/>
    <w:pPr>
      <w:ind w:firstLine="420"/>
    </w:pPr>
    <w:rPr>
      <w:rFonts w:ascii="Times New Roman" w:eastAsia="宋体"/>
      <w:bCs w:val="0"/>
      <w:sz w:val="28"/>
      <w:szCs w:val="28"/>
    </w:rPr>
  </w:style>
  <w:style w:type="character" w:customStyle="1" w:styleId="35">
    <w:name w:val="标题 1 Char Char"/>
    <w:link w:val="2"/>
    <w:uiPriority w:val="0"/>
    <w:rPr>
      <w:rFonts w:ascii="黑体" w:hAnsi="黑体" w:eastAsia="黑体"/>
      <w:bCs/>
      <w:kern w:val="2"/>
      <w:sz w:val="32"/>
      <w:szCs w:val="32"/>
    </w:rPr>
  </w:style>
  <w:style w:type="character" w:customStyle="1" w:styleId="36">
    <w:name w:val="批注框文本 Char Char"/>
    <w:link w:val="9"/>
    <w:uiPriority w:val="0"/>
    <w:rPr>
      <w:rFonts w:ascii="仿宋_GB2312" w:eastAsia="仿宋_GB2312"/>
      <w:bCs/>
      <w:kern w:val="2"/>
      <w:sz w:val="18"/>
      <w:szCs w:val="18"/>
    </w:rPr>
  </w:style>
  <w:style w:type="character" w:customStyle="1" w:styleId="37">
    <w:name w:val="页码1"/>
    <w:basedOn w:val="15"/>
    <w:uiPriority w:val="0"/>
    <w:rPr/>
  </w:style>
  <w:style w:type="character" w:customStyle="1" w:styleId="38">
    <w:name w:val="批注文字 Char Char"/>
    <w:link w:val="6"/>
    <w:uiPriority w:val="0"/>
    <w:rPr>
      <w:rFonts w:ascii="仿宋_GB2312" w:eastAsia="仿宋_GB2312"/>
      <w:bCs/>
      <w:kern w:val="2"/>
      <w:sz w:val="28"/>
      <w:szCs w:val="32"/>
    </w:rPr>
  </w:style>
  <w:style w:type="character" w:customStyle="1" w:styleId="39">
    <w:name w:val="批注主题 Char Char"/>
    <w:link w:val="5"/>
    <w:uiPriority w:val="0"/>
    <w:rPr>
      <w:rFonts w:ascii="仿宋_GB2312" w:eastAsia="仿宋_GB2312"/>
      <w:b/>
      <w:kern w:val="2"/>
      <w:sz w:val="28"/>
      <w:szCs w:val="32"/>
    </w:rPr>
  </w:style>
  <w:style w:type="character" w:customStyle="1" w:styleId="40">
    <w:name w:val="news-body-text"/>
    <w:basedOn w:val="15"/>
    <w:uiPriority w:val="0"/>
    <w:rPr/>
  </w:style>
  <w:style w:type="character" w:customStyle="1" w:styleId="41">
    <w:name w:val="apple-converted-space"/>
    <w:uiPriority w:val="0"/>
  </w:style>
  <w:style w:type="character" w:customStyle="1" w:styleId="42">
    <w:name w:val="标题 2 Char Char"/>
    <w:link w:val="3"/>
    <w:uiPriority w:val="9"/>
    <w:rPr>
      <w:rFonts w:ascii="楷体_GB2312" w:eastAsia="楷体_GB2312"/>
      <w:b/>
      <w:bCs/>
      <w:kern w:val="2"/>
      <w:sz w:val="32"/>
      <w:szCs w:val="32"/>
    </w:rPr>
  </w:style>
  <w:style w:type="character" w:customStyle="1" w:styleId="43">
    <w:name w:val="标题 Char Char"/>
    <w:link w:val="14"/>
    <w:uiPriority w:val="10"/>
    <w:rPr>
      <w:rFonts w:ascii="Calibri Light" w:hAnsi="Calibri Light" w:cs="Times New Roman"/>
      <w:b/>
      <w:bCs/>
      <w:kern w:val="2"/>
      <w:sz w:val="32"/>
      <w:szCs w:val="32"/>
    </w:rPr>
  </w:style>
  <w:style w:type="character" w:customStyle="1" w:styleId="44">
    <w:name w:val="小标题 Char Char"/>
    <w:link w:val="28"/>
    <w:uiPriority w:val="0"/>
    <w:rPr>
      <w:rFonts w:ascii="仿宋_GB2312" w:eastAsia="仿宋_GB2312"/>
      <w:bCs/>
      <w:kern w:val="2"/>
      <w:sz w:val="32"/>
      <w:szCs w:val="32"/>
    </w:rPr>
  </w:style>
  <w:style w:type="character" w:customStyle="1" w:styleId="45">
    <w:name w:val="页码2"/>
    <w:basedOn w:val="15"/>
    <w:uiPriority w:val="0"/>
    <w:rPr/>
  </w:style>
  <w:style w:type="character" w:customStyle="1" w:styleId="46">
    <w:name w:val="页脚 Char Char"/>
    <w:basedOn w:val="15"/>
    <w:link w:val="10"/>
    <w:uiPriority w:val="99"/>
    <w:rPr>
      <w:rFonts w:ascii="仿宋_GB2312" w:eastAsia="仿宋_GB2312"/>
      <w:bCs/>
      <w:kern w:val="2"/>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10" Type="http://schemas.openxmlformats.org/officeDocument/2006/relationships/theme" Target="theme/theme1.xml"/><Relationship Id="rId11" Type="http://schemas.openxmlformats.org/officeDocument/2006/relationships/customXml" Target="../customXml/item1.xml"/><Relationship Id="rId12"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header" Target="header3.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东方图文数码快印中心</Company>
  <Pages>23</Pages>
  <Words>1443</Words>
  <Characters>8227</Characters>
  <Lines>68</Lines>
  <Paragraphs>19</Paragraphs>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2015-12-30T09:25:00Z</dcterms:created>
  <dc:creator>微软用户</dc:creator>
  <cp:lastModifiedBy>Administrator</cp:lastModifiedBy>
  <cp:lastPrinted>2015-12-30T09:14:00Z</cp:lastPrinted>
  <dcterms:modified xsi:type="dcterms:W3CDTF">2016-02-02T03:12:47Z</dcterms:modified>
  <dc:title>目   录</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