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12" w:rsidRDefault="00693212" w:rsidP="00693212">
      <w:pPr>
        <w:jc w:val="left"/>
        <w:rPr>
          <w:rFonts w:eastAsia="黑体"/>
          <w:sz w:val="32"/>
          <w:szCs w:val="44"/>
        </w:rPr>
      </w:pPr>
      <w:r>
        <w:rPr>
          <w:rFonts w:eastAsia="黑体"/>
          <w:sz w:val="32"/>
          <w:szCs w:val="44"/>
        </w:rPr>
        <w:t>附件</w:t>
      </w:r>
    </w:p>
    <w:p w:rsidR="00693212" w:rsidRDefault="00693212" w:rsidP="00693212">
      <w:pPr>
        <w:widowControl/>
        <w:spacing w:beforeLines="50" w:afterLines="50"/>
        <w:jc w:val="center"/>
        <w:rPr>
          <w:rFonts w:eastAsia="黑体"/>
          <w:sz w:val="32"/>
          <w:szCs w:val="28"/>
        </w:rPr>
      </w:pPr>
      <w:r>
        <w:rPr>
          <w:rFonts w:eastAsia="黑体"/>
          <w:sz w:val="32"/>
          <w:szCs w:val="28"/>
        </w:rPr>
        <w:t>2017</w:t>
      </w:r>
      <w:r>
        <w:rPr>
          <w:rFonts w:ascii="方正小标宋_GBK" w:eastAsia="方正小标宋_GBK" w:hAnsi="方正小标宋_GBK" w:hint="eastAsia"/>
          <w:sz w:val="32"/>
          <w:szCs w:val="28"/>
        </w:rPr>
        <w:t>年春运期间道路与铁路列车接续接驳运力安排调查表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7"/>
        <w:gridCol w:w="2244"/>
        <w:gridCol w:w="1689"/>
        <w:gridCol w:w="1689"/>
        <w:gridCol w:w="1689"/>
        <w:gridCol w:w="1690"/>
        <w:gridCol w:w="1701"/>
        <w:gridCol w:w="1701"/>
      </w:tblGrid>
      <w:tr w:rsidR="00693212" w:rsidTr="006B0DEE">
        <w:trPr>
          <w:trHeight w:val="672"/>
        </w:trPr>
        <w:tc>
          <w:tcPr>
            <w:tcW w:w="1347" w:type="dxa"/>
            <w:vMerge w:val="restart"/>
            <w:vAlign w:val="center"/>
          </w:tcPr>
          <w:p w:rsidR="00693212" w:rsidRDefault="00693212" w:rsidP="006B0DEE">
            <w:pPr>
              <w:adjustRightInd w:val="0"/>
              <w:snapToGrid w:val="0"/>
              <w:jc w:val="center"/>
              <w:rPr>
                <w:rFonts w:eastAsia="黑体"/>
                <w:sz w:val="28"/>
                <w:szCs w:val="28"/>
              </w:rPr>
            </w:pPr>
            <w:r>
              <w:rPr>
                <w:rFonts w:eastAsia="黑体"/>
                <w:sz w:val="28"/>
                <w:szCs w:val="28"/>
              </w:rPr>
              <w:t>客流时段</w:t>
            </w:r>
          </w:p>
        </w:tc>
        <w:tc>
          <w:tcPr>
            <w:tcW w:w="2244" w:type="dxa"/>
            <w:vMerge w:val="restart"/>
            <w:vAlign w:val="center"/>
          </w:tcPr>
          <w:p w:rsidR="00693212" w:rsidRDefault="00693212" w:rsidP="006B0DEE">
            <w:pPr>
              <w:spacing w:line="480" w:lineRule="auto"/>
              <w:jc w:val="center"/>
              <w:rPr>
                <w:rFonts w:eastAsia="楷体_GB2312"/>
                <w:sz w:val="28"/>
                <w:szCs w:val="28"/>
              </w:rPr>
            </w:pPr>
            <w:r>
              <w:rPr>
                <w:rFonts w:eastAsia="黑体"/>
                <w:sz w:val="28"/>
                <w:szCs w:val="28"/>
              </w:rPr>
              <w:t>调查内容</w:t>
            </w:r>
          </w:p>
        </w:tc>
        <w:tc>
          <w:tcPr>
            <w:tcW w:w="3378" w:type="dxa"/>
            <w:gridSpan w:val="2"/>
            <w:vAlign w:val="center"/>
          </w:tcPr>
          <w:p w:rsidR="00693212" w:rsidRDefault="00693212" w:rsidP="006B0DEE">
            <w:pPr>
              <w:jc w:val="center"/>
              <w:rPr>
                <w:rFonts w:eastAsia="黑体"/>
                <w:sz w:val="28"/>
                <w:szCs w:val="28"/>
              </w:rPr>
            </w:pPr>
            <w:r>
              <w:rPr>
                <w:rFonts w:eastAsia="黑体"/>
                <w:sz w:val="28"/>
                <w:szCs w:val="28"/>
              </w:rPr>
              <w:t>道路客运班线</w:t>
            </w:r>
          </w:p>
        </w:tc>
        <w:tc>
          <w:tcPr>
            <w:tcW w:w="3379" w:type="dxa"/>
            <w:gridSpan w:val="2"/>
            <w:vAlign w:val="center"/>
          </w:tcPr>
          <w:p w:rsidR="00693212" w:rsidRDefault="00693212" w:rsidP="006B0DEE">
            <w:pPr>
              <w:jc w:val="center"/>
              <w:rPr>
                <w:rFonts w:eastAsia="黑体"/>
                <w:sz w:val="28"/>
                <w:szCs w:val="28"/>
              </w:rPr>
            </w:pPr>
            <w:r>
              <w:rPr>
                <w:rFonts w:eastAsia="黑体"/>
                <w:sz w:val="28"/>
                <w:szCs w:val="28"/>
              </w:rPr>
              <w:t>公共汽电车</w:t>
            </w:r>
          </w:p>
        </w:tc>
        <w:tc>
          <w:tcPr>
            <w:tcW w:w="1701" w:type="dxa"/>
            <w:vAlign w:val="center"/>
          </w:tcPr>
          <w:p w:rsidR="00693212" w:rsidRDefault="00693212" w:rsidP="006B0DEE">
            <w:pPr>
              <w:spacing w:line="0" w:lineRule="atLeast"/>
              <w:jc w:val="center"/>
              <w:rPr>
                <w:rFonts w:eastAsia="黑体"/>
                <w:sz w:val="28"/>
                <w:szCs w:val="28"/>
              </w:rPr>
            </w:pPr>
            <w:r>
              <w:rPr>
                <w:rFonts w:eastAsia="黑体"/>
                <w:sz w:val="28"/>
                <w:szCs w:val="28"/>
              </w:rPr>
              <w:t>城市轨道</w:t>
            </w:r>
          </w:p>
        </w:tc>
        <w:tc>
          <w:tcPr>
            <w:tcW w:w="1701" w:type="dxa"/>
            <w:vAlign w:val="center"/>
          </w:tcPr>
          <w:p w:rsidR="00693212" w:rsidRDefault="00693212" w:rsidP="006B0DEE">
            <w:pPr>
              <w:jc w:val="center"/>
              <w:rPr>
                <w:rFonts w:eastAsia="黑体"/>
                <w:sz w:val="28"/>
                <w:szCs w:val="28"/>
              </w:rPr>
            </w:pPr>
            <w:r>
              <w:rPr>
                <w:rFonts w:eastAsia="黑体"/>
                <w:sz w:val="28"/>
                <w:szCs w:val="28"/>
              </w:rPr>
              <w:t>出租汽车</w:t>
            </w:r>
          </w:p>
        </w:tc>
      </w:tr>
      <w:tr w:rsidR="00693212" w:rsidTr="006B0DEE">
        <w:trPr>
          <w:trHeight w:val="838"/>
        </w:trPr>
        <w:tc>
          <w:tcPr>
            <w:tcW w:w="1347" w:type="dxa"/>
            <w:vMerge/>
            <w:vAlign w:val="center"/>
          </w:tcPr>
          <w:p w:rsidR="00693212" w:rsidRDefault="00693212" w:rsidP="006B0DEE">
            <w:pPr>
              <w:jc w:val="center"/>
              <w:rPr>
                <w:rFonts w:eastAsia="楷体_GB2312"/>
                <w:sz w:val="28"/>
                <w:szCs w:val="28"/>
              </w:rPr>
            </w:pPr>
          </w:p>
        </w:tc>
        <w:tc>
          <w:tcPr>
            <w:tcW w:w="2244" w:type="dxa"/>
            <w:vMerge/>
            <w:vAlign w:val="center"/>
          </w:tcPr>
          <w:p w:rsidR="00693212" w:rsidRDefault="00693212" w:rsidP="006B0DEE">
            <w:pPr>
              <w:jc w:val="center"/>
              <w:rPr>
                <w:rFonts w:eastAsia="楷体_GB2312"/>
                <w:sz w:val="28"/>
                <w:szCs w:val="28"/>
              </w:rPr>
            </w:pPr>
          </w:p>
        </w:tc>
        <w:tc>
          <w:tcPr>
            <w:tcW w:w="1689" w:type="dxa"/>
            <w:vAlign w:val="center"/>
          </w:tcPr>
          <w:p w:rsidR="00693212" w:rsidRDefault="00693212" w:rsidP="006B0DEE">
            <w:pPr>
              <w:adjustRightInd w:val="0"/>
              <w:snapToGrid w:val="0"/>
              <w:jc w:val="center"/>
              <w:rPr>
                <w:rFonts w:eastAsia="仿宋_GB2312"/>
                <w:sz w:val="28"/>
                <w:szCs w:val="28"/>
              </w:rPr>
            </w:pPr>
            <w:r>
              <w:rPr>
                <w:rFonts w:eastAsia="仿宋_GB2312"/>
                <w:sz w:val="28"/>
                <w:szCs w:val="28"/>
              </w:rPr>
              <w:t>车辆数（辆）</w:t>
            </w:r>
          </w:p>
        </w:tc>
        <w:tc>
          <w:tcPr>
            <w:tcW w:w="1689" w:type="dxa"/>
            <w:vAlign w:val="center"/>
          </w:tcPr>
          <w:p w:rsidR="00693212" w:rsidRDefault="00693212" w:rsidP="006B0DEE">
            <w:pPr>
              <w:adjustRightInd w:val="0"/>
              <w:snapToGrid w:val="0"/>
              <w:jc w:val="center"/>
              <w:rPr>
                <w:rFonts w:eastAsia="仿宋_GB2312"/>
                <w:sz w:val="28"/>
                <w:szCs w:val="28"/>
              </w:rPr>
            </w:pPr>
            <w:r>
              <w:rPr>
                <w:rFonts w:eastAsia="仿宋_GB2312"/>
                <w:sz w:val="28"/>
                <w:szCs w:val="28"/>
              </w:rPr>
              <w:t>客位数（</w:t>
            </w:r>
            <w:proofErr w:type="gramStart"/>
            <w:r>
              <w:rPr>
                <w:rFonts w:eastAsia="仿宋_GB2312"/>
                <w:sz w:val="28"/>
                <w:szCs w:val="28"/>
              </w:rPr>
              <w:t>个</w:t>
            </w:r>
            <w:proofErr w:type="gramEnd"/>
            <w:r>
              <w:rPr>
                <w:rFonts w:eastAsia="仿宋_GB2312"/>
                <w:sz w:val="28"/>
                <w:szCs w:val="28"/>
              </w:rPr>
              <w:t>）</w:t>
            </w:r>
          </w:p>
        </w:tc>
        <w:tc>
          <w:tcPr>
            <w:tcW w:w="1689" w:type="dxa"/>
            <w:vAlign w:val="center"/>
          </w:tcPr>
          <w:p w:rsidR="00693212" w:rsidRDefault="00693212" w:rsidP="006B0DEE">
            <w:pPr>
              <w:adjustRightInd w:val="0"/>
              <w:snapToGrid w:val="0"/>
              <w:jc w:val="center"/>
              <w:rPr>
                <w:rFonts w:eastAsia="仿宋_GB2312"/>
                <w:sz w:val="28"/>
                <w:szCs w:val="28"/>
              </w:rPr>
            </w:pPr>
            <w:r>
              <w:rPr>
                <w:rFonts w:eastAsia="仿宋_GB2312"/>
                <w:sz w:val="28"/>
                <w:szCs w:val="28"/>
              </w:rPr>
              <w:t>车辆数（辆）</w:t>
            </w:r>
          </w:p>
        </w:tc>
        <w:tc>
          <w:tcPr>
            <w:tcW w:w="1690" w:type="dxa"/>
            <w:vAlign w:val="center"/>
          </w:tcPr>
          <w:p w:rsidR="00693212" w:rsidRDefault="00693212" w:rsidP="006B0DEE">
            <w:pPr>
              <w:adjustRightInd w:val="0"/>
              <w:snapToGrid w:val="0"/>
              <w:jc w:val="center"/>
              <w:rPr>
                <w:rFonts w:eastAsia="仿宋_GB2312"/>
                <w:sz w:val="28"/>
                <w:szCs w:val="28"/>
              </w:rPr>
            </w:pPr>
            <w:r>
              <w:rPr>
                <w:rFonts w:eastAsia="仿宋_GB2312"/>
                <w:sz w:val="28"/>
                <w:szCs w:val="28"/>
              </w:rPr>
              <w:t>班次数（班）</w:t>
            </w:r>
          </w:p>
        </w:tc>
        <w:tc>
          <w:tcPr>
            <w:tcW w:w="1701" w:type="dxa"/>
            <w:vAlign w:val="center"/>
          </w:tcPr>
          <w:p w:rsidR="00693212" w:rsidRDefault="00693212" w:rsidP="006B0DEE">
            <w:pPr>
              <w:adjustRightInd w:val="0"/>
              <w:snapToGrid w:val="0"/>
              <w:jc w:val="center"/>
              <w:rPr>
                <w:rFonts w:eastAsia="仿宋_GB2312"/>
                <w:sz w:val="28"/>
                <w:szCs w:val="28"/>
              </w:rPr>
            </w:pPr>
            <w:r>
              <w:rPr>
                <w:rFonts w:eastAsia="仿宋_GB2312"/>
                <w:sz w:val="28"/>
                <w:szCs w:val="28"/>
              </w:rPr>
              <w:t>班次数（班）</w:t>
            </w:r>
          </w:p>
        </w:tc>
        <w:tc>
          <w:tcPr>
            <w:tcW w:w="1701" w:type="dxa"/>
            <w:vAlign w:val="center"/>
          </w:tcPr>
          <w:p w:rsidR="00693212" w:rsidRDefault="00693212" w:rsidP="006B0DEE">
            <w:pPr>
              <w:adjustRightInd w:val="0"/>
              <w:snapToGrid w:val="0"/>
              <w:jc w:val="center"/>
              <w:rPr>
                <w:rFonts w:eastAsia="仿宋_GB2312"/>
                <w:sz w:val="28"/>
                <w:szCs w:val="28"/>
              </w:rPr>
            </w:pPr>
            <w:r>
              <w:rPr>
                <w:rFonts w:eastAsia="仿宋_GB2312"/>
                <w:sz w:val="28"/>
                <w:szCs w:val="28"/>
              </w:rPr>
              <w:t>车辆数（辆）</w:t>
            </w:r>
          </w:p>
        </w:tc>
      </w:tr>
      <w:tr w:rsidR="00693212" w:rsidTr="006B0DEE">
        <w:trPr>
          <w:trHeight w:val="761"/>
        </w:trPr>
        <w:tc>
          <w:tcPr>
            <w:tcW w:w="1347" w:type="dxa"/>
            <w:vMerge w:val="restart"/>
            <w:vAlign w:val="center"/>
          </w:tcPr>
          <w:p w:rsidR="00693212" w:rsidRDefault="00693212" w:rsidP="006B0DEE">
            <w:pPr>
              <w:spacing w:line="480" w:lineRule="auto"/>
              <w:jc w:val="center"/>
              <w:rPr>
                <w:rFonts w:eastAsia="仿宋_GB2312"/>
                <w:sz w:val="28"/>
                <w:szCs w:val="28"/>
              </w:rPr>
            </w:pPr>
            <w:r>
              <w:rPr>
                <w:rFonts w:eastAsia="仿宋_GB2312"/>
                <w:sz w:val="28"/>
                <w:szCs w:val="28"/>
              </w:rPr>
              <w:t>平</w:t>
            </w:r>
            <w:proofErr w:type="gramStart"/>
            <w:r>
              <w:rPr>
                <w:rFonts w:eastAsia="仿宋_GB2312"/>
                <w:sz w:val="28"/>
                <w:szCs w:val="28"/>
              </w:rPr>
              <w:t>峰时期</w:t>
            </w:r>
            <w:proofErr w:type="gramEnd"/>
          </w:p>
        </w:tc>
        <w:tc>
          <w:tcPr>
            <w:tcW w:w="2244" w:type="dxa"/>
            <w:vAlign w:val="center"/>
          </w:tcPr>
          <w:p w:rsidR="00693212" w:rsidRDefault="00693212" w:rsidP="006B0DEE">
            <w:pPr>
              <w:spacing w:line="480" w:lineRule="auto"/>
              <w:jc w:val="center"/>
              <w:rPr>
                <w:rFonts w:eastAsia="仿宋_GB2312"/>
                <w:sz w:val="28"/>
                <w:szCs w:val="28"/>
              </w:rPr>
            </w:pPr>
            <w:r>
              <w:rPr>
                <w:rFonts w:eastAsia="仿宋_GB2312"/>
                <w:sz w:val="28"/>
                <w:szCs w:val="28"/>
              </w:rPr>
              <w:t>接续接驳运力</w:t>
            </w: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90"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r>
      <w:tr w:rsidR="00693212" w:rsidTr="006B0DEE">
        <w:trPr>
          <w:trHeight w:val="761"/>
        </w:trPr>
        <w:tc>
          <w:tcPr>
            <w:tcW w:w="1347" w:type="dxa"/>
            <w:vMerge/>
            <w:vAlign w:val="center"/>
          </w:tcPr>
          <w:p w:rsidR="00693212" w:rsidRDefault="00693212" w:rsidP="006B0DEE">
            <w:pPr>
              <w:spacing w:line="480" w:lineRule="auto"/>
              <w:jc w:val="center"/>
              <w:rPr>
                <w:rFonts w:eastAsia="仿宋_GB2312"/>
                <w:sz w:val="28"/>
                <w:szCs w:val="28"/>
              </w:rPr>
            </w:pPr>
          </w:p>
        </w:tc>
        <w:tc>
          <w:tcPr>
            <w:tcW w:w="2244" w:type="dxa"/>
            <w:vAlign w:val="center"/>
          </w:tcPr>
          <w:p w:rsidR="00693212" w:rsidRDefault="00693212" w:rsidP="006B0DEE">
            <w:pPr>
              <w:spacing w:line="480" w:lineRule="auto"/>
              <w:jc w:val="center"/>
              <w:rPr>
                <w:rFonts w:eastAsia="仿宋_GB2312"/>
                <w:sz w:val="28"/>
                <w:szCs w:val="28"/>
              </w:rPr>
            </w:pPr>
            <w:r>
              <w:rPr>
                <w:rFonts w:eastAsia="仿宋_GB2312"/>
                <w:sz w:val="28"/>
                <w:szCs w:val="28"/>
              </w:rPr>
              <w:t>其中：夜间安排</w:t>
            </w: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90"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r>
      <w:tr w:rsidR="00693212" w:rsidTr="006B0DEE">
        <w:trPr>
          <w:trHeight w:val="761"/>
        </w:trPr>
        <w:tc>
          <w:tcPr>
            <w:tcW w:w="1347" w:type="dxa"/>
            <w:vMerge w:val="restart"/>
            <w:vAlign w:val="center"/>
          </w:tcPr>
          <w:p w:rsidR="00693212" w:rsidRDefault="00693212" w:rsidP="006B0DEE">
            <w:pPr>
              <w:spacing w:line="480" w:lineRule="auto"/>
              <w:jc w:val="center"/>
              <w:rPr>
                <w:rFonts w:eastAsia="仿宋_GB2312"/>
                <w:sz w:val="28"/>
                <w:szCs w:val="28"/>
              </w:rPr>
            </w:pPr>
            <w:r>
              <w:rPr>
                <w:rFonts w:eastAsia="仿宋_GB2312"/>
                <w:sz w:val="28"/>
                <w:szCs w:val="28"/>
              </w:rPr>
              <w:t>高峰时期</w:t>
            </w:r>
          </w:p>
        </w:tc>
        <w:tc>
          <w:tcPr>
            <w:tcW w:w="2244" w:type="dxa"/>
            <w:vAlign w:val="center"/>
          </w:tcPr>
          <w:p w:rsidR="00693212" w:rsidRDefault="00693212" w:rsidP="006B0DEE">
            <w:pPr>
              <w:spacing w:line="480" w:lineRule="auto"/>
              <w:jc w:val="center"/>
              <w:rPr>
                <w:rFonts w:eastAsia="仿宋_GB2312"/>
                <w:sz w:val="28"/>
                <w:szCs w:val="28"/>
              </w:rPr>
            </w:pPr>
            <w:r>
              <w:rPr>
                <w:rFonts w:eastAsia="仿宋_GB2312"/>
                <w:sz w:val="28"/>
                <w:szCs w:val="28"/>
              </w:rPr>
              <w:t>接续接驳运力</w:t>
            </w: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90"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r>
      <w:tr w:rsidR="00693212" w:rsidTr="006B0DEE">
        <w:trPr>
          <w:trHeight w:val="761"/>
        </w:trPr>
        <w:tc>
          <w:tcPr>
            <w:tcW w:w="1347" w:type="dxa"/>
            <w:vMerge/>
            <w:vAlign w:val="center"/>
          </w:tcPr>
          <w:p w:rsidR="00693212" w:rsidRDefault="00693212" w:rsidP="006B0DEE">
            <w:pPr>
              <w:spacing w:line="480" w:lineRule="auto"/>
              <w:jc w:val="center"/>
              <w:rPr>
                <w:rFonts w:eastAsia="仿宋_GB2312"/>
                <w:sz w:val="28"/>
                <w:szCs w:val="28"/>
              </w:rPr>
            </w:pPr>
          </w:p>
        </w:tc>
        <w:tc>
          <w:tcPr>
            <w:tcW w:w="2244" w:type="dxa"/>
            <w:vAlign w:val="center"/>
          </w:tcPr>
          <w:p w:rsidR="00693212" w:rsidRDefault="00693212" w:rsidP="006B0DEE">
            <w:pPr>
              <w:spacing w:line="480" w:lineRule="auto"/>
              <w:jc w:val="center"/>
              <w:rPr>
                <w:rFonts w:eastAsia="仿宋_GB2312"/>
                <w:sz w:val="28"/>
                <w:szCs w:val="28"/>
              </w:rPr>
            </w:pPr>
            <w:r>
              <w:rPr>
                <w:rFonts w:eastAsia="仿宋_GB2312"/>
                <w:sz w:val="28"/>
                <w:szCs w:val="28"/>
              </w:rPr>
              <w:t>其中：夜间安排</w:t>
            </w: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89" w:type="dxa"/>
            <w:vAlign w:val="center"/>
          </w:tcPr>
          <w:p w:rsidR="00693212" w:rsidRDefault="00693212" w:rsidP="006B0DEE">
            <w:pPr>
              <w:spacing w:line="480" w:lineRule="auto"/>
              <w:jc w:val="center"/>
              <w:rPr>
                <w:rFonts w:eastAsia="楷体_GB2312"/>
                <w:sz w:val="28"/>
                <w:szCs w:val="28"/>
              </w:rPr>
            </w:pPr>
          </w:p>
        </w:tc>
        <w:tc>
          <w:tcPr>
            <w:tcW w:w="1690"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c>
          <w:tcPr>
            <w:tcW w:w="1701" w:type="dxa"/>
            <w:vAlign w:val="center"/>
          </w:tcPr>
          <w:p w:rsidR="00693212" w:rsidRDefault="00693212" w:rsidP="006B0DEE">
            <w:pPr>
              <w:spacing w:line="480" w:lineRule="auto"/>
              <w:jc w:val="center"/>
              <w:rPr>
                <w:rFonts w:eastAsia="楷体_GB2312"/>
                <w:sz w:val="28"/>
                <w:szCs w:val="28"/>
              </w:rPr>
            </w:pPr>
          </w:p>
        </w:tc>
      </w:tr>
    </w:tbl>
    <w:p w:rsidR="00693212" w:rsidRDefault="00693212" w:rsidP="00693212">
      <w:pPr>
        <w:ind w:firstLineChars="202" w:firstLine="566"/>
        <w:rPr>
          <w:rFonts w:eastAsia="黑体"/>
          <w:sz w:val="30"/>
          <w:szCs w:val="32"/>
        </w:rPr>
      </w:pPr>
      <w:r>
        <w:rPr>
          <w:rFonts w:eastAsia="黑体"/>
          <w:sz w:val="28"/>
          <w:szCs w:val="32"/>
        </w:rPr>
        <w:t>填报单位：</w:t>
      </w:r>
      <w:r>
        <w:rPr>
          <w:rFonts w:eastAsia="黑体"/>
          <w:sz w:val="28"/>
          <w:szCs w:val="32"/>
        </w:rPr>
        <w:t xml:space="preserve">                                 </w:t>
      </w:r>
      <w:r>
        <w:rPr>
          <w:rFonts w:eastAsia="黑体"/>
          <w:sz w:val="28"/>
          <w:szCs w:val="32"/>
        </w:rPr>
        <w:t>联系人：</w:t>
      </w:r>
      <w:r>
        <w:rPr>
          <w:rFonts w:eastAsia="黑体"/>
          <w:sz w:val="28"/>
          <w:szCs w:val="32"/>
        </w:rPr>
        <w:t xml:space="preserve">            </w:t>
      </w:r>
      <w:r>
        <w:rPr>
          <w:rFonts w:eastAsia="黑体"/>
          <w:sz w:val="28"/>
          <w:szCs w:val="32"/>
        </w:rPr>
        <w:t>联系电话：</w:t>
      </w:r>
    </w:p>
    <w:p w:rsidR="00693212" w:rsidRDefault="00693212" w:rsidP="00693212">
      <w:pPr>
        <w:ind w:firstLineChars="202" w:firstLine="566"/>
        <w:rPr>
          <w:rFonts w:eastAsia="仿宋_GB2312"/>
          <w:sz w:val="28"/>
          <w:szCs w:val="28"/>
        </w:rPr>
      </w:pPr>
      <w:r>
        <w:rPr>
          <w:rFonts w:eastAsia="黑体"/>
          <w:sz w:val="28"/>
          <w:szCs w:val="28"/>
        </w:rPr>
        <w:t>注：</w:t>
      </w:r>
      <w:r>
        <w:rPr>
          <w:rFonts w:eastAsia="黑体"/>
          <w:sz w:val="28"/>
          <w:szCs w:val="28"/>
        </w:rPr>
        <w:t xml:space="preserve">1. </w:t>
      </w:r>
      <w:r>
        <w:rPr>
          <w:rFonts w:eastAsia="仿宋_GB2312"/>
          <w:sz w:val="28"/>
          <w:szCs w:val="28"/>
        </w:rPr>
        <w:t>接续接驳运力安排应包括与本辖区内所有铁路客运站常态化运行及春运期间增开列车的对接运力信息；</w:t>
      </w:r>
    </w:p>
    <w:p w:rsidR="008F0B34" w:rsidRPr="00693212" w:rsidRDefault="00693212" w:rsidP="00693212">
      <w:pPr>
        <w:ind w:firstLineChars="405" w:firstLine="1134"/>
        <w:rPr>
          <w:rFonts w:eastAsia="仿宋_GB2312"/>
          <w:bCs/>
          <w:sz w:val="28"/>
          <w:szCs w:val="30"/>
        </w:rPr>
      </w:pPr>
      <w:r>
        <w:rPr>
          <w:rFonts w:eastAsia="黑体"/>
          <w:sz w:val="28"/>
          <w:szCs w:val="28"/>
        </w:rPr>
        <w:t xml:space="preserve">2. </w:t>
      </w:r>
      <w:r>
        <w:rPr>
          <w:rFonts w:eastAsia="仿宋_GB2312"/>
          <w:sz w:val="28"/>
          <w:szCs w:val="28"/>
        </w:rPr>
        <w:t>夜间</w:t>
      </w:r>
      <w:proofErr w:type="gramStart"/>
      <w:r>
        <w:rPr>
          <w:rFonts w:eastAsia="仿宋_GB2312"/>
          <w:sz w:val="28"/>
          <w:szCs w:val="28"/>
        </w:rPr>
        <w:t>是指晚</w:t>
      </w:r>
      <w:proofErr w:type="gramEnd"/>
      <w:r>
        <w:rPr>
          <w:rFonts w:eastAsia="仿宋_GB2312"/>
          <w:sz w:val="28"/>
          <w:szCs w:val="28"/>
        </w:rPr>
        <w:t>22:00—</w:t>
      </w:r>
      <w:r>
        <w:rPr>
          <w:rFonts w:eastAsia="仿宋_GB2312"/>
          <w:sz w:val="28"/>
          <w:szCs w:val="28"/>
        </w:rPr>
        <w:t>早晨</w:t>
      </w:r>
      <w:r>
        <w:rPr>
          <w:rFonts w:eastAsia="仿宋_GB2312"/>
          <w:sz w:val="28"/>
          <w:szCs w:val="28"/>
        </w:rPr>
        <w:t>06:00</w:t>
      </w:r>
      <w:r>
        <w:rPr>
          <w:rFonts w:eastAsia="仿宋_GB2312"/>
          <w:sz w:val="28"/>
          <w:szCs w:val="28"/>
        </w:rPr>
        <w:t>。</w:t>
      </w:r>
    </w:p>
    <w:sectPr w:rsidR="008F0B34" w:rsidRPr="00693212" w:rsidSect="0069321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3212"/>
    <w:rsid w:val="00693212"/>
    <w:rsid w:val="008F0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693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1</cp:revision>
  <dcterms:created xsi:type="dcterms:W3CDTF">2016-12-28T01:02:00Z</dcterms:created>
  <dcterms:modified xsi:type="dcterms:W3CDTF">2016-12-28T01:03:00Z</dcterms:modified>
</cp:coreProperties>
</file>