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580" w:lineRule="exact"/>
        <w:rPr>
          <w:rFonts w:ascii="Times New Roman" w:hAnsi="Times New Roman" w:eastAsia="黑体"/>
          <w:sz w:val="32"/>
          <w:szCs w:val="32"/>
        </w:rPr>
      </w:pPr>
      <w:bookmarkStart w:id="1" w:name="_GoBack"/>
      <w:r>
        <w:rPr>
          <w:rFonts w:ascii="Times New Roman" w:hAnsi="Times New Roman" w:eastAsia="黑体"/>
          <w:sz w:val="32"/>
          <w:szCs w:val="32"/>
        </w:rPr>
        <w:t>附件2</w:t>
      </w:r>
    </w:p>
    <w:p>
      <w:pPr>
        <w:spacing w:after="312" w:afterLines="100" w:line="560" w:lineRule="exact"/>
        <w:jc w:val="center"/>
        <w:outlineLvl w:val="2"/>
        <w:rPr>
          <w:rFonts w:ascii="Times New Roman" w:hAnsi="Times New Roman" w:eastAsia="方正小标宋简体"/>
          <w:sz w:val="36"/>
          <w:szCs w:val="36"/>
        </w:rPr>
      </w:pPr>
      <w:bookmarkStart w:id="0" w:name="_Hlk144384911"/>
      <w:r>
        <w:rPr>
          <w:rFonts w:ascii="Times New Roman" w:hAnsi="Times New Roman" w:eastAsia="方正小标宋简体"/>
          <w:sz w:val="36"/>
          <w:szCs w:val="36"/>
        </w:rPr>
        <w:t>农村物流服务品牌成效</w:t>
      </w:r>
      <w:r>
        <w:rPr>
          <w:rFonts w:hint="eastAsia" w:ascii="Times New Roman" w:hAnsi="Times New Roman" w:eastAsia="方正小标宋简体"/>
          <w:sz w:val="36"/>
          <w:szCs w:val="36"/>
        </w:rPr>
        <w:t>监测</w:t>
      </w:r>
      <w:r>
        <w:rPr>
          <w:rFonts w:ascii="Times New Roman" w:hAnsi="Times New Roman" w:eastAsia="方正小标宋简体"/>
          <w:sz w:val="36"/>
          <w:szCs w:val="36"/>
        </w:rPr>
        <w:t>指标</w:t>
      </w:r>
    </w:p>
    <w:bookmarkEnd w:id="1"/>
    <w:p>
      <w:pPr>
        <w:spacing w:after="312" w:afterLines="100" w:line="560" w:lineRule="exact"/>
        <w:jc w:val="center"/>
        <w:outlineLvl w:val="2"/>
        <w:rPr>
          <w:rFonts w:ascii="Times New Roman" w:hAnsi="Times New Roman" w:eastAsia="方正小标宋简体"/>
          <w:sz w:val="32"/>
          <w:szCs w:val="32"/>
        </w:rPr>
      </w:pPr>
      <w:r>
        <w:rPr>
          <w:rFonts w:ascii="Times New Roman" w:hAnsi="Times New Roman" w:eastAsia="方正小标宋简体"/>
          <w:sz w:val="32"/>
          <w:szCs w:val="32"/>
        </w:rPr>
        <w:t>_____</w:t>
      </w:r>
      <w:r>
        <w:rPr>
          <w:rFonts w:ascii="Times New Roman" w:hAnsi="Times New Roman" w:eastAsia="楷体_GB2312"/>
          <w:sz w:val="32"/>
          <w:szCs w:val="32"/>
        </w:rPr>
        <w:t>县（区、市）</w:t>
      </w:r>
    </w:p>
    <w:bookmarkEnd w:id="0"/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5"/>
        <w:gridCol w:w="1812"/>
        <w:gridCol w:w="1018"/>
        <w:gridCol w:w="1169"/>
        <w:gridCol w:w="1311"/>
        <w:gridCol w:w="25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55" w:type="dxa"/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黑体" w:hAnsi="黑体" w:eastAsia="黑体"/>
                <w:bCs/>
                <w:szCs w:val="21"/>
              </w:rPr>
            </w:pPr>
            <w:r>
              <w:rPr>
                <w:rFonts w:ascii="黑体" w:hAnsi="黑体" w:eastAsia="黑体"/>
                <w:bCs/>
                <w:szCs w:val="21"/>
              </w:rPr>
              <w:t>序号</w:t>
            </w:r>
          </w:p>
        </w:tc>
        <w:tc>
          <w:tcPr>
            <w:tcW w:w="3999" w:type="dxa"/>
            <w:gridSpan w:val="3"/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黑体" w:hAnsi="黑体" w:eastAsia="黑体"/>
                <w:bCs/>
                <w:szCs w:val="21"/>
              </w:rPr>
            </w:pPr>
            <w:r>
              <w:rPr>
                <w:rFonts w:ascii="黑体" w:hAnsi="黑体" w:eastAsia="黑体"/>
                <w:bCs/>
                <w:szCs w:val="21"/>
              </w:rPr>
              <w:t>评价指标</w:t>
            </w:r>
          </w:p>
        </w:tc>
        <w:tc>
          <w:tcPr>
            <w:tcW w:w="3868" w:type="dxa"/>
            <w:gridSpan w:val="2"/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黑体" w:hAnsi="黑体" w:eastAsia="黑体"/>
                <w:bCs/>
                <w:szCs w:val="21"/>
              </w:rPr>
            </w:pPr>
            <w:r>
              <w:rPr>
                <w:rFonts w:ascii="黑体" w:hAnsi="黑体" w:eastAsia="黑体"/>
                <w:bCs/>
                <w:szCs w:val="21"/>
              </w:rPr>
              <w:t>评价结果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655" w:type="dxa"/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</w:t>
            </w:r>
          </w:p>
        </w:tc>
        <w:tc>
          <w:tcPr>
            <w:tcW w:w="3999" w:type="dxa"/>
            <w:gridSpan w:val="3"/>
            <w:shd w:val="clear" w:color="auto" w:fill="auto"/>
            <w:vAlign w:val="center"/>
          </w:tcPr>
          <w:p>
            <w:pPr>
              <w:overflowPunct w:val="0"/>
              <w:snapToGrid w:val="0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县（区、市）人民政府牵头成立农村物流专项工作机制</w:t>
            </w:r>
          </w:p>
        </w:tc>
        <w:tc>
          <w:tcPr>
            <w:tcW w:w="3868" w:type="dxa"/>
            <w:gridSpan w:val="2"/>
            <w:shd w:val="clear" w:color="auto" w:fill="auto"/>
            <w:vAlign w:val="center"/>
          </w:tcPr>
          <w:p>
            <w:pPr>
              <w:pStyle w:val="5"/>
              <w:numPr>
                <w:ilvl w:val="0"/>
                <w:numId w:val="1"/>
              </w:numPr>
              <w:overflowPunct w:val="0"/>
              <w:snapToGrid w:val="0"/>
              <w:ind w:firstLineChars="0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是</w:t>
            </w:r>
          </w:p>
          <w:p>
            <w:pPr>
              <w:pStyle w:val="5"/>
              <w:numPr>
                <w:ilvl w:val="0"/>
                <w:numId w:val="1"/>
              </w:numPr>
              <w:overflowPunct w:val="0"/>
              <w:snapToGrid w:val="0"/>
              <w:ind w:firstLineChars="0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655" w:type="dxa"/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3999" w:type="dxa"/>
            <w:gridSpan w:val="3"/>
            <w:shd w:val="clear" w:color="auto" w:fill="auto"/>
            <w:vAlign w:val="center"/>
          </w:tcPr>
          <w:p>
            <w:pPr>
              <w:overflowPunct w:val="0"/>
              <w:snapToGrid w:val="0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县（区、市）人民政府或相关管理部门印发农村物流相关规划或政策文件</w:t>
            </w:r>
          </w:p>
        </w:tc>
        <w:tc>
          <w:tcPr>
            <w:tcW w:w="3868" w:type="dxa"/>
            <w:gridSpan w:val="2"/>
            <w:shd w:val="clear" w:color="auto" w:fill="auto"/>
            <w:vAlign w:val="center"/>
          </w:tcPr>
          <w:p>
            <w:pPr>
              <w:pStyle w:val="5"/>
              <w:numPr>
                <w:ilvl w:val="0"/>
                <w:numId w:val="1"/>
              </w:numPr>
              <w:overflowPunct w:val="0"/>
              <w:snapToGrid w:val="0"/>
              <w:ind w:firstLineChars="0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是</w:t>
            </w:r>
          </w:p>
          <w:p>
            <w:pPr>
              <w:pStyle w:val="5"/>
              <w:numPr>
                <w:ilvl w:val="0"/>
                <w:numId w:val="1"/>
              </w:numPr>
              <w:overflowPunct w:val="0"/>
              <w:snapToGrid w:val="0"/>
              <w:ind w:firstLineChars="0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55" w:type="dxa"/>
            <w:vMerge w:val="restart"/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3</w:t>
            </w:r>
          </w:p>
        </w:tc>
        <w:tc>
          <w:tcPr>
            <w:tcW w:w="3999" w:type="dxa"/>
            <w:gridSpan w:val="3"/>
            <w:shd w:val="clear" w:color="auto" w:fill="auto"/>
            <w:vAlign w:val="center"/>
          </w:tcPr>
          <w:p>
            <w:pPr>
              <w:overflowPunct w:val="0"/>
              <w:snapToGrid w:val="0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县（区、市）人民政府或相关管理部门出台资金支持政策</w:t>
            </w:r>
          </w:p>
        </w:tc>
        <w:tc>
          <w:tcPr>
            <w:tcW w:w="3868" w:type="dxa"/>
            <w:gridSpan w:val="2"/>
            <w:shd w:val="clear" w:color="auto" w:fill="auto"/>
            <w:vAlign w:val="center"/>
          </w:tcPr>
          <w:p>
            <w:pPr>
              <w:pStyle w:val="5"/>
              <w:numPr>
                <w:ilvl w:val="0"/>
                <w:numId w:val="1"/>
              </w:numPr>
              <w:overflowPunct w:val="0"/>
              <w:snapToGrid w:val="0"/>
              <w:ind w:firstLineChars="0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是</w:t>
            </w:r>
          </w:p>
          <w:p>
            <w:pPr>
              <w:pStyle w:val="5"/>
              <w:numPr>
                <w:ilvl w:val="0"/>
                <w:numId w:val="1"/>
              </w:numPr>
              <w:overflowPunct w:val="0"/>
              <w:snapToGrid w:val="0"/>
              <w:ind w:firstLineChars="0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5" w:hRule="atLeast"/>
          <w:jc w:val="center"/>
        </w:trPr>
        <w:tc>
          <w:tcPr>
            <w:tcW w:w="655" w:type="dxa"/>
            <w:vMerge w:val="continue"/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3999" w:type="dxa"/>
            <w:gridSpan w:val="3"/>
            <w:shd w:val="clear" w:color="auto" w:fill="auto"/>
            <w:vAlign w:val="center"/>
          </w:tcPr>
          <w:p>
            <w:pPr>
              <w:pStyle w:val="5"/>
              <w:overflowPunct w:val="0"/>
              <w:snapToGrid w:val="0"/>
              <w:ind w:left="420" w:firstLine="0" w:firstLineChars="0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如填写是，请填报此项信息</w:t>
            </w:r>
          </w:p>
        </w:tc>
        <w:tc>
          <w:tcPr>
            <w:tcW w:w="3868" w:type="dxa"/>
            <w:gridSpan w:val="2"/>
            <w:shd w:val="clear" w:color="auto" w:fill="auto"/>
            <w:vAlign w:val="center"/>
          </w:tcPr>
          <w:p>
            <w:pPr>
              <w:pStyle w:val="5"/>
              <w:numPr>
                <w:ilvl w:val="0"/>
                <w:numId w:val="1"/>
              </w:numPr>
              <w:overflowPunct w:val="0"/>
              <w:snapToGrid w:val="0"/>
              <w:ind w:firstLineChars="0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站场建设或升级改造</w:t>
            </w:r>
            <w:r>
              <w:rPr>
                <w:rFonts w:ascii="Times New Roman" w:hAnsi="Times New Roman" w:eastAsia="仿宋_GB2312"/>
                <w:szCs w:val="21"/>
                <w:u w:val="single"/>
              </w:rPr>
              <w:t xml:space="preserve">   </w:t>
            </w:r>
            <w:r>
              <w:rPr>
                <w:rFonts w:ascii="Times New Roman" w:hAnsi="Times New Roman" w:eastAsia="仿宋_GB2312"/>
                <w:szCs w:val="21"/>
              </w:rPr>
              <w:t>万元</w:t>
            </w:r>
          </w:p>
          <w:p>
            <w:pPr>
              <w:pStyle w:val="5"/>
              <w:numPr>
                <w:ilvl w:val="0"/>
                <w:numId w:val="1"/>
              </w:numPr>
              <w:overflowPunct w:val="0"/>
              <w:snapToGrid w:val="0"/>
              <w:ind w:firstLineChars="0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运营补助</w:t>
            </w:r>
            <w:r>
              <w:rPr>
                <w:rFonts w:ascii="Times New Roman" w:hAnsi="Times New Roman" w:eastAsia="仿宋_GB2312"/>
                <w:szCs w:val="21"/>
                <w:u w:val="single"/>
              </w:rPr>
              <w:t xml:space="preserve">   </w:t>
            </w:r>
            <w:r>
              <w:rPr>
                <w:rFonts w:ascii="Times New Roman" w:hAnsi="Times New Roman" w:eastAsia="仿宋_GB2312"/>
                <w:szCs w:val="21"/>
              </w:rPr>
              <w:t>万元</w:t>
            </w:r>
          </w:p>
          <w:p>
            <w:pPr>
              <w:pStyle w:val="5"/>
              <w:numPr>
                <w:ilvl w:val="0"/>
                <w:numId w:val="1"/>
              </w:numPr>
              <w:overflowPunct w:val="0"/>
              <w:snapToGrid w:val="0"/>
              <w:ind w:firstLineChars="0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设施设备更新</w:t>
            </w:r>
            <w:r>
              <w:rPr>
                <w:rFonts w:ascii="Times New Roman" w:hAnsi="Times New Roman" w:eastAsia="仿宋_GB2312"/>
                <w:szCs w:val="21"/>
                <w:u w:val="single"/>
              </w:rPr>
              <w:t xml:space="preserve">   </w:t>
            </w:r>
            <w:r>
              <w:rPr>
                <w:rFonts w:ascii="Times New Roman" w:hAnsi="Times New Roman" w:eastAsia="仿宋_GB2312"/>
                <w:szCs w:val="21"/>
              </w:rPr>
              <w:t>万元</w:t>
            </w:r>
          </w:p>
          <w:p>
            <w:pPr>
              <w:pStyle w:val="5"/>
              <w:numPr>
                <w:ilvl w:val="0"/>
                <w:numId w:val="1"/>
              </w:numPr>
              <w:overflowPunct w:val="0"/>
              <w:snapToGrid w:val="0"/>
              <w:ind w:firstLineChars="0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信息化投入</w:t>
            </w:r>
            <w:r>
              <w:rPr>
                <w:rFonts w:ascii="Times New Roman" w:hAnsi="Times New Roman" w:eastAsia="仿宋_GB2312"/>
                <w:szCs w:val="21"/>
                <w:u w:val="single"/>
              </w:rPr>
              <w:t xml:space="preserve">   </w:t>
            </w:r>
            <w:r>
              <w:rPr>
                <w:rFonts w:ascii="Times New Roman" w:hAnsi="Times New Roman" w:eastAsia="仿宋_GB2312"/>
                <w:szCs w:val="21"/>
              </w:rPr>
              <w:t>万元</w:t>
            </w:r>
          </w:p>
          <w:p>
            <w:pPr>
              <w:pStyle w:val="5"/>
              <w:numPr>
                <w:ilvl w:val="0"/>
                <w:numId w:val="1"/>
              </w:numPr>
              <w:overflowPunct w:val="0"/>
              <w:snapToGrid w:val="0"/>
              <w:ind w:firstLineChars="0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其他</w:t>
            </w:r>
            <w:r>
              <w:rPr>
                <w:rFonts w:ascii="Times New Roman" w:hAnsi="Times New Roman" w:eastAsia="仿宋_GB2312"/>
                <w:szCs w:val="21"/>
                <w:u w:val="single"/>
              </w:rPr>
              <w:t xml:space="preserve">    </w:t>
            </w:r>
            <w:r>
              <w:rPr>
                <w:rFonts w:ascii="Times New Roman" w:hAnsi="Times New Roman" w:eastAsia="仿宋_GB2312"/>
                <w:szCs w:val="21"/>
              </w:rPr>
              <w:t>项目</w:t>
            </w:r>
            <w:r>
              <w:rPr>
                <w:rFonts w:ascii="Times New Roman" w:hAnsi="Times New Roman" w:eastAsia="仿宋_GB2312"/>
                <w:szCs w:val="21"/>
                <w:u w:val="single"/>
              </w:rPr>
              <w:t xml:space="preserve">   </w:t>
            </w:r>
            <w:r>
              <w:rPr>
                <w:rFonts w:ascii="Times New Roman" w:hAnsi="Times New Roman" w:eastAsia="仿宋_GB2312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655" w:type="dxa"/>
            <w:vMerge w:val="restart"/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4</w:t>
            </w:r>
          </w:p>
        </w:tc>
        <w:tc>
          <w:tcPr>
            <w:tcW w:w="1812" w:type="dxa"/>
            <w:vMerge w:val="restart"/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整合资源</w:t>
            </w:r>
          </w:p>
          <w:p>
            <w:pPr>
              <w:overflowPunct w:val="0"/>
              <w:snapToGrid w:val="0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（可多选）</w:t>
            </w:r>
          </w:p>
        </w:tc>
        <w:tc>
          <w:tcPr>
            <w:tcW w:w="2187" w:type="dxa"/>
            <w:gridSpan w:val="2"/>
            <w:vMerge w:val="restart"/>
            <w:shd w:val="clear" w:color="auto" w:fill="auto"/>
            <w:vAlign w:val="center"/>
          </w:tcPr>
          <w:p>
            <w:pPr>
              <w:pStyle w:val="5"/>
              <w:numPr>
                <w:ilvl w:val="0"/>
                <w:numId w:val="2"/>
              </w:numPr>
              <w:overflowPunct w:val="0"/>
              <w:snapToGrid w:val="0"/>
              <w:ind w:firstLineChars="0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客运</w:t>
            </w:r>
          </w:p>
          <w:p>
            <w:pPr>
              <w:pStyle w:val="5"/>
              <w:numPr>
                <w:ilvl w:val="0"/>
                <w:numId w:val="2"/>
              </w:numPr>
              <w:overflowPunct w:val="0"/>
              <w:snapToGrid w:val="0"/>
              <w:ind w:firstLineChars="0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货运</w:t>
            </w:r>
          </w:p>
          <w:p>
            <w:pPr>
              <w:pStyle w:val="5"/>
              <w:numPr>
                <w:ilvl w:val="0"/>
                <w:numId w:val="2"/>
              </w:numPr>
              <w:overflowPunct w:val="0"/>
              <w:snapToGrid w:val="0"/>
              <w:ind w:firstLineChars="0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邮政（含EMS）</w:t>
            </w:r>
          </w:p>
          <w:p>
            <w:pPr>
              <w:pStyle w:val="5"/>
              <w:numPr>
                <w:ilvl w:val="0"/>
                <w:numId w:val="2"/>
              </w:numPr>
              <w:overflowPunct w:val="0"/>
              <w:snapToGrid w:val="0"/>
              <w:ind w:firstLineChars="0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快递</w:t>
            </w:r>
          </w:p>
          <w:p>
            <w:pPr>
              <w:pStyle w:val="5"/>
              <w:numPr>
                <w:ilvl w:val="0"/>
                <w:numId w:val="2"/>
              </w:numPr>
              <w:overflowPunct w:val="0"/>
              <w:snapToGrid w:val="0"/>
              <w:ind w:firstLineChars="0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商贸（电子商务）</w:t>
            </w:r>
          </w:p>
          <w:p>
            <w:pPr>
              <w:pStyle w:val="5"/>
              <w:numPr>
                <w:ilvl w:val="0"/>
                <w:numId w:val="2"/>
              </w:numPr>
              <w:overflowPunct w:val="0"/>
              <w:snapToGrid w:val="0"/>
              <w:ind w:firstLineChars="0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农业</w:t>
            </w:r>
          </w:p>
          <w:p>
            <w:pPr>
              <w:pStyle w:val="5"/>
              <w:numPr>
                <w:ilvl w:val="0"/>
                <w:numId w:val="2"/>
              </w:numPr>
              <w:overflowPunct w:val="0"/>
              <w:snapToGrid w:val="0"/>
              <w:ind w:firstLineChars="0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供销</w:t>
            </w:r>
          </w:p>
          <w:p>
            <w:pPr>
              <w:pStyle w:val="5"/>
              <w:numPr>
                <w:ilvl w:val="0"/>
                <w:numId w:val="2"/>
              </w:numPr>
              <w:overflowPunct w:val="0"/>
              <w:snapToGrid w:val="0"/>
              <w:ind w:firstLineChars="0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金融</w:t>
            </w:r>
          </w:p>
          <w:p>
            <w:pPr>
              <w:numPr>
                <w:ilvl w:val="0"/>
                <w:numId w:val="2"/>
              </w:numPr>
              <w:overflowPunct w:val="0"/>
              <w:snapToGrid w:val="0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其他</w:t>
            </w:r>
            <w:r>
              <w:rPr>
                <w:rFonts w:ascii="Times New Roman" w:hAnsi="Times New Roman" w:eastAsia="仿宋_GB2312"/>
                <w:szCs w:val="21"/>
                <w:u w:val="single"/>
              </w:rPr>
              <w:t xml:space="preserve">       </w:t>
            </w:r>
          </w:p>
        </w:tc>
        <w:tc>
          <w:tcPr>
            <w:tcW w:w="1311" w:type="dxa"/>
            <w:shd w:val="clear" w:color="auto" w:fill="auto"/>
            <w:vAlign w:val="center"/>
          </w:tcPr>
          <w:p>
            <w:pPr>
              <w:overflowPunct w:val="0"/>
              <w:snapToGrid w:val="0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县级节点及配送服务</w:t>
            </w:r>
          </w:p>
        </w:tc>
        <w:tc>
          <w:tcPr>
            <w:tcW w:w="2557" w:type="dxa"/>
            <w:shd w:val="clear" w:color="auto" w:fill="auto"/>
            <w:vAlign w:val="center"/>
          </w:tcPr>
          <w:p>
            <w:pPr>
              <w:overflowPunct w:val="0"/>
              <w:snapToGrid w:val="0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华文中宋"/>
                <w:szCs w:val="21"/>
              </w:rPr>
              <w:t>□</w:t>
            </w:r>
            <w:r>
              <w:rPr>
                <w:rFonts w:ascii="Times New Roman" w:hAnsi="Times New Roman" w:eastAsia="仿宋_GB2312"/>
                <w:szCs w:val="21"/>
              </w:rPr>
              <w:t>客运</w:t>
            </w:r>
            <w:r>
              <w:rPr>
                <w:rFonts w:ascii="Times New Roman" w:hAnsi="Times New Roman" w:eastAsia="华文中宋"/>
                <w:szCs w:val="21"/>
              </w:rPr>
              <w:t>□</w:t>
            </w:r>
            <w:r>
              <w:rPr>
                <w:rFonts w:ascii="Times New Roman" w:hAnsi="Times New Roman" w:eastAsia="仿宋_GB2312"/>
                <w:szCs w:val="21"/>
              </w:rPr>
              <w:t>货运</w:t>
            </w:r>
          </w:p>
          <w:p>
            <w:pPr>
              <w:overflowPunct w:val="0"/>
              <w:snapToGrid w:val="0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华文中宋"/>
                <w:szCs w:val="21"/>
              </w:rPr>
              <w:t>□</w:t>
            </w:r>
            <w:r>
              <w:rPr>
                <w:rFonts w:ascii="Times New Roman" w:hAnsi="Times New Roman" w:eastAsia="仿宋_GB2312"/>
                <w:szCs w:val="21"/>
              </w:rPr>
              <w:t>邮政（含EMS）</w:t>
            </w:r>
            <w:r>
              <w:rPr>
                <w:rFonts w:ascii="Times New Roman" w:hAnsi="Times New Roman" w:eastAsia="华文中宋"/>
                <w:szCs w:val="21"/>
              </w:rPr>
              <w:t>□</w:t>
            </w:r>
            <w:r>
              <w:rPr>
                <w:rFonts w:ascii="Times New Roman" w:hAnsi="Times New Roman" w:eastAsia="仿宋_GB2312"/>
                <w:szCs w:val="21"/>
              </w:rPr>
              <w:t>快递</w:t>
            </w:r>
          </w:p>
          <w:p>
            <w:pPr>
              <w:overflowPunct w:val="0"/>
              <w:snapToGrid w:val="0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华文中宋"/>
                <w:szCs w:val="21"/>
              </w:rPr>
              <w:t>□</w:t>
            </w:r>
            <w:r>
              <w:rPr>
                <w:rFonts w:ascii="Times New Roman" w:hAnsi="Times New Roman" w:eastAsia="仿宋_GB2312"/>
                <w:szCs w:val="21"/>
              </w:rPr>
              <w:t>商贸（电子商务）</w:t>
            </w:r>
          </w:p>
          <w:p>
            <w:pPr>
              <w:overflowPunct w:val="0"/>
              <w:snapToGrid w:val="0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华文中宋"/>
                <w:szCs w:val="21"/>
              </w:rPr>
              <w:t>□</w:t>
            </w:r>
            <w:r>
              <w:rPr>
                <w:rFonts w:ascii="Times New Roman" w:hAnsi="Times New Roman" w:eastAsia="仿宋_GB2312"/>
                <w:szCs w:val="21"/>
              </w:rPr>
              <w:t>农业</w:t>
            </w:r>
            <w:r>
              <w:rPr>
                <w:rFonts w:ascii="Times New Roman" w:hAnsi="Times New Roman" w:eastAsia="华文中宋"/>
                <w:szCs w:val="21"/>
              </w:rPr>
              <w:t>□</w:t>
            </w:r>
            <w:r>
              <w:rPr>
                <w:rFonts w:ascii="Times New Roman" w:hAnsi="Times New Roman" w:eastAsia="仿宋_GB2312"/>
                <w:szCs w:val="21"/>
              </w:rPr>
              <w:t>供销</w:t>
            </w:r>
            <w:r>
              <w:rPr>
                <w:rFonts w:ascii="Times New Roman" w:hAnsi="Times New Roman" w:eastAsia="华文中宋"/>
                <w:szCs w:val="21"/>
              </w:rPr>
              <w:t>□</w:t>
            </w:r>
            <w:r>
              <w:rPr>
                <w:rFonts w:ascii="Times New Roman" w:hAnsi="Times New Roman" w:eastAsia="仿宋_GB2312"/>
                <w:szCs w:val="21"/>
              </w:rPr>
              <w:t>金融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  <w:jc w:val="center"/>
        </w:trPr>
        <w:tc>
          <w:tcPr>
            <w:tcW w:w="655" w:type="dxa"/>
            <w:vMerge w:val="continue"/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812" w:type="dxa"/>
            <w:vMerge w:val="continue"/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2187" w:type="dxa"/>
            <w:gridSpan w:val="2"/>
            <w:vMerge w:val="continue"/>
            <w:shd w:val="clear" w:color="auto" w:fill="auto"/>
            <w:vAlign w:val="center"/>
          </w:tcPr>
          <w:p>
            <w:pPr>
              <w:pStyle w:val="5"/>
              <w:numPr>
                <w:ilvl w:val="0"/>
                <w:numId w:val="2"/>
              </w:numPr>
              <w:overflowPunct w:val="0"/>
              <w:snapToGrid w:val="0"/>
              <w:ind w:firstLineChars="0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>
            <w:pPr>
              <w:overflowPunct w:val="0"/>
              <w:snapToGrid w:val="0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乡镇级节点及配送服务</w:t>
            </w:r>
          </w:p>
        </w:tc>
        <w:tc>
          <w:tcPr>
            <w:tcW w:w="2557" w:type="dxa"/>
            <w:shd w:val="clear" w:color="auto" w:fill="auto"/>
            <w:vAlign w:val="center"/>
          </w:tcPr>
          <w:p>
            <w:pPr>
              <w:overflowPunct w:val="0"/>
              <w:snapToGrid w:val="0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华文中宋"/>
                <w:szCs w:val="21"/>
              </w:rPr>
              <w:t>□</w:t>
            </w:r>
            <w:r>
              <w:rPr>
                <w:rFonts w:ascii="Times New Roman" w:hAnsi="Times New Roman" w:eastAsia="仿宋_GB2312"/>
                <w:szCs w:val="21"/>
              </w:rPr>
              <w:t>客运</w:t>
            </w:r>
            <w:r>
              <w:rPr>
                <w:rFonts w:ascii="Times New Roman" w:hAnsi="Times New Roman" w:eastAsia="华文中宋"/>
                <w:szCs w:val="21"/>
              </w:rPr>
              <w:t>□</w:t>
            </w:r>
            <w:r>
              <w:rPr>
                <w:rFonts w:ascii="Times New Roman" w:hAnsi="Times New Roman" w:eastAsia="仿宋_GB2312"/>
                <w:szCs w:val="21"/>
              </w:rPr>
              <w:t>货运</w:t>
            </w:r>
          </w:p>
          <w:p>
            <w:pPr>
              <w:overflowPunct w:val="0"/>
              <w:snapToGrid w:val="0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华文中宋"/>
                <w:szCs w:val="21"/>
              </w:rPr>
              <w:t>□</w:t>
            </w:r>
            <w:r>
              <w:rPr>
                <w:rFonts w:ascii="Times New Roman" w:hAnsi="Times New Roman" w:eastAsia="仿宋_GB2312"/>
                <w:szCs w:val="21"/>
              </w:rPr>
              <w:t>邮政（含EMS）</w:t>
            </w:r>
            <w:r>
              <w:rPr>
                <w:rFonts w:ascii="Times New Roman" w:hAnsi="Times New Roman" w:eastAsia="华文中宋"/>
                <w:szCs w:val="21"/>
              </w:rPr>
              <w:t>□</w:t>
            </w:r>
            <w:r>
              <w:rPr>
                <w:rFonts w:ascii="Times New Roman" w:hAnsi="Times New Roman" w:eastAsia="仿宋_GB2312"/>
                <w:szCs w:val="21"/>
              </w:rPr>
              <w:t>快递</w:t>
            </w:r>
          </w:p>
          <w:p>
            <w:pPr>
              <w:overflowPunct w:val="0"/>
              <w:snapToGrid w:val="0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华文中宋"/>
                <w:szCs w:val="21"/>
              </w:rPr>
              <w:t>□</w:t>
            </w:r>
            <w:r>
              <w:rPr>
                <w:rFonts w:ascii="Times New Roman" w:hAnsi="Times New Roman" w:eastAsia="仿宋_GB2312"/>
                <w:szCs w:val="21"/>
              </w:rPr>
              <w:t>商贸（电子商务）</w:t>
            </w:r>
          </w:p>
          <w:p>
            <w:pPr>
              <w:overflowPunct w:val="0"/>
              <w:snapToGrid w:val="0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华文中宋"/>
                <w:szCs w:val="21"/>
              </w:rPr>
              <w:t>□</w:t>
            </w:r>
            <w:r>
              <w:rPr>
                <w:rFonts w:ascii="Times New Roman" w:hAnsi="Times New Roman" w:eastAsia="仿宋_GB2312"/>
                <w:szCs w:val="21"/>
              </w:rPr>
              <w:t>农业</w:t>
            </w:r>
            <w:r>
              <w:rPr>
                <w:rFonts w:ascii="Times New Roman" w:hAnsi="Times New Roman" w:eastAsia="华文中宋"/>
                <w:szCs w:val="21"/>
              </w:rPr>
              <w:t>□</w:t>
            </w:r>
            <w:r>
              <w:rPr>
                <w:rFonts w:ascii="Times New Roman" w:hAnsi="Times New Roman" w:eastAsia="仿宋_GB2312"/>
                <w:szCs w:val="21"/>
              </w:rPr>
              <w:t>供销</w:t>
            </w:r>
            <w:r>
              <w:rPr>
                <w:rFonts w:ascii="Times New Roman" w:hAnsi="Times New Roman" w:eastAsia="华文中宋"/>
                <w:szCs w:val="21"/>
              </w:rPr>
              <w:t>□</w:t>
            </w:r>
            <w:r>
              <w:rPr>
                <w:rFonts w:ascii="Times New Roman" w:hAnsi="Times New Roman" w:eastAsia="仿宋_GB2312"/>
                <w:szCs w:val="21"/>
              </w:rPr>
              <w:t>金融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655" w:type="dxa"/>
            <w:vMerge w:val="continue"/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812" w:type="dxa"/>
            <w:vMerge w:val="continue"/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2187" w:type="dxa"/>
            <w:gridSpan w:val="2"/>
            <w:vMerge w:val="continue"/>
            <w:shd w:val="clear" w:color="auto" w:fill="auto"/>
            <w:vAlign w:val="center"/>
          </w:tcPr>
          <w:p>
            <w:pPr>
              <w:pStyle w:val="5"/>
              <w:numPr>
                <w:ilvl w:val="0"/>
                <w:numId w:val="2"/>
              </w:numPr>
              <w:overflowPunct w:val="0"/>
              <w:snapToGrid w:val="0"/>
              <w:ind w:firstLineChars="0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>
            <w:pPr>
              <w:overflowPunct w:val="0"/>
              <w:snapToGrid w:val="0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村级节点及配送服务</w:t>
            </w:r>
          </w:p>
        </w:tc>
        <w:tc>
          <w:tcPr>
            <w:tcW w:w="2557" w:type="dxa"/>
            <w:shd w:val="clear" w:color="auto" w:fill="auto"/>
            <w:vAlign w:val="center"/>
          </w:tcPr>
          <w:p>
            <w:pPr>
              <w:overflowPunct w:val="0"/>
              <w:snapToGrid w:val="0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华文中宋"/>
                <w:szCs w:val="21"/>
              </w:rPr>
              <w:t>□</w:t>
            </w:r>
            <w:r>
              <w:rPr>
                <w:rFonts w:ascii="Times New Roman" w:hAnsi="Times New Roman" w:eastAsia="仿宋_GB2312"/>
                <w:szCs w:val="21"/>
              </w:rPr>
              <w:t>客运</w:t>
            </w:r>
            <w:r>
              <w:rPr>
                <w:rFonts w:ascii="Times New Roman" w:hAnsi="Times New Roman" w:eastAsia="华文中宋"/>
                <w:szCs w:val="21"/>
              </w:rPr>
              <w:t>□</w:t>
            </w:r>
            <w:r>
              <w:rPr>
                <w:rFonts w:ascii="Times New Roman" w:hAnsi="Times New Roman" w:eastAsia="仿宋_GB2312"/>
                <w:szCs w:val="21"/>
              </w:rPr>
              <w:t>货运</w:t>
            </w:r>
          </w:p>
          <w:p>
            <w:pPr>
              <w:overflowPunct w:val="0"/>
              <w:snapToGrid w:val="0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华文中宋"/>
                <w:szCs w:val="21"/>
              </w:rPr>
              <w:t>□</w:t>
            </w:r>
            <w:r>
              <w:rPr>
                <w:rFonts w:ascii="Times New Roman" w:hAnsi="Times New Roman" w:eastAsia="仿宋_GB2312"/>
                <w:szCs w:val="21"/>
              </w:rPr>
              <w:t>邮政（含EMS）</w:t>
            </w:r>
            <w:r>
              <w:rPr>
                <w:rFonts w:ascii="Times New Roman" w:hAnsi="Times New Roman" w:eastAsia="华文中宋"/>
                <w:szCs w:val="21"/>
              </w:rPr>
              <w:t>□</w:t>
            </w:r>
            <w:r>
              <w:rPr>
                <w:rFonts w:ascii="Times New Roman" w:hAnsi="Times New Roman" w:eastAsia="仿宋_GB2312"/>
                <w:szCs w:val="21"/>
              </w:rPr>
              <w:t>快递</w:t>
            </w:r>
          </w:p>
          <w:p>
            <w:pPr>
              <w:overflowPunct w:val="0"/>
              <w:snapToGrid w:val="0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华文中宋"/>
                <w:szCs w:val="21"/>
              </w:rPr>
              <w:t>□</w:t>
            </w:r>
            <w:r>
              <w:rPr>
                <w:rFonts w:ascii="Times New Roman" w:hAnsi="Times New Roman" w:eastAsia="仿宋_GB2312"/>
                <w:szCs w:val="21"/>
              </w:rPr>
              <w:t>商贸（电子商务）</w:t>
            </w:r>
          </w:p>
          <w:p>
            <w:pPr>
              <w:overflowPunct w:val="0"/>
              <w:snapToGrid w:val="0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华文中宋"/>
                <w:szCs w:val="21"/>
              </w:rPr>
              <w:t>□</w:t>
            </w:r>
            <w:r>
              <w:rPr>
                <w:rFonts w:ascii="Times New Roman" w:hAnsi="Times New Roman" w:eastAsia="仿宋_GB2312"/>
                <w:szCs w:val="21"/>
              </w:rPr>
              <w:t>农业</w:t>
            </w:r>
            <w:r>
              <w:rPr>
                <w:rFonts w:ascii="Times New Roman" w:hAnsi="Times New Roman" w:eastAsia="华文中宋"/>
                <w:szCs w:val="21"/>
              </w:rPr>
              <w:t>□</w:t>
            </w:r>
            <w:r>
              <w:rPr>
                <w:rFonts w:ascii="Times New Roman" w:hAnsi="Times New Roman" w:eastAsia="仿宋_GB2312"/>
                <w:szCs w:val="21"/>
              </w:rPr>
              <w:t>供销</w:t>
            </w:r>
            <w:r>
              <w:rPr>
                <w:rFonts w:ascii="Times New Roman" w:hAnsi="Times New Roman" w:eastAsia="华文中宋"/>
                <w:szCs w:val="21"/>
              </w:rPr>
              <w:t>□</w:t>
            </w:r>
            <w:r>
              <w:rPr>
                <w:rFonts w:ascii="Times New Roman" w:hAnsi="Times New Roman" w:eastAsia="仿宋_GB2312"/>
                <w:szCs w:val="21"/>
              </w:rPr>
              <w:t>金融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655" w:type="dxa"/>
            <w:vMerge w:val="restart"/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5</w:t>
            </w:r>
          </w:p>
        </w:tc>
        <w:tc>
          <w:tcPr>
            <w:tcW w:w="1812" w:type="dxa"/>
            <w:vMerge w:val="restart"/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网络节点数量及服务功能</w:t>
            </w:r>
          </w:p>
        </w:tc>
        <w:tc>
          <w:tcPr>
            <w:tcW w:w="1018" w:type="dxa"/>
            <w:vMerge w:val="restart"/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县级节点</w:t>
            </w:r>
          </w:p>
        </w:tc>
        <w:tc>
          <w:tcPr>
            <w:tcW w:w="1169" w:type="dxa"/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数量</w:t>
            </w:r>
          </w:p>
        </w:tc>
        <w:tc>
          <w:tcPr>
            <w:tcW w:w="3868" w:type="dxa"/>
            <w:gridSpan w:val="2"/>
            <w:shd w:val="clear" w:color="auto" w:fill="auto"/>
            <w:vAlign w:val="center"/>
          </w:tcPr>
          <w:p>
            <w:pPr>
              <w:overflowPunct w:val="0"/>
              <w:snapToGrid w:val="0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  <w:u w:val="single"/>
              </w:rPr>
              <w:t xml:space="preserve">       个</w:t>
            </w:r>
            <w:r>
              <w:rPr>
                <w:rFonts w:ascii="Times New Roman" w:hAnsi="Times New Roman" w:eastAsia="仿宋_GB2312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2" w:hRule="atLeast"/>
          <w:jc w:val="center"/>
        </w:trPr>
        <w:tc>
          <w:tcPr>
            <w:tcW w:w="655" w:type="dxa"/>
            <w:vMerge w:val="continue"/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812" w:type="dxa"/>
            <w:vMerge w:val="continue"/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018" w:type="dxa"/>
            <w:vMerge w:val="continue"/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服务功能</w:t>
            </w:r>
          </w:p>
        </w:tc>
        <w:tc>
          <w:tcPr>
            <w:tcW w:w="3868" w:type="dxa"/>
            <w:gridSpan w:val="2"/>
            <w:shd w:val="clear" w:color="auto" w:fill="auto"/>
            <w:vAlign w:val="center"/>
          </w:tcPr>
          <w:p>
            <w:pPr>
              <w:pStyle w:val="5"/>
              <w:numPr>
                <w:ilvl w:val="0"/>
                <w:numId w:val="2"/>
              </w:numPr>
              <w:overflowPunct w:val="0"/>
              <w:snapToGrid w:val="0"/>
              <w:ind w:firstLineChars="0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运输</w:t>
            </w:r>
            <w:r>
              <w:rPr>
                <w:rFonts w:ascii="Times New Roman" w:hAnsi="Times New Roman" w:eastAsia="仿宋_GB2312"/>
                <w:szCs w:val="21"/>
                <w:lang w:eastAsia="zh-Hans"/>
              </w:rPr>
              <w:t>仓储</w:t>
            </w:r>
          </w:p>
          <w:p>
            <w:pPr>
              <w:pStyle w:val="5"/>
              <w:numPr>
                <w:ilvl w:val="0"/>
                <w:numId w:val="2"/>
              </w:numPr>
              <w:overflowPunct w:val="0"/>
              <w:snapToGrid w:val="0"/>
              <w:ind w:firstLineChars="0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  <w:lang w:eastAsia="zh-Hans"/>
              </w:rPr>
              <w:t>分拨配送</w:t>
            </w:r>
          </w:p>
          <w:p>
            <w:pPr>
              <w:pStyle w:val="5"/>
              <w:numPr>
                <w:ilvl w:val="0"/>
                <w:numId w:val="2"/>
              </w:numPr>
              <w:overflowPunct w:val="0"/>
              <w:snapToGrid w:val="0"/>
              <w:ind w:firstLineChars="0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  <w:lang w:eastAsia="zh-Hans"/>
              </w:rPr>
              <w:t>流通加工</w:t>
            </w:r>
          </w:p>
          <w:p>
            <w:pPr>
              <w:pStyle w:val="5"/>
              <w:numPr>
                <w:ilvl w:val="0"/>
                <w:numId w:val="2"/>
              </w:numPr>
              <w:overflowPunct w:val="0"/>
              <w:snapToGrid w:val="0"/>
              <w:ind w:firstLineChars="0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  <w:lang w:eastAsia="zh-Hans"/>
              </w:rPr>
              <w:t>商贸展销</w:t>
            </w:r>
          </w:p>
          <w:p>
            <w:pPr>
              <w:pStyle w:val="5"/>
              <w:numPr>
                <w:ilvl w:val="0"/>
                <w:numId w:val="2"/>
              </w:numPr>
              <w:overflowPunct w:val="0"/>
              <w:snapToGrid w:val="0"/>
              <w:ind w:firstLineChars="0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  <w:lang w:eastAsia="zh-Hans"/>
              </w:rPr>
              <w:t>政务便民</w:t>
            </w:r>
          </w:p>
          <w:p>
            <w:pPr>
              <w:pStyle w:val="5"/>
              <w:numPr>
                <w:ilvl w:val="0"/>
                <w:numId w:val="2"/>
              </w:numPr>
              <w:overflowPunct w:val="0"/>
              <w:snapToGrid w:val="0"/>
              <w:ind w:firstLineChars="0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  <w:lang w:eastAsia="zh-Hans"/>
              </w:rPr>
              <w:t>加油维修</w:t>
            </w:r>
          </w:p>
          <w:p>
            <w:pPr>
              <w:pStyle w:val="5"/>
              <w:numPr>
                <w:ilvl w:val="0"/>
                <w:numId w:val="2"/>
              </w:numPr>
              <w:overflowPunct w:val="0"/>
              <w:snapToGrid w:val="0"/>
              <w:ind w:firstLineChars="0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  <w:lang w:eastAsia="zh-Hans"/>
              </w:rPr>
              <w:t>生活配套</w:t>
            </w:r>
          </w:p>
          <w:p>
            <w:pPr>
              <w:pStyle w:val="5"/>
              <w:numPr>
                <w:ilvl w:val="0"/>
                <w:numId w:val="2"/>
              </w:numPr>
              <w:overflowPunct w:val="0"/>
              <w:snapToGrid w:val="0"/>
              <w:ind w:firstLineChars="0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其他</w:t>
            </w:r>
            <w:r>
              <w:rPr>
                <w:rFonts w:ascii="Times New Roman" w:hAnsi="Times New Roman" w:eastAsia="仿宋_GB2312"/>
                <w:szCs w:val="21"/>
                <w:u w:val="single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  <w:jc w:val="center"/>
        </w:trPr>
        <w:tc>
          <w:tcPr>
            <w:tcW w:w="655" w:type="dxa"/>
            <w:vMerge w:val="continue"/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812" w:type="dxa"/>
            <w:vMerge w:val="continue"/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018" w:type="dxa"/>
            <w:vMerge w:val="continue"/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5037" w:type="dxa"/>
            <w:gridSpan w:val="3"/>
            <w:shd w:val="clear" w:color="auto" w:fill="auto"/>
            <w:vAlign w:val="center"/>
          </w:tcPr>
          <w:p>
            <w:pPr>
              <w:overflowPunct w:val="0"/>
              <w:snapToGrid w:val="0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具有四种及以上功能的县级节点数量占全部县级节点数量的比例</w:t>
            </w:r>
            <w:r>
              <w:rPr>
                <w:rFonts w:ascii="Times New Roman" w:hAnsi="Times New Roman" w:eastAsia="仿宋_GB2312"/>
                <w:szCs w:val="21"/>
                <w:u w:val="single"/>
              </w:rPr>
              <w:t xml:space="preserve">    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655" w:type="dxa"/>
            <w:vMerge w:val="continue"/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812" w:type="dxa"/>
            <w:vMerge w:val="continue"/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018" w:type="dxa"/>
            <w:vMerge w:val="restart"/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乡镇级节点</w:t>
            </w:r>
          </w:p>
        </w:tc>
        <w:tc>
          <w:tcPr>
            <w:tcW w:w="1169" w:type="dxa"/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数量</w:t>
            </w:r>
          </w:p>
        </w:tc>
        <w:tc>
          <w:tcPr>
            <w:tcW w:w="3868" w:type="dxa"/>
            <w:gridSpan w:val="2"/>
            <w:shd w:val="clear" w:color="auto" w:fill="auto"/>
            <w:vAlign w:val="center"/>
          </w:tcPr>
          <w:p>
            <w:pPr>
              <w:overflowPunct w:val="0"/>
              <w:snapToGrid w:val="0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  <w:u w:val="single"/>
              </w:rPr>
              <w:t xml:space="preserve">       </w:t>
            </w:r>
            <w:r>
              <w:rPr>
                <w:rFonts w:ascii="Times New Roman" w:hAnsi="Times New Roman" w:eastAsia="仿宋_GB2312"/>
                <w:szCs w:val="21"/>
              </w:rPr>
              <w:t xml:space="preserve">个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9" w:hRule="atLeast"/>
          <w:jc w:val="center"/>
        </w:trPr>
        <w:tc>
          <w:tcPr>
            <w:tcW w:w="655" w:type="dxa"/>
            <w:vMerge w:val="continue"/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812" w:type="dxa"/>
            <w:vMerge w:val="continue"/>
            <w:shd w:val="clear" w:color="auto" w:fill="auto"/>
            <w:vAlign w:val="center"/>
          </w:tcPr>
          <w:p>
            <w:pPr>
              <w:overflowPunct w:val="0"/>
              <w:snapToGrid w:val="0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018" w:type="dxa"/>
            <w:vMerge w:val="continue"/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服务功能</w:t>
            </w:r>
          </w:p>
        </w:tc>
        <w:tc>
          <w:tcPr>
            <w:tcW w:w="3868" w:type="dxa"/>
            <w:gridSpan w:val="2"/>
            <w:shd w:val="clear" w:color="auto" w:fill="auto"/>
            <w:vAlign w:val="center"/>
          </w:tcPr>
          <w:p>
            <w:pPr>
              <w:pStyle w:val="5"/>
              <w:numPr>
                <w:ilvl w:val="0"/>
                <w:numId w:val="2"/>
              </w:numPr>
              <w:overflowPunct w:val="0"/>
              <w:snapToGrid w:val="0"/>
              <w:ind w:firstLineChars="0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  <w:lang w:eastAsia="zh-Hans"/>
              </w:rPr>
              <w:t>货物中转</w:t>
            </w:r>
          </w:p>
          <w:p>
            <w:pPr>
              <w:pStyle w:val="5"/>
              <w:numPr>
                <w:ilvl w:val="0"/>
                <w:numId w:val="2"/>
              </w:numPr>
              <w:overflowPunct w:val="0"/>
              <w:snapToGrid w:val="0"/>
              <w:ind w:firstLineChars="0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  <w:lang w:eastAsia="zh-Hans"/>
              </w:rPr>
              <w:t>物流寄递</w:t>
            </w:r>
          </w:p>
          <w:p>
            <w:pPr>
              <w:pStyle w:val="5"/>
              <w:numPr>
                <w:ilvl w:val="0"/>
                <w:numId w:val="2"/>
              </w:numPr>
              <w:overflowPunct w:val="0"/>
              <w:snapToGrid w:val="0"/>
              <w:ind w:firstLineChars="0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  <w:lang w:eastAsia="zh-Hans"/>
              </w:rPr>
              <w:t>客运公交</w:t>
            </w:r>
          </w:p>
          <w:p>
            <w:pPr>
              <w:pStyle w:val="5"/>
              <w:numPr>
                <w:ilvl w:val="0"/>
                <w:numId w:val="2"/>
              </w:numPr>
              <w:overflowPunct w:val="0"/>
              <w:snapToGrid w:val="0"/>
              <w:ind w:firstLineChars="0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  <w:lang w:eastAsia="zh-Hans"/>
              </w:rPr>
              <w:t>商贸展销</w:t>
            </w:r>
          </w:p>
          <w:p>
            <w:pPr>
              <w:pStyle w:val="5"/>
              <w:numPr>
                <w:ilvl w:val="0"/>
                <w:numId w:val="2"/>
              </w:numPr>
              <w:overflowPunct w:val="0"/>
              <w:snapToGrid w:val="0"/>
              <w:ind w:firstLineChars="0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  <w:lang w:eastAsia="zh-Hans"/>
              </w:rPr>
              <w:t>综合便民</w:t>
            </w:r>
          </w:p>
          <w:p>
            <w:pPr>
              <w:pStyle w:val="5"/>
              <w:numPr>
                <w:ilvl w:val="0"/>
                <w:numId w:val="2"/>
              </w:numPr>
              <w:overflowPunct w:val="0"/>
              <w:snapToGrid w:val="0"/>
              <w:ind w:firstLineChars="0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其他</w:t>
            </w:r>
            <w:r>
              <w:rPr>
                <w:rFonts w:ascii="Times New Roman" w:hAnsi="Times New Roman" w:eastAsia="仿宋_GB2312"/>
                <w:szCs w:val="21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655" w:type="dxa"/>
            <w:vMerge w:val="continue"/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812" w:type="dxa"/>
            <w:vMerge w:val="continue"/>
            <w:shd w:val="clear" w:color="auto" w:fill="auto"/>
            <w:vAlign w:val="center"/>
          </w:tcPr>
          <w:p>
            <w:pPr>
              <w:overflowPunct w:val="0"/>
              <w:snapToGrid w:val="0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018" w:type="dxa"/>
            <w:vMerge w:val="continue"/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5037" w:type="dxa"/>
            <w:gridSpan w:val="3"/>
            <w:shd w:val="clear" w:color="auto" w:fill="auto"/>
            <w:vAlign w:val="center"/>
          </w:tcPr>
          <w:p>
            <w:pPr>
              <w:overflowPunct w:val="0"/>
              <w:snapToGrid w:val="0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具有三种及以上功能的乡镇节点数量占全部乡镇节点数量的比例</w:t>
            </w:r>
            <w:r>
              <w:rPr>
                <w:rFonts w:ascii="Times New Roman" w:hAnsi="Times New Roman" w:eastAsia="仿宋_GB2312"/>
                <w:szCs w:val="21"/>
                <w:u w:val="single"/>
              </w:rPr>
              <w:t xml:space="preserve">     </w:t>
            </w:r>
            <w:r>
              <w:rPr>
                <w:rFonts w:ascii="Times New Roman" w:hAnsi="Times New Roman" w:eastAsia="仿宋_GB2312"/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655" w:type="dxa"/>
            <w:vMerge w:val="continue"/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812" w:type="dxa"/>
            <w:vMerge w:val="continue"/>
            <w:shd w:val="clear" w:color="auto" w:fill="auto"/>
            <w:vAlign w:val="center"/>
          </w:tcPr>
          <w:p>
            <w:pPr>
              <w:overflowPunct w:val="0"/>
              <w:snapToGrid w:val="0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018" w:type="dxa"/>
            <w:vMerge w:val="restart"/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村级节点</w:t>
            </w:r>
          </w:p>
        </w:tc>
        <w:tc>
          <w:tcPr>
            <w:tcW w:w="1169" w:type="dxa"/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数量</w:t>
            </w:r>
          </w:p>
        </w:tc>
        <w:tc>
          <w:tcPr>
            <w:tcW w:w="3868" w:type="dxa"/>
            <w:gridSpan w:val="2"/>
            <w:shd w:val="clear" w:color="auto" w:fill="auto"/>
            <w:vAlign w:val="center"/>
          </w:tcPr>
          <w:p>
            <w:pPr>
              <w:overflowPunct w:val="0"/>
              <w:snapToGrid w:val="0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  <w:u w:val="single"/>
              </w:rPr>
              <w:t xml:space="preserve">       </w:t>
            </w:r>
            <w:r>
              <w:rPr>
                <w:rFonts w:ascii="Times New Roman" w:hAnsi="Times New Roman" w:eastAsia="仿宋_GB2312"/>
                <w:szCs w:val="21"/>
              </w:rPr>
              <w:t xml:space="preserve">个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  <w:jc w:val="center"/>
        </w:trPr>
        <w:tc>
          <w:tcPr>
            <w:tcW w:w="655" w:type="dxa"/>
            <w:vMerge w:val="continue"/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812" w:type="dxa"/>
            <w:vMerge w:val="continue"/>
            <w:shd w:val="clear" w:color="auto" w:fill="auto"/>
            <w:vAlign w:val="center"/>
          </w:tcPr>
          <w:p>
            <w:pPr>
              <w:overflowPunct w:val="0"/>
              <w:snapToGrid w:val="0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018" w:type="dxa"/>
            <w:vMerge w:val="continue"/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服务功能</w:t>
            </w:r>
          </w:p>
        </w:tc>
        <w:tc>
          <w:tcPr>
            <w:tcW w:w="3868" w:type="dxa"/>
            <w:gridSpan w:val="2"/>
            <w:shd w:val="clear" w:color="auto" w:fill="auto"/>
            <w:vAlign w:val="center"/>
          </w:tcPr>
          <w:p>
            <w:pPr>
              <w:pStyle w:val="5"/>
              <w:numPr>
                <w:ilvl w:val="0"/>
                <w:numId w:val="2"/>
              </w:numPr>
              <w:overflowPunct w:val="0"/>
              <w:snapToGrid w:val="0"/>
              <w:ind w:firstLineChars="0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  <w:lang w:eastAsia="zh-Hans"/>
              </w:rPr>
              <w:t>物流寄递</w:t>
            </w:r>
          </w:p>
          <w:p>
            <w:pPr>
              <w:pStyle w:val="5"/>
              <w:numPr>
                <w:ilvl w:val="0"/>
                <w:numId w:val="2"/>
              </w:numPr>
              <w:overflowPunct w:val="0"/>
              <w:snapToGrid w:val="0"/>
              <w:ind w:firstLineChars="0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  <w:lang w:eastAsia="zh-Hans"/>
              </w:rPr>
              <w:t>商贸展销</w:t>
            </w:r>
          </w:p>
          <w:p>
            <w:pPr>
              <w:pStyle w:val="5"/>
              <w:numPr>
                <w:ilvl w:val="0"/>
                <w:numId w:val="2"/>
              </w:numPr>
              <w:overflowPunct w:val="0"/>
              <w:snapToGrid w:val="0"/>
              <w:ind w:firstLineChars="0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  <w:lang w:eastAsia="zh-Hans"/>
              </w:rPr>
              <w:t>综合便民</w:t>
            </w:r>
          </w:p>
          <w:p>
            <w:pPr>
              <w:pStyle w:val="5"/>
              <w:numPr>
                <w:ilvl w:val="0"/>
                <w:numId w:val="2"/>
              </w:numPr>
              <w:overflowPunct w:val="0"/>
              <w:snapToGrid w:val="0"/>
              <w:ind w:firstLineChars="0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其他</w:t>
            </w:r>
            <w:r>
              <w:rPr>
                <w:rFonts w:ascii="Times New Roman" w:hAnsi="Times New Roman" w:eastAsia="仿宋_GB2312"/>
                <w:szCs w:val="21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655" w:type="dxa"/>
            <w:vMerge w:val="continue"/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812" w:type="dxa"/>
            <w:vMerge w:val="continue"/>
            <w:shd w:val="clear" w:color="auto" w:fill="auto"/>
            <w:vAlign w:val="center"/>
          </w:tcPr>
          <w:p>
            <w:pPr>
              <w:overflowPunct w:val="0"/>
              <w:snapToGrid w:val="0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018" w:type="dxa"/>
            <w:vMerge w:val="continue"/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5037" w:type="dxa"/>
            <w:gridSpan w:val="3"/>
            <w:shd w:val="clear" w:color="auto" w:fill="auto"/>
            <w:vAlign w:val="center"/>
          </w:tcPr>
          <w:p>
            <w:pPr>
              <w:overflowPunct w:val="0"/>
              <w:snapToGrid w:val="0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具有三种及以上功能的村级节点数量占全部村级节点数量的比例</w:t>
            </w:r>
            <w:r>
              <w:rPr>
                <w:rFonts w:ascii="Times New Roman" w:hAnsi="Times New Roman" w:eastAsia="仿宋_GB2312"/>
                <w:szCs w:val="21"/>
                <w:u w:val="single"/>
              </w:rPr>
              <w:t xml:space="preserve">     </w:t>
            </w:r>
            <w:r>
              <w:rPr>
                <w:rFonts w:ascii="Times New Roman" w:hAnsi="Times New Roman" w:eastAsia="仿宋_GB2312"/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655" w:type="dxa"/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6</w:t>
            </w:r>
          </w:p>
        </w:tc>
        <w:tc>
          <w:tcPr>
            <w:tcW w:w="3999" w:type="dxa"/>
            <w:gridSpan w:val="3"/>
            <w:shd w:val="clear" w:color="auto" w:fill="auto"/>
            <w:vAlign w:val="center"/>
          </w:tcPr>
          <w:p>
            <w:pPr>
              <w:overflowPunct w:val="0"/>
              <w:snapToGrid w:val="0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运输线路覆盖行政村占比（%）</w:t>
            </w:r>
          </w:p>
        </w:tc>
        <w:tc>
          <w:tcPr>
            <w:tcW w:w="3868" w:type="dxa"/>
            <w:gridSpan w:val="2"/>
            <w:shd w:val="clear" w:color="auto" w:fill="auto"/>
            <w:vAlign w:val="center"/>
          </w:tcPr>
          <w:p>
            <w:pPr>
              <w:overflowPunct w:val="0"/>
              <w:snapToGrid w:val="0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5" w:type="dxa"/>
            <w:vMerge w:val="restart"/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7</w:t>
            </w:r>
          </w:p>
        </w:tc>
        <w:tc>
          <w:tcPr>
            <w:tcW w:w="3999" w:type="dxa"/>
            <w:gridSpan w:val="3"/>
            <w:shd w:val="clear" w:color="auto" w:fill="auto"/>
            <w:vAlign w:val="center"/>
          </w:tcPr>
          <w:p>
            <w:pPr>
              <w:overflowPunct w:val="0"/>
              <w:snapToGrid w:val="0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培育统筹运作农村物流的龙头骨干企业</w:t>
            </w:r>
          </w:p>
        </w:tc>
        <w:tc>
          <w:tcPr>
            <w:tcW w:w="3868" w:type="dxa"/>
            <w:gridSpan w:val="2"/>
            <w:shd w:val="clear" w:color="auto" w:fill="auto"/>
            <w:vAlign w:val="center"/>
          </w:tcPr>
          <w:p>
            <w:pPr>
              <w:pStyle w:val="5"/>
              <w:numPr>
                <w:ilvl w:val="0"/>
                <w:numId w:val="3"/>
              </w:numPr>
              <w:overflowPunct w:val="0"/>
              <w:snapToGrid w:val="0"/>
              <w:ind w:firstLineChars="0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是</w:t>
            </w:r>
          </w:p>
          <w:p>
            <w:pPr>
              <w:pStyle w:val="5"/>
              <w:numPr>
                <w:ilvl w:val="0"/>
                <w:numId w:val="3"/>
              </w:numPr>
              <w:overflowPunct w:val="0"/>
              <w:snapToGrid w:val="0"/>
              <w:ind w:firstLineChars="0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655" w:type="dxa"/>
            <w:vMerge w:val="continue"/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3999" w:type="dxa"/>
            <w:gridSpan w:val="3"/>
            <w:shd w:val="clear" w:color="auto" w:fill="auto"/>
            <w:vAlign w:val="center"/>
          </w:tcPr>
          <w:p>
            <w:pPr>
              <w:overflowPunct w:val="0"/>
              <w:snapToGrid w:val="0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如填写是，请填写龙头企业数量</w:t>
            </w:r>
          </w:p>
        </w:tc>
        <w:tc>
          <w:tcPr>
            <w:tcW w:w="3868" w:type="dxa"/>
            <w:gridSpan w:val="2"/>
            <w:shd w:val="clear" w:color="auto" w:fill="auto"/>
            <w:vAlign w:val="center"/>
          </w:tcPr>
          <w:p>
            <w:pPr>
              <w:overflowPunct w:val="0"/>
              <w:snapToGrid w:val="0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  <w:u w:val="single"/>
              </w:rPr>
              <w:t xml:space="preserve">       </w:t>
            </w:r>
            <w:r>
              <w:rPr>
                <w:rFonts w:ascii="Times New Roman" w:hAnsi="Times New Roman" w:eastAsia="仿宋_GB2312"/>
                <w:szCs w:val="21"/>
              </w:rPr>
              <w:t>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5" w:type="dxa"/>
            <w:vMerge w:val="restart"/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8</w:t>
            </w:r>
          </w:p>
        </w:tc>
        <w:tc>
          <w:tcPr>
            <w:tcW w:w="3999" w:type="dxa"/>
            <w:gridSpan w:val="3"/>
            <w:shd w:val="clear" w:color="auto" w:fill="auto"/>
            <w:vAlign w:val="center"/>
          </w:tcPr>
          <w:p>
            <w:pPr>
              <w:overflowPunct w:val="0"/>
              <w:snapToGrid w:val="0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开展共同配送</w:t>
            </w:r>
          </w:p>
        </w:tc>
        <w:tc>
          <w:tcPr>
            <w:tcW w:w="3868" w:type="dxa"/>
            <w:gridSpan w:val="2"/>
            <w:shd w:val="clear" w:color="auto" w:fill="auto"/>
            <w:vAlign w:val="center"/>
          </w:tcPr>
          <w:p>
            <w:pPr>
              <w:pStyle w:val="5"/>
              <w:numPr>
                <w:ilvl w:val="0"/>
                <w:numId w:val="3"/>
              </w:numPr>
              <w:overflowPunct w:val="0"/>
              <w:snapToGrid w:val="0"/>
              <w:ind w:firstLineChars="0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是</w:t>
            </w:r>
          </w:p>
          <w:p>
            <w:pPr>
              <w:pStyle w:val="5"/>
              <w:numPr>
                <w:ilvl w:val="0"/>
                <w:numId w:val="3"/>
              </w:numPr>
              <w:overflowPunct w:val="0"/>
              <w:snapToGrid w:val="0"/>
              <w:ind w:firstLineChars="0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5" w:type="dxa"/>
            <w:vMerge w:val="continue"/>
            <w:shd w:val="clear" w:color="auto" w:fill="auto"/>
            <w:vAlign w:val="center"/>
          </w:tcPr>
          <w:p>
            <w:pPr>
              <w:overflowPunct w:val="0"/>
              <w:snapToGrid w:val="0"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3999" w:type="dxa"/>
            <w:gridSpan w:val="3"/>
            <w:shd w:val="clear" w:color="auto" w:fill="auto"/>
            <w:vAlign w:val="center"/>
          </w:tcPr>
          <w:p>
            <w:pPr>
              <w:overflowPunct w:val="0"/>
              <w:snapToGrid w:val="0"/>
              <w:rPr>
                <w:rFonts w:ascii="Times New Roman" w:hAnsi="Times New Roman" w:eastAsia="仿宋_GB2312"/>
                <w:szCs w:val="21"/>
                <w:lang w:eastAsia="zh-Hans"/>
              </w:rPr>
            </w:pPr>
            <w:r>
              <w:rPr>
                <w:rFonts w:ascii="Times New Roman" w:hAnsi="Times New Roman" w:eastAsia="仿宋_GB2312"/>
                <w:szCs w:val="21"/>
                <w:lang w:eastAsia="zh-Hans"/>
              </w:rPr>
              <w:t>如填写是，请填写共同配送单量占全部运单量的比例</w:t>
            </w:r>
          </w:p>
        </w:tc>
        <w:tc>
          <w:tcPr>
            <w:tcW w:w="3868" w:type="dxa"/>
            <w:gridSpan w:val="2"/>
            <w:shd w:val="clear" w:color="auto" w:fill="auto"/>
            <w:vAlign w:val="center"/>
          </w:tcPr>
          <w:p>
            <w:pPr>
              <w:pStyle w:val="5"/>
              <w:overflowPunct w:val="0"/>
              <w:snapToGrid w:val="0"/>
              <w:ind w:firstLine="0" w:firstLineChars="0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  <w:u w:val="single"/>
              </w:rPr>
              <w:t xml:space="preserve">     </w:t>
            </w:r>
            <w:r>
              <w:rPr>
                <w:rFonts w:ascii="Times New Roman" w:hAnsi="Times New Roman" w:eastAsia="仿宋_GB2312"/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5" w:type="dxa"/>
            <w:vMerge w:val="restart"/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9</w:t>
            </w:r>
          </w:p>
        </w:tc>
        <w:tc>
          <w:tcPr>
            <w:tcW w:w="3999" w:type="dxa"/>
            <w:gridSpan w:val="3"/>
            <w:shd w:val="clear" w:color="auto" w:fill="auto"/>
            <w:vAlign w:val="center"/>
          </w:tcPr>
          <w:p>
            <w:pPr>
              <w:overflowPunct w:val="0"/>
              <w:snapToGrid w:val="0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使用新能源配送车辆</w:t>
            </w:r>
          </w:p>
        </w:tc>
        <w:tc>
          <w:tcPr>
            <w:tcW w:w="3868" w:type="dxa"/>
            <w:gridSpan w:val="2"/>
            <w:shd w:val="clear" w:color="auto" w:fill="auto"/>
            <w:vAlign w:val="center"/>
          </w:tcPr>
          <w:p>
            <w:pPr>
              <w:pStyle w:val="5"/>
              <w:numPr>
                <w:ilvl w:val="0"/>
                <w:numId w:val="3"/>
              </w:numPr>
              <w:overflowPunct w:val="0"/>
              <w:snapToGrid w:val="0"/>
              <w:ind w:firstLineChars="0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是</w:t>
            </w:r>
          </w:p>
          <w:p>
            <w:pPr>
              <w:pStyle w:val="5"/>
              <w:numPr>
                <w:ilvl w:val="0"/>
                <w:numId w:val="3"/>
              </w:numPr>
              <w:overflowPunct w:val="0"/>
              <w:snapToGrid w:val="0"/>
              <w:ind w:firstLineChars="0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5" w:type="dxa"/>
            <w:vMerge w:val="continue"/>
            <w:shd w:val="clear" w:color="auto" w:fill="auto"/>
            <w:vAlign w:val="center"/>
          </w:tcPr>
          <w:p>
            <w:pPr>
              <w:overflowPunct w:val="0"/>
              <w:snapToGrid w:val="0"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3999" w:type="dxa"/>
            <w:gridSpan w:val="3"/>
            <w:shd w:val="clear" w:color="auto" w:fill="auto"/>
            <w:vAlign w:val="center"/>
          </w:tcPr>
          <w:p>
            <w:pPr>
              <w:overflowPunct w:val="0"/>
              <w:snapToGrid w:val="0"/>
              <w:jc w:val="left"/>
              <w:rPr>
                <w:rFonts w:ascii="Times New Roman" w:hAnsi="Times New Roman" w:eastAsia="仿宋_GB2312"/>
                <w:szCs w:val="21"/>
                <w:lang w:eastAsia="zh-Hans"/>
              </w:rPr>
            </w:pPr>
            <w:r>
              <w:rPr>
                <w:rFonts w:ascii="Times New Roman" w:hAnsi="Times New Roman" w:eastAsia="仿宋_GB2312"/>
                <w:szCs w:val="21"/>
                <w:lang w:eastAsia="zh-Hans"/>
              </w:rPr>
              <w:t>如填写是，请填写使用新能源配送车辆占全部农村物流配送车辆的比例</w:t>
            </w:r>
          </w:p>
        </w:tc>
        <w:tc>
          <w:tcPr>
            <w:tcW w:w="3868" w:type="dxa"/>
            <w:gridSpan w:val="2"/>
            <w:shd w:val="clear" w:color="auto" w:fill="auto"/>
            <w:vAlign w:val="center"/>
          </w:tcPr>
          <w:p>
            <w:pPr>
              <w:pStyle w:val="5"/>
              <w:overflowPunct w:val="0"/>
              <w:snapToGrid w:val="0"/>
              <w:ind w:firstLine="0" w:firstLineChars="0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  <w:u w:val="single"/>
              </w:rPr>
              <w:t xml:space="preserve">     </w:t>
            </w:r>
            <w:r>
              <w:rPr>
                <w:rFonts w:ascii="Times New Roman" w:hAnsi="Times New Roman" w:eastAsia="仿宋_GB2312"/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5" w:type="dxa"/>
            <w:vMerge w:val="restart"/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10</w:t>
            </w:r>
          </w:p>
        </w:tc>
        <w:tc>
          <w:tcPr>
            <w:tcW w:w="3999" w:type="dxa"/>
            <w:gridSpan w:val="3"/>
            <w:shd w:val="clear" w:color="auto" w:fill="auto"/>
            <w:vAlign w:val="center"/>
          </w:tcPr>
          <w:p>
            <w:pPr>
              <w:overflowPunct w:val="0"/>
              <w:snapToGrid w:val="0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应用托盘、周转筐、周转袋等标准化绿色环保运载单元情况</w:t>
            </w:r>
          </w:p>
        </w:tc>
        <w:tc>
          <w:tcPr>
            <w:tcW w:w="3868" w:type="dxa"/>
            <w:gridSpan w:val="2"/>
            <w:shd w:val="clear" w:color="auto" w:fill="auto"/>
            <w:vAlign w:val="center"/>
          </w:tcPr>
          <w:p>
            <w:pPr>
              <w:pStyle w:val="5"/>
              <w:numPr>
                <w:ilvl w:val="0"/>
                <w:numId w:val="3"/>
              </w:numPr>
              <w:overflowPunct w:val="0"/>
              <w:snapToGrid w:val="0"/>
              <w:ind w:firstLineChars="0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是</w:t>
            </w:r>
          </w:p>
          <w:p>
            <w:pPr>
              <w:pStyle w:val="5"/>
              <w:numPr>
                <w:ilvl w:val="0"/>
                <w:numId w:val="3"/>
              </w:numPr>
              <w:overflowPunct w:val="0"/>
              <w:snapToGrid w:val="0"/>
              <w:ind w:firstLineChars="0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5" w:type="dxa"/>
            <w:vMerge w:val="continue"/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3999" w:type="dxa"/>
            <w:gridSpan w:val="3"/>
            <w:shd w:val="clear" w:color="auto" w:fill="auto"/>
            <w:vAlign w:val="center"/>
          </w:tcPr>
          <w:p>
            <w:pPr>
              <w:overflowPunct w:val="0"/>
              <w:snapToGrid w:val="0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  <w:lang w:eastAsia="zh-Hans"/>
              </w:rPr>
              <w:t>如填写是，请填写使用标准化运载单元的农村物流运单数量占运单总数的比例</w:t>
            </w:r>
          </w:p>
        </w:tc>
        <w:tc>
          <w:tcPr>
            <w:tcW w:w="3868" w:type="dxa"/>
            <w:gridSpan w:val="2"/>
            <w:shd w:val="clear" w:color="auto" w:fill="auto"/>
            <w:vAlign w:val="center"/>
          </w:tcPr>
          <w:p>
            <w:pPr>
              <w:pStyle w:val="5"/>
              <w:overflowPunct w:val="0"/>
              <w:snapToGrid w:val="0"/>
              <w:ind w:firstLine="0" w:firstLineChars="0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  <w:u w:val="single"/>
              </w:rPr>
              <w:t xml:space="preserve">     </w:t>
            </w:r>
            <w:r>
              <w:rPr>
                <w:rFonts w:ascii="Times New Roman" w:hAnsi="Times New Roman" w:eastAsia="仿宋_GB2312"/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5" w:type="dxa"/>
            <w:vMerge w:val="restart"/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11</w:t>
            </w:r>
          </w:p>
        </w:tc>
        <w:tc>
          <w:tcPr>
            <w:tcW w:w="3999" w:type="dxa"/>
            <w:gridSpan w:val="3"/>
            <w:shd w:val="clear" w:color="auto" w:fill="auto"/>
            <w:vAlign w:val="center"/>
          </w:tcPr>
          <w:p>
            <w:pPr>
              <w:overflowPunct w:val="0"/>
              <w:snapToGrid w:val="0"/>
              <w:jc w:val="lef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应用专业化包装、分拣、装卸设备开展集中分拣、包装、装卸</w:t>
            </w:r>
          </w:p>
        </w:tc>
        <w:tc>
          <w:tcPr>
            <w:tcW w:w="3868" w:type="dxa"/>
            <w:gridSpan w:val="2"/>
            <w:shd w:val="clear" w:color="auto" w:fill="auto"/>
            <w:vAlign w:val="center"/>
          </w:tcPr>
          <w:p>
            <w:pPr>
              <w:pStyle w:val="5"/>
              <w:numPr>
                <w:ilvl w:val="0"/>
                <w:numId w:val="3"/>
              </w:numPr>
              <w:overflowPunct w:val="0"/>
              <w:snapToGrid w:val="0"/>
              <w:ind w:firstLineChars="0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是</w:t>
            </w:r>
          </w:p>
          <w:p>
            <w:pPr>
              <w:pStyle w:val="5"/>
              <w:numPr>
                <w:ilvl w:val="0"/>
                <w:numId w:val="3"/>
              </w:numPr>
              <w:overflowPunct w:val="0"/>
              <w:snapToGrid w:val="0"/>
              <w:ind w:firstLineChars="0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5" w:type="dxa"/>
            <w:vMerge w:val="continue"/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3999" w:type="dxa"/>
            <w:gridSpan w:val="3"/>
            <w:shd w:val="clear" w:color="auto" w:fill="auto"/>
            <w:vAlign w:val="center"/>
          </w:tcPr>
          <w:p>
            <w:pPr>
              <w:overflowPunct w:val="0"/>
              <w:snapToGrid w:val="0"/>
              <w:jc w:val="left"/>
              <w:rPr>
                <w:rFonts w:ascii="Times New Roman" w:hAnsi="Times New Roman" w:eastAsia="仿宋_GB2312"/>
                <w:szCs w:val="21"/>
                <w:lang w:eastAsia="zh-Hans"/>
              </w:rPr>
            </w:pPr>
            <w:r>
              <w:rPr>
                <w:rFonts w:ascii="Times New Roman" w:hAnsi="Times New Roman" w:eastAsia="仿宋_GB2312"/>
                <w:szCs w:val="21"/>
                <w:lang w:eastAsia="zh-Hans"/>
              </w:rPr>
              <w:t>如填写是，请填写本辖区内自动化分拣线数量</w:t>
            </w:r>
          </w:p>
        </w:tc>
        <w:tc>
          <w:tcPr>
            <w:tcW w:w="3868" w:type="dxa"/>
            <w:gridSpan w:val="2"/>
            <w:shd w:val="clear" w:color="auto" w:fill="auto"/>
            <w:vAlign w:val="center"/>
          </w:tcPr>
          <w:p>
            <w:pPr>
              <w:pStyle w:val="5"/>
              <w:overflowPunct w:val="0"/>
              <w:snapToGrid w:val="0"/>
              <w:ind w:firstLine="0" w:firstLineChars="0"/>
              <w:rPr>
                <w:rFonts w:ascii="Times New Roman" w:hAnsi="Times New Roman" w:eastAsia="仿宋_GB2312"/>
                <w:szCs w:val="21"/>
                <w:lang w:eastAsia="zh-Hans"/>
              </w:rPr>
            </w:pPr>
            <w:r>
              <w:rPr>
                <w:rFonts w:ascii="Times New Roman" w:hAnsi="Times New Roman" w:eastAsia="仿宋_GB2312"/>
                <w:szCs w:val="21"/>
                <w:lang w:eastAsia="zh-Hans"/>
              </w:rPr>
              <w:t>______条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5" w:type="dxa"/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12</w:t>
            </w:r>
          </w:p>
        </w:tc>
        <w:tc>
          <w:tcPr>
            <w:tcW w:w="3999" w:type="dxa"/>
            <w:gridSpan w:val="3"/>
            <w:shd w:val="clear" w:color="auto" w:fill="auto"/>
            <w:vAlign w:val="center"/>
          </w:tcPr>
          <w:p>
            <w:pPr>
              <w:overflowPunct w:val="0"/>
              <w:snapToGrid w:val="0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统一物流信息平台进行运输组织调度</w:t>
            </w:r>
          </w:p>
        </w:tc>
        <w:tc>
          <w:tcPr>
            <w:tcW w:w="3868" w:type="dxa"/>
            <w:gridSpan w:val="2"/>
            <w:shd w:val="clear" w:color="auto" w:fill="auto"/>
            <w:vAlign w:val="center"/>
          </w:tcPr>
          <w:p>
            <w:pPr>
              <w:pStyle w:val="5"/>
              <w:numPr>
                <w:ilvl w:val="0"/>
                <w:numId w:val="3"/>
              </w:numPr>
              <w:overflowPunct w:val="0"/>
              <w:snapToGrid w:val="0"/>
              <w:ind w:firstLineChars="0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是</w:t>
            </w:r>
          </w:p>
          <w:p>
            <w:pPr>
              <w:pStyle w:val="5"/>
              <w:numPr>
                <w:ilvl w:val="0"/>
                <w:numId w:val="3"/>
              </w:numPr>
              <w:overflowPunct w:val="0"/>
              <w:snapToGrid w:val="0"/>
              <w:ind w:firstLineChars="0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否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PAGE   \* MERGEFORMAT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sz w:val="24"/>
        <w:szCs w:val="24"/>
        <w:lang w:val="zh-CN"/>
      </w:rPr>
      <w:t>-</w:t>
    </w:r>
    <w:r>
      <w:rPr>
        <w:rFonts w:ascii="Times New Roman" w:hAnsi="Times New Roman"/>
        <w:sz w:val="24"/>
        <w:szCs w:val="24"/>
      </w:rPr>
      <w:t xml:space="preserve"> 6 -</w:t>
    </w:r>
    <w:r>
      <w:rPr>
        <w:rFonts w:ascii="Times New Roman" w:hAnsi="Times New Roman"/>
        <w:sz w:val="24"/>
        <w:szCs w:val="24"/>
      </w:rP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8852129"/>
    <w:multiLevelType w:val="multilevel"/>
    <w:tmpl w:val="28852129"/>
    <w:lvl w:ilvl="0" w:tentative="0">
      <w:start w:val="1"/>
      <w:numFmt w:val="bullet"/>
      <w:lvlText w:val="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4A36386D"/>
    <w:multiLevelType w:val="multilevel"/>
    <w:tmpl w:val="4A36386D"/>
    <w:lvl w:ilvl="0" w:tentative="0">
      <w:start w:val="1"/>
      <w:numFmt w:val="bullet"/>
      <w:lvlText w:val="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58FA398A"/>
    <w:multiLevelType w:val="multilevel"/>
    <w:tmpl w:val="58FA398A"/>
    <w:lvl w:ilvl="0" w:tentative="0">
      <w:start w:val="1"/>
      <w:numFmt w:val="bullet"/>
      <w:lvlText w:val="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Y5YzExYzdiNzdjMzk1YTc1NjUwYWI4YjU4MzgyYjEifQ=="/>
  </w:docVars>
  <w:rsids>
    <w:rsidRoot w:val="52FB5682"/>
    <w:rsid w:val="1C9209EC"/>
    <w:rsid w:val="52FB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2023-10-30T07:22:00Z</dcterms:created>
  <dc:creator> </dc:creator>
  <cp:lastModifiedBy> </cp:lastModifiedBy>
  <dcterms:modified xsi:type="dcterms:W3CDTF">2023-10-30T07:22:55Z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AC8F9906C99049C794DA58E691F4CB97_13</vt:lpwstr>
  </property>
</Properties>
</file>