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BDC49" w14:textId="77777777" w:rsidR="003B7CB9" w:rsidRDefault="00EB5CFE">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68B00C80" w14:textId="154C4580"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68B00C80" w14:textId="154C4580"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44DC7B1E" w14:textId="77777777" w:rsidR="003B7CB9" w:rsidRDefault="003B7CB9">
      <w:pPr>
        <w:rPr>
          <w:rFonts w:asciiTheme="minorEastAsia" w:hAnsiTheme="minorEastAsia" w:cstheme="minorEastAsia"/>
          <w:sz w:val="44"/>
          <w:szCs w:val="44"/>
        </w:rPr>
      </w:pPr>
    </w:p>
    <w:p w14:paraId="596C07F6" w14:textId="146FAA40" w:rsidR="003B7CB9" w:rsidRPr="00941D29" w:rsidRDefault="00941D29">
      <w:pPr>
        <w:jc w:val="center"/>
        <w:rPr>
          <w:rFonts w:ascii="宋体" w:eastAsia="宋体" w:hAnsi="宋体" w:cs="宋体"/>
          <w:sz w:val="44"/>
          <w:szCs w:val="44"/>
          <w:shd w:val="clear" w:color="auto" w:fill="FFFFFF"/>
        </w:rPr>
      </w:pPr>
      <w:bookmarkStart w:id="0" w:name="_GoBack"/>
      <w:bookmarkEnd w:id="0"/>
      <w:r w:rsidRPr="00941D29">
        <w:rPr>
          <w:rFonts w:ascii="宋体" w:eastAsia="宋体" w:hAnsi="宋体" w:cstheme="minorEastAsia" w:hint="eastAsia"/>
          <w:sz w:val="44"/>
          <w:szCs w:val="44"/>
        </w:rPr>
        <w:t>港口规划管理规定</w:t>
      </w:r>
    </w:p>
    <w:p w14:paraId="4200FAE6" w14:textId="0120811F" w:rsidR="003B7CB9" w:rsidRPr="00941D29" w:rsidRDefault="00EB5CFE">
      <w:pPr>
        <w:ind w:firstLineChars="200" w:firstLine="640"/>
        <w:rPr>
          <w:rFonts w:ascii="楷体_GB2312" w:eastAsia="楷体_GB2312" w:hAnsi="楷体_GB2312" w:cs="楷体_GB2312" w:hint="eastAsia"/>
          <w:color w:val="333333"/>
          <w:sz w:val="32"/>
          <w:szCs w:val="32"/>
          <w:shd w:val="clear" w:color="auto" w:fill="FFFFFF"/>
        </w:rPr>
      </w:pPr>
      <w:r w:rsidRPr="00941D29">
        <w:rPr>
          <w:rFonts w:ascii="楷体_GB2312" w:eastAsia="楷体_GB2312" w:hAnsi="楷体_GB2312" w:cs="楷体_GB2312" w:hint="eastAsia"/>
          <w:color w:val="333333"/>
          <w:sz w:val="32"/>
          <w:szCs w:val="32"/>
          <w:shd w:val="clear" w:color="auto" w:fill="FFFFFF"/>
        </w:rPr>
        <w:t>(</w:t>
      </w:r>
      <w:r w:rsidR="00941D29" w:rsidRPr="00941D29">
        <w:rPr>
          <w:rFonts w:ascii="楷体_GB2312" w:eastAsia="楷体_GB2312" w:hAnsi="楷体_GB2312" w:cs="楷体_GB2312" w:hint="eastAsia"/>
          <w:color w:val="333333"/>
          <w:sz w:val="32"/>
          <w:szCs w:val="32"/>
          <w:shd w:val="clear" w:color="auto" w:fill="FFFFFF"/>
        </w:rPr>
        <w:t>2007年12月17日交通部令第11号公布 自2008年2月1日起施行</w:t>
      </w:r>
      <w:r w:rsidRPr="00941D29">
        <w:rPr>
          <w:rFonts w:ascii="楷体_GB2312" w:eastAsia="楷体_GB2312" w:hAnsi="楷体_GB2312" w:cs="楷体_GB2312" w:hint="eastAsia"/>
          <w:color w:val="333333"/>
          <w:sz w:val="32"/>
          <w:szCs w:val="32"/>
          <w:shd w:val="clear" w:color="auto" w:fill="FFFFFF"/>
        </w:rPr>
        <w:t>)</w:t>
      </w:r>
    </w:p>
    <w:p w14:paraId="76E4859D" w14:textId="77777777" w:rsidR="00941D29" w:rsidRPr="00941D29" w:rsidRDefault="00941D29" w:rsidP="00A75FD6">
      <w:pPr>
        <w:rPr>
          <w:rFonts w:ascii="仿宋_GB2312" w:eastAsia="仿宋_GB2312" w:hAnsi="仿宋_GB2312" w:cs="仿宋_GB2312" w:hint="eastAsia"/>
          <w:color w:val="333333"/>
          <w:sz w:val="32"/>
          <w:szCs w:val="32"/>
          <w:shd w:val="clear" w:color="auto" w:fill="FFFFFF"/>
        </w:rPr>
      </w:pPr>
    </w:p>
    <w:p w14:paraId="37E6BD90" w14:textId="77777777" w:rsidR="00941D29" w:rsidRPr="00941D29" w:rsidRDefault="00941D29" w:rsidP="00941D29">
      <w:pPr>
        <w:jc w:val="center"/>
        <w:rPr>
          <w:rFonts w:ascii="黑体" w:eastAsia="黑体" w:hAnsi="黑体" w:cs="黑体"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第一章 总 则</w:t>
      </w:r>
    </w:p>
    <w:p w14:paraId="2A031BF3" w14:textId="77777777" w:rsidR="00941D29" w:rsidRPr="00941D29" w:rsidRDefault="00941D29" w:rsidP="00941D29">
      <w:pPr>
        <w:ind w:firstLineChars="200" w:firstLine="640"/>
        <w:rPr>
          <w:rFonts w:ascii="仿宋_GB2312" w:eastAsia="仿宋_GB2312" w:hAnsi="仿宋_GB2312" w:cs="仿宋_GB2312"/>
          <w:color w:val="333333"/>
          <w:sz w:val="32"/>
          <w:szCs w:val="32"/>
          <w:shd w:val="clear" w:color="auto" w:fill="FFFFFF"/>
        </w:rPr>
      </w:pPr>
    </w:p>
    <w:p w14:paraId="5453FC90"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第一条</w:t>
      </w:r>
      <w:r w:rsidRPr="00941D29">
        <w:rPr>
          <w:rFonts w:ascii="仿宋_GB2312" w:eastAsia="仿宋_GB2312" w:hAnsi="仿宋_GB2312" w:cs="仿宋_GB2312" w:hint="eastAsia"/>
          <w:color w:val="333333"/>
          <w:sz w:val="32"/>
          <w:szCs w:val="32"/>
          <w:shd w:val="clear" w:color="auto" w:fill="FFFFFF"/>
        </w:rPr>
        <w:t xml:space="preserve"> 为规范港口规划工作，科学利用、有效保护港口资源，促进港口健康、持续发展，根据《中华人民共和国港口法》，制定本规定。</w:t>
      </w:r>
    </w:p>
    <w:p w14:paraId="350CFE80"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第二条</w:t>
      </w:r>
      <w:r w:rsidRPr="00941D29">
        <w:rPr>
          <w:rFonts w:ascii="仿宋_GB2312" w:eastAsia="仿宋_GB2312" w:hAnsi="仿宋_GB2312" w:cs="仿宋_GB2312" w:hint="eastAsia"/>
          <w:color w:val="333333"/>
          <w:sz w:val="32"/>
          <w:szCs w:val="32"/>
          <w:shd w:val="clear" w:color="auto" w:fill="FFFFFF"/>
        </w:rPr>
        <w:t xml:space="preserve"> 本规定适用于港口规划的编制、审批、公布、修订与调整、实施和监督管理等活动。</w:t>
      </w:r>
    </w:p>
    <w:p w14:paraId="4E8C3457"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第三条</w:t>
      </w:r>
      <w:r w:rsidRPr="00941D29">
        <w:rPr>
          <w:rFonts w:ascii="仿宋_GB2312" w:eastAsia="仿宋_GB2312" w:hAnsi="仿宋_GB2312" w:cs="仿宋_GB2312" w:hint="eastAsia"/>
          <w:color w:val="333333"/>
          <w:sz w:val="32"/>
          <w:szCs w:val="32"/>
          <w:shd w:val="clear" w:color="auto" w:fill="FFFFFF"/>
        </w:rPr>
        <w:t xml:space="preserve"> 交通部负责全国的港口规划管理工作。</w:t>
      </w:r>
    </w:p>
    <w:p w14:paraId="73C0BE27"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省、自治区、直辖市人民政府港口行政管理部门负责本行政区内的港口规划管理工作。</w:t>
      </w:r>
    </w:p>
    <w:p w14:paraId="444BC21F"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港口所在地的市（指设区的市，下同）、县（包括县级市）人民政府港口行政管理部门或者省、自治区人民政府设立的负责特定港口管理的部门具体实施该港口的规划管理工作。</w:t>
      </w:r>
    </w:p>
    <w:p w14:paraId="29630517"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lastRenderedPageBreak/>
        <w:t>本规定所称港口行政管理部门，包括承担港口行政管理职能的交通主管部门或者与交通主管部门分设的港口管理部门。</w:t>
      </w:r>
    </w:p>
    <w:p w14:paraId="56C7176D"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第四条</w:t>
      </w:r>
      <w:r w:rsidRPr="00941D29">
        <w:rPr>
          <w:rFonts w:ascii="仿宋_GB2312" w:eastAsia="仿宋_GB2312" w:hAnsi="仿宋_GB2312" w:cs="仿宋_GB2312" w:hint="eastAsia"/>
          <w:color w:val="333333"/>
          <w:sz w:val="32"/>
          <w:szCs w:val="32"/>
          <w:shd w:val="clear" w:color="auto" w:fill="FFFFFF"/>
        </w:rPr>
        <w:t xml:space="preserve"> 港口规划应当根据国民经济和社会发展的要求以及国防建设的需要，统筹考虑产业布局、港口资源条件、综合运输网状况等因素制定，体现贯彻科学发展观、合理利用岸线资源的原则。</w:t>
      </w:r>
    </w:p>
    <w:p w14:paraId="2EDA82CC"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第五条</w:t>
      </w:r>
      <w:r w:rsidRPr="00941D29">
        <w:rPr>
          <w:rFonts w:ascii="仿宋_GB2312" w:eastAsia="仿宋_GB2312" w:hAnsi="仿宋_GB2312" w:cs="仿宋_GB2312" w:hint="eastAsia"/>
          <w:color w:val="333333"/>
          <w:sz w:val="32"/>
          <w:szCs w:val="32"/>
          <w:shd w:val="clear" w:color="auto" w:fill="FFFFFF"/>
        </w:rPr>
        <w:t xml:space="preserve"> 港口规划应当符合城镇体系规划，并与土地利用总体规划、城市总体规划、江河流域规划、防洪规划、海洋功能区划、水路运输发展规划和其他运输方式发展规划以及法律、行政法规规定的其他有关规划相衔接、协调。</w:t>
      </w:r>
    </w:p>
    <w:p w14:paraId="0FD8898E" w14:textId="77777777" w:rsidR="00941D29" w:rsidRPr="00941D29" w:rsidRDefault="00941D29" w:rsidP="00941D29">
      <w:pPr>
        <w:ind w:firstLineChars="200" w:firstLine="640"/>
        <w:rPr>
          <w:rFonts w:ascii="仿宋_GB2312" w:eastAsia="仿宋_GB2312" w:hAnsi="仿宋_GB2312" w:cs="仿宋_GB2312"/>
          <w:color w:val="333333"/>
          <w:sz w:val="32"/>
          <w:szCs w:val="32"/>
          <w:shd w:val="clear" w:color="auto" w:fill="FFFFFF"/>
        </w:rPr>
      </w:pPr>
    </w:p>
    <w:p w14:paraId="0121BDF8" w14:textId="77777777" w:rsidR="00941D29" w:rsidRPr="00941D29" w:rsidRDefault="00941D29" w:rsidP="00941D29">
      <w:pPr>
        <w:jc w:val="center"/>
        <w:rPr>
          <w:rFonts w:ascii="黑体" w:eastAsia="黑体" w:hAnsi="黑体" w:cs="黑体"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第二章 港口规划的编制</w:t>
      </w:r>
    </w:p>
    <w:p w14:paraId="06817B1C" w14:textId="77777777" w:rsidR="00941D29" w:rsidRPr="00941D29" w:rsidRDefault="00941D29" w:rsidP="00941D29">
      <w:pPr>
        <w:ind w:firstLineChars="200" w:firstLine="640"/>
        <w:rPr>
          <w:rFonts w:ascii="仿宋_GB2312" w:eastAsia="仿宋_GB2312" w:hAnsi="仿宋_GB2312" w:cs="仿宋_GB2312"/>
          <w:color w:val="333333"/>
          <w:sz w:val="32"/>
          <w:szCs w:val="32"/>
          <w:shd w:val="clear" w:color="auto" w:fill="FFFFFF"/>
        </w:rPr>
      </w:pPr>
    </w:p>
    <w:p w14:paraId="305C9480"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第六条</w:t>
      </w:r>
      <w:r w:rsidRPr="00941D29">
        <w:rPr>
          <w:rFonts w:ascii="仿宋_GB2312" w:eastAsia="仿宋_GB2312" w:hAnsi="仿宋_GB2312" w:cs="仿宋_GB2312" w:hint="eastAsia"/>
          <w:color w:val="333333"/>
          <w:sz w:val="32"/>
          <w:szCs w:val="32"/>
          <w:shd w:val="clear" w:color="auto" w:fill="FFFFFF"/>
        </w:rPr>
        <w:t xml:space="preserve"> 港口规划包括港口布局规划和港口总体规划。</w:t>
      </w:r>
    </w:p>
    <w:p w14:paraId="6AB9C1BB"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港口布局规划是指港口的分布规划。港口布局规划包括全国港口布局规划和省、自治区、直辖市港口布局规划。对港口资源丰富、港口分布密集的区域，可以根据需要编制跨省、自治区、直辖市或者省、自治区行政区内跨市的港口布局规划。</w:t>
      </w:r>
    </w:p>
    <w:p w14:paraId="734A0B91"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港口总体规划是指一个港口在一定时期的具体规划。</w:t>
      </w:r>
    </w:p>
    <w:p w14:paraId="7AAAC018"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lastRenderedPageBreak/>
        <w:t>第七条</w:t>
      </w:r>
      <w:r w:rsidRPr="00941D29">
        <w:rPr>
          <w:rFonts w:ascii="仿宋_GB2312" w:eastAsia="仿宋_GB2312" w:hAnsi="仿宋_GB2312" w:cs="仿宋_GB2312" w:hint="eastAsia"/>
          <w:color w:val="333333"/>
          <w:sz w:val="32"/>
          <w:szCs w:val="32"/>
          <w:shd w:val="clear" w:color="auto" w:fill="FFFFFF"/>
        </w:rPr>
        <w:t xml:space="preserve"> 港口布局规划主要确定港口的总体发展方向，明确各港口的地位、作用、主要功能与布局等，合理规划港口岸线资源，促进区域内港口健康、有序、协调发展，并指导区域内港口总体规划的编制。</w:t>
      </w:r>
    </w:p>
    <w:p w14:paraId="039853D4"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港口总体规划主要确定港口性质、功能和港区划分，根据港口资源条件、吞吐量预测和到港船型分析，重点对港口岸线利用、水陆域布置、港界、港口建设用地配置等进行规划。</w:t>
      </w:r>
    </w:p>
    <w:p w14:paraId="05D4B047"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第八条</w:t>
      </w:r>
      <w:r w:rsidRPr="00941D29">
        <w:rPr>
          <w:rFonts w:ascii="仿宋_GB2312" w:eastAsia="仿宋_GB2312" w:hAnsi="仿宋_GB2312" w:cs="仿宋_GB2312" w:hint="eastAsia"/>
          <w:color w:val="333333"/>
          <w:sz w:val="32"/>
          <w:szCs w:val="32"/>
          <w:shd w:val="clear" w:color="auto" w:fill="FFFFFF"/>
        </w:rPr>
        <w:t xml:space="preserve"> 直辖市根据实际情况可不编制港口布局规划，仅编制港口总体规划。</w:t>
      </w:r>
    </w:p>
    <w:p w14:paraId="4B7B597A"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第九条</w:t>
      </w:r>
      <w:r w:rsidRPr="00941D29">
        <w:rPr>
          <w:rFonts w:ascii="仿宋_GB2312" w:eastAsia="仿宋_GB2312" w:hAnsi="仿宋_GB2312" w:cs="仿宋_GB2312" w:hint="eastAsia"/>
          <w:color w:val="333333"/>
          <w:sz w:val="32"/>
          <w:szCs w:val="32"/>
          <w:shd w:val="clear" w:color="auto" w:fill="FFFFFF"/>
        </w:rPr>
        <w:t xml:space="preserve"> 编制和修订、调整港口布局规划和港口总体规划时，应当根据需要编制相关的专项规划。</w:t>
      </w:r>
    </w:p>
    <w:p w14:paraId="56247450"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港口布局规划的专项规划包括分层次港口布局规划、分运输系统港口布局规划、港口资源整合规划及其他专项规划。</w:t>
      </w:r>
    </w:p>
    <w:p w14:paraId="4F8EF67B"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港口总体规划的专项规划包括港区总体规划、港口集疏运设施规划和港口仓储、保税、物流等园区规划及其他专项规划。</w:t>
      </w:r>
    </w:p>
    <w:p w14:paraId="3A92A938"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专项规划是港口布局规划和港口总体规划的组成部分。</w:t>
      </w:r>
    </w:p>
    <w:p w14:paraId="2772AFB3"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第十条</w:t>
      </w:r>
      <w:r w:rsidRPr="00941D29">
        <w:rPr>
          <w:rFonts w:ascii="仿宋_GB2312" w:eastAsia="仿宋_GB2312" w:hAnsi="仿宋_GB2312" w:cs="仿宋_GB2312" w:hint="eastAsia"/>
          <w:color w:val="333333"/>
          <w:sz w:val="32"/>
          <w:szCs w:val="32"/>
          <w:shd w:val="clear" w:color="auto" w:fill="FFFFFF"/>
        </w:rPr>
        <w:t xml:space="preserve"> 组织编制港口总体规划的部门应当根据经审批的港口总体规划组织编制有关港区、作业区控制性详细规划。</w:t>
      </w:r>
    </w:p>
    <w:p w14:paraId="75CB1E25"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港区、作业区控制性详细规划，是指对港口总体规划中的港</w:t>
      </w:r>
      <w:r w:rsidRPr="00941D29">
        <w:rPr>
          <w:rFonts w:ascii="仿宋_GB2312" w:eastAsia="仿宋_GB2312" w:hAnsi="仿宋_GB2312" w:cs="仿宋_GB2312" w:hint="eastAsia"/>
          <w:color w:val="333333"/>
          <w:sz w:val="32"/>
          <w:szCs w:val="32"/>
          <w:shd w:val="clear" w:color="auto" w:fill="FFFFFF"/>
        </w:rPr>
        <w:lastRenderedPageBreak/>
        <w:t>区规划的深化方案。</w:t>
      </w:r>
    </w:p>
    <w:p w14:paraId="0C507385"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第十一条</w:t>
      </w:r>
      <w:r w:rsidRPr="00941D29">
        <w:rPr>
          <w:rFonts w:ascii="仿宋_GB2312" w:eastAsia="仿宋_GB2312" w:hAnsi="仿宋_GB2312" w:cs="仿宋_GB2312" w:hint="eastAsia"/>
          <w:color w:val="333333"/>
          <w:sz w:val="32"/>
          <w:szCs w:val="32"/>
          <w:shd w:val="clear" w:color="auto" w:fill="FFFFFF"/>
        </w:rPr>
        <w:t xml:space="preserve"> 全国港口布局规划由交通部组织编制；跨省、自治区、直辖市的港口布局规划由交通部组织有关省、自治区、直辖市人民政府港口行政管理部门共同编制。</w:t>
      </w:r>
    </w:p>
    <w:p w14:paraId="056C7562"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省、自治区、直辖市港口布局规划由省、自治区、直辖市人民政府港口行政管理部门组织编制；省、自治区行政区内跨市的港口布局规划由省、自治区人民政府港口行政管理部门组织有关市人民政府港口行政管理部门共同编制。</w:t>
      </w:r>
    </w:p>
    <w:p w14:paraId="2CDFEFB1"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第十二条</w:t>
      </w:r>
      <w:r w:rsidRPr="00941D29">
        <w:rPr>
          <w:rFonts w:ascii="仿宋_GB2312" w:eastAsia="仿宋_GB2312" w:hAnsi="仿宋_GB2312" w:cs="仿宋_GB2312" w:hint="eastAsia"/>
          <w:color w:val="333333"/>
          <w:sz w:val="32"/>
          <w:szCs w:val="32"/>
          <w:shd w:val="clear" w:color="auto" w:fill="FFFFFF"/>
        </w:rPr>
        <w:t xml:space="preserve"> 主要港口的总体规划由港口所在直辖市、市人民政府港口行政管理部门或者省、自治区人民政府确定的具体实施港口行政管理的部门编制。</w:t>
      </w:r>
    </w:p>
    <w:p w14:paraId="25FB30E5"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主要港口以外港口的总体规划，由港口所在市、县人民政府港口行政管理部门编制。</w:t>
      </w:r>
    </w:p>
    <w:p w14:paraId="308F81A2"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第十三条</w:t>
      </w:r>
      <w:r w:rsidRPr="00941D29">
        <w:rPr>
          <w:rFonts w:ascii="仿宋_GB2312" w:eastAsia="仿宋_GB2312" w:hAnsi="仿宋_GB2312" w:cs="仿宋_GB2312" w:hint="eastAsia"/>
          <w:color w:val="333333"/>
          <w:sz w:val="32"/>
          <w:szCs w:val="32"/>
          <w:shd w:val="clear" w:color="auto" w:fill="FFFFFF"/>
        </w:rPr>
        <w:t xml:space="preserve"> 编制港口规划应当符合以下要求：</w:t>
      </w:r>
    </w:p>
    <w:p w14:paraId="0C6CDF6C"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（一）有效保护和节约使用港口资源，实现港口可持续发展；</w:t>
      </w:r>
    </w:p>
    <w:p w14:paraId="47C3F538"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（二）适应国家对外开放和东中西部区域经济协调发展及产业合理布局的要求；</w:t>
      </w:r>
    </w:p>
    <w:p w14:paraId="43A34E05"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（三）促进现代化综合运输体系协调发展，发挥港口衔接各种运输方式的综合运输枢纽作用；</w:t>
      </w:r>
    </w:p>
    <w:p w14:paraId="6AF4E623"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lastRenderedPageBreak/>
        <w:t>（四）统筹不同层次港口的合理布局和功能分工，优化港口资源配置，提高港口群体的综合竞争力；</w:t>
      </w:r>
    </w:p>
    <w:p w14:paraId="502DC220"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（五）依靠科技进步，适应国际国内航运、现代物流等发展的要求，提高港口专业化、规模化、集约化、现代化水平。</w:t>
      </w:r>
    </w:p>
    <w:p w14:paraId="067D37BF"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第十四条</w:t>
      </w:r>
      <w:r w:rsidRPr="00941D29">
        <w:rPr>
          <w:rFonts w:ascii="仿宋_GB2312" w:eastAsia="仿宋_GB2312" w:hAnsi="仿宋_GB2312" w:cs="仿宋_GB2312" w:hint="eastAsia"/>
          <w:color w:val="333333"/>
          <w:sz w:val="32"/>
          <w:szCs w:val="32"/>
          <w:shd w:val="clear" w:color="auto" w:fill="FFFFFF"/>
        </w:rPr>
        <w:t xml:space="preserve"> 跨省、自治区、直辖市的港口布局规划和省、自治区、直辖市港口布局规划应当符合全国港口布局规划。</w:t>
      </w:r>
    </w:p>
    <w:p w14:paraId="0CD04001"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省、自治区行政区内跨市的港口布局规划应当符合省、自治区港口布局规划。</w:t>
      </w:r>
    </w:p>
    <w:p w14:paraId="2C3420E2"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港口总体规划应当符合相应的港口布局规划。</w:t>
      </w:r>
    </w:p>
    <w:p w14:paraId="66DE529E"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第十五条</w:t>
      </w:r>
      <w:r w:rsidRPr="00941D29">
        <w:rPr>
          <w:rFonts w:ascii="仿宋_GB2312" w:eastAsia="仿宋_GB2312" w:hAnsi="仿宋_GB2312" w:cs="仿宋_GB2312" w:hint="eastAsia"/>
          <w:color w:val="333333"/>
          <w:sz w:val="32"/>
          <w:szCs w:val="32"/>
          <w:shd w:val="clear" w:color="auto" w:fill="FFFFFF"/>
        </w:rPr>
        <w:t xml:space="preserve"> 编制和修订、调整港口布局规划和港口总体规划时，涉及新港区开发或者对现有港区功能有重大调整的，应当进行新港区选址论证或者有关专题论证。其中港口总体规划论证完成后应当编制港区总体规划。</w:t>
      </w:r>
    </w:p>
    <w:p w14:paraId="7A147367"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第十六条</w:t>
      </w:r>
      <w:r w:rsidRPr="00941D29">
        <w:rPr>
          <w:rFonts w:ascii="仿宋_GB2312" w:eastAsia="仿宋_GB2312" w:hAnsi="仿宋_GB2312" w:cs="仿宋_GB2312" w:hint="eastAsia"/>
          <w:color w:val="333333"/>
          <w:sz w:val="32"/>
          <w:szCs w:val="32"/>
          <w:shd w:val="clear" w:color="auto" w:fill="FFFFFF"/>
        </w:rPr>
        <w:t xml:space="preserve"> 港区、作业区的控制性详细规划的编制，应当优化港区水陆域总体布局，统筹安排港区内集疏运、给排水、供电、通信信息、安全监督、口岸管理、环境保护等配套设施的布置，并与城市规划的相关设施协调、衔接。</w:t>
      </w:r>
    </w:p>
    <w:p w14:paraId="7D9C27DB"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第十七条</w:t>
      </w:r>
      <w:r w:rsidRPr="00941D29">
        <w:rPr>
          <w:rFonts w:ascii="仿宋_GB2312" w:eastAsia="仿宋_GB2312" w:hAnsi="仿宋_GB2312" w:cs="仿宋_GB2312" w:hint="eastAsia"/>
          <w:color w:val="333333"/>
          <w:sz w:val="32"/>
          <w:szCs w:val="32"/>
          <w:shd w:val="clear" w:color="auto" w:fill="FFFFFF"/>
        </w:rPr>
        <w:t xml:space="preserve"> 港口规划的编制部门在编制港口规划时，应当征求同级发展和改革、城市规划、国土、铁路、水利、海洋等有关</w:t>
      </w:r>
      <w:r w:rsidRPr="00941D29">
        <w:rPr>
          <w:rFonts w:ascii="仿宋_GB2312" w:eastAsia="仿宋_GB2312" w:hAnsi="仿宋_GB2312" w:cs="仿宋_GB2312" w:hint="eastAsia"/>
          <w:color w:val="333333"/>
          <w:sz w:val="32"/>
          <w:szCs w:val="32"/>
          <w:shd w:val="clear" w:color="auto" w:fill="FFFFFF"/>
        </w:rPr>
        <w:lastRenderedPageBreak/>
        <w:t>部门和有关军事机关以及海事、航道等管理机构的意见。港口管理部门与交通主管部门分设的，还应当征求同级交通主管部门的意见。</w:t>
      </w:r>
    </w:p>
    <w:p w14:paraId="6AB1FD0F"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第十八条</w:t>
      </w:r>
      <w:r w:rsidRPr="00941D29">
        <w:rPr>
          <w:rFonts w:ascii="仿宋_GB2312" w:eastAsia="仿宋_GB2312" w:hAnsi="仿宋_GB2312" w:cs="仿宋_GB2312" w:hint="eastAsia"/>
          <w:color w:val="333333"/>
          <w:sz w:val="32"/>
          <w:szCs w:val="32"/>
          <w:shd w:val="clear" w:color="auto" w:fill="FFFFFF"/>
        </w:rPr>
        <w:t xml:space="preserve"> 港口规划应当按照交通部统一制定的港口规划编制内容及文本格式的要求编制。</w:t>
      </w:r>
    </w:p>
    <w:p w14:paraId="49461612"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第十九条</w:t>
      </w:r>
      <w:r w:rsidRPr="00941D29">
        <w:rPr>
          <w:rFonts w:ascii="仿宋_GB2312" w:eastAsia="仿宋_GB2312" w:hAnsi="仿宋_GB2312" w:cs="仿宋_GB2312" w:hint="eastAsia"/>
          <w:color w:val="333333"/>
          <w:sz w:val="32"/>
          <w:szCs w:val="32"/>
          <w:shd w:val="clear" w:color="auto" w:fill="FFFFFF"/>
        </w:rPr>
        <w:t xml:space="preserve"> 编制港口规划应当依法进行环境影响评价，并符合国家规定的环境影响评价的程序、内容及深度要求。</w:t>
      </w:r>
    </w:p>
    <w:p w14:paraId="20C9806A"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第二十条</w:t>
      </w:r>
      <w:r w:rsidRPr="00941D29">
        <w:rPr>
          <w:rFonts w:ascii="仿宋_GB2312" w:eastAsia="仿宋_GB2312" w:hAnsi="仿宋_GB2312" w:cs="仿宋_GB2312" w:hint="eastAsia"/>
          <w:color w:val="333333"/>
          <w:sz w:val="32"/>
          <w:szCs w:val="32"/>
          <w:shd w:val="clear" w:color="auto" w:fill="FFFFFF"/>
        </w:rPr>
        <w:t xml:space="preserve"> 编制港口规划应当符合港口工程相关规范及有关技术要求，并统筹考虑航道、通航安全与港口规划布置的关系。</w:t>
      </w:r>
    </w:p>
    <w:p w14:paraId="6D502E1C"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第二十一条</w:t>
      </w:r>
      <w:r w:rsidRPr="00941D29">
        <w:rPr>
          <w:rFonts w:ascii="仿宋_GB2312" w:eastAsia="仿宋_GB2312" w:hAnsi="仿宋_GB2312" w:cs="仿宋_GB2312" w:hint="eastAsia"/>
          <w:color w:val="333333"/>
          <w:sz w:val="32"/>
          <w:szCs w:val="32"/>
          <w:shd w:val="clear" w:color="auto" w:fill="FFFFFF"/>
        </w:rPr>
        <w:t xml:space="preserve"> 港口规划的具体编制工作，应当委托具备国家规定的相应资质的单位承担。</w:t>
      </w:r>
    </w:p>
    <w:p w14:paraId="3805CC94"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港口布局规划、主要港口和地区性重要港口的总体规划（包括相应的专项规划和港区、作业区控制性详细规划，下同），应当委托持有港口河海工程专业甲级工程咨询资格证书或者水运行业甲级工程设计证书的单位编制；其他港口的总体规划，应当委托持有港口河海工程专业乙级以上工程咨询资格证书或者水运行业乙级以上工程设计证书的单位编制。</w:t>
      </w:r>
    </w:p>
    <w:p w14:paraId="51860C87"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前款所称地区性重要港口，是指省、自治区、直辖市人民政府按照《港口法》的规定确定的本地区的重要港口。</w:t>
      </w:r>
    </w:p>
    <w:p w14:paraId="1E9B6AD1" w14:textId="77777777" w:rsidR="00941D29" w:rsidRPr="00941D29" w:rsidRDefault="00941D29" w:rsidP="00941D29">
      <w:pPr>
        <w:ind w:firstLineChars="200" w:firstLine="640"/>
        <w:rPr>
          <w:rFonts w:ascii="仿宋_GB2312" w:eastAsia="仿宋_GB2312" w:hAnsi="仿宋_GB2312" w:cs="仿宋_GB2312"/>
          <w:color w:val="333333"/>
          <w:sz w:val="32"/>
          <w:szCs w:val="32"/>
          <w:shd w:val="clear" w:color="auto" w:fill="FFFFFF"/>
        </w:rPr>
      </w:pPr>
    </w:p>
    <w:p w14:paraId="4B5D8A40" w14:textId="77777777" w:rsidR="00941D29" w:rsidRPr="00941D29" w:rsidRDefault="00941D29" w:rsidP="00941D29">
      <w:pPr>
        <w:jc w:val="center"/>
        <w:rPr>
          <w:rFonts w:ascii="黑体" w:eastAsia="黑体" w:hAnsi="黑体" w:cs="黑体"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第三章 港口规划的审批与公布</w:t>
      </w:r>
    </w:p>
    <w:p w14:paraId="5E8D872D" w14:textId="77777777" w:rsidR="00941D29" w:rsidRPr="00941D29" w:rsidRDefault="00941D29" w:rsidP="00941D29">
      <w:pPr>
        <w:ind w:firstLineChars="200" w:firstLine="640"/>
        <w:rPr>
          <w:rFonts w:ascii="仿宋_GB2312" w:eastAsia="仿宋_GB2312" w:hAnsi="仿宋_GB2312" w:cs="仿宋_GB2312"/>
          <w:color w:val="333333"/>
          <w:sz w:val="32"/>
          <w:szCs w:val="32"/>
          <w:shd w:val="clear" w:color="auto" w:fill="FFFFFF"/>
        </w:rPr>
      </w:pPr>
    </w:p>
    <w:p w14:paraId="76879F96"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第二十二条</w:t>
      </w:r>
      <w:r w:rsidRPr="00941D29">
        <w:rPr>
          <w:rFonts w:ascii="仿宋_GB2312" w:eastAsia="仿宋_GB2312" w:hAnsi="仿宋_GB2312" w:cs="仿宋_GB2312" w:hint="eastAsia"/>
          <w:color w:val="333333"/>
          <w:sz w:val="32"/>
          <w:szCs w:val="32"/>
          <w:shd w:val="clear" w:color="auto" w:fill="FFFFFF"/>
        </w:rPr>
        <w:t xml:space="preserve"> 全国港口布局规划由交通部报国务院批准后公布实施。</w:t>
      </w:r>
    </w:p>
    <w:p w14:paraId="4C024051"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第二十三条</w:t>
      </w:r>
      <w:r w:rsidRPr="00941D29">
        <w:rPr>
          <w:rFonts w:ascii="仿宋_GB2312" w:eastAsia="仿宋_GB2312" w:hAnsi="仿宋_GB2312" w:cs="仿宋_GB2312" w:hint="eastAsia"/>
          <w:color w:val="333333"/>
          <w:sz w:val="32"/>
          <w:szCs w:val="32"/>
          <w:shd w:val="clear" w:color="auto" w:fill="FFFFFF"/>
        </w:rPr>
        <w:t xml:space="preserve"> 跨省、自治区、直辖市的港口布局规划由交通部征求相关省、自治区、直辖市人民政府和国务院有关部门意见后批准并公布实施。</w:t>
      </w:r>
    </w:p>
    <w:p w14:paraId="0D6A42F6"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第二十四条</w:t>
      </w:r>
      <w:r w:rsidRPr="00941D29">
        <w:rPr>
          <w:rFonts w:ascii="仿宋_GB2312" w:eastAsia="仿宋_GB2312" w:hAnsi="仿宋_GB2312" w:cs="仿宋_GB2312" w:hint="eastAsia"/>
          <w:color w:val="333333"/>
          <w:sz w:val="32"/>
          <w:szCs w:val="32"/>
          <w:shd w:val="clear" w:color="auto" w:fill="FFFFFF"/>
        </w:rPr>
        <w:t xml:space="preserve"> 省、自治区、直辖市港口布局规划和省、自治区行政区内跨市的港口布局规划由省、自治区、直辖市人民政府港口行政管理部门报省、自治区、直辖市人民政府审查同意后，书面征求交通部意见。交通部应当自收到征求意见的材料之日起30个工作日内提出意见。交通部同意或者提出的修改意见被采纳或者在上述规定期限内未提出意见的，有关省、自治区、直辖市人民政府可依法公布实施。有关省、自治区、直辖市人民政府对交通部提出的修改意见有异议的，报国务院决定。</w:t>
      </w:r>
    </w:p>
    <w:p w14:paraId="4097A18C"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第二十五条</w:t>
      </w:r>
      <w:r w:rsidRPr="00941D29">
        <w:rPr>
          <w:rFonts w:ascii="仿宋_GB2312" w:eastAsia="仿宋_GB2312" w:hAnsi="仿宋_GB2312" w:cs="仿宋_GB2312" w:hint="eastAsia"/>
          <w:color w:val="333333"/>
          <w:sz w:val="32"/>
          <w:szCs w:val="32"/>
          <w:shd w:val="clear" w:color="auto" w:fill="FFFFFF"/>
        </w:rPr>
        <w:t xml:space="preserve"> 主要港口所在城市是直辖市的，其港口总体规划由直辖市人民政府港口行政管理部门报交通部和直辖市人民政府审批。</w:t>
      </w:r>
    </w:p>
    <w:p w14:paraId="141D4AF5"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lastRenderedPageBreak/>
        <w:t>主要港口所在城市不是直辖市的，其港口总体规划由港口所在市的港口行政管理部门报经市人民政府审核后，由市人民政府报交通部和省、自治区人民政府审批。</w:t>
      </w:r>
    </w:p>
    <w:p w14:paraId="42D15D57"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港口总体规划范围因特殊原因涉及跨行政区域的，港口总体规划上报前，相关人民政府应当就规划内容协调一致。</w:t>
      </w:r>
    </w:p>
    <w:p w14:paraId="74F69F41"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交通部会同省、自治区、直辖市人民政府对上报的港口总体规划进行审查，审查过程中应当征求国务院有关部门和有关军事机关的意见。经审查予以批准的，由交通部会同省、自治区、直辖市人民政府公布实施。</w:t>
      </w:r>
    </w:p>
    <w:p w14:paraId="344879D9"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第二十六条</w:t>
      </w:r>
      <w:r w:rsidRPr="00941D29">
        <w:rPr>
          <w:rFonts w:ascii="仿宋_GB2312" w:eastAsia="仿宋_GB2312" w:hAnsi="仿宋_GB2312" w:cs="仿宋_GB2312" w:hint="eastAsia"/>
          <w:color w:val="333333"/>
          <w:sz w:val="32"/>
          <w:szCs w:val="32"/>
          <w:shd w:val="clear" w:color="auto" w:fill="FFFFFF"/>
        </w:rPr>
        <w:t xml:space="preserve"> 地区性重要港口的总体规划由港口所在地的市、县港口行政管理部门报经市、县人民政府审核同意后，由市、县人民政府报省、自治区人民政府审批。</w:t>
      </w:r>
    </w:p>
    <w:p w14:paraId="5B774FC6"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省、自治区人民政府对上报的地区性重要港口的总体规划进行审查，审查过程中应当书面征求交通部意见。经审查予以批准的，由省、自治区人民政府公布实施。港口行政管理部门应当将公布实施的地区性重要港口总体规划报交通部备案。</w:t>
      </w:r>
    </w:p>
    <w:p w14:paraId="0B3C45E2"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第二十七条</w:t>
      </w:r>
      <w:r w:rsidRPr="00941D29">
        <w:rPr>
          <w:rFonts w:ascii="仿宋_GB2312" w:eastAsia="仿宋_GB2312" w:hAnsi="仿宋_GB2312" w:cs="仿宋_GB2312" w:hint="eastAsia"/>
          <w:color w:val="333333"/>
          <w:sz w:val="32"/>
          <w:szCs w:val="32"/>
          <w:shd w:val="clear" w:color="auto" w:fill="FFFFFF"/>
        </w:rPr>
        <w:t xml:space="preserve"> 主要港口和地区性重要港口以外港口的总体规划，由港口所在市、县的港口行政管理部门报市、县人民政府审批。</w:t>
      </w:r>
    </w:p>
    <w:p w14:paraId="2251B89C"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lastRenderedPageBreak/>
        <w:t>市、县人民政府对上报的港口总体规划进行审查，审查过程中应当书面征求省、自治区人民政府港口行政管理部门意见。经审查予以批准的，由市、县人民政府公布实施，并报省、自治区人民政府备案。</w:t>
      </w:r>
    </w:p>
    <w:p w14:paraId="3423F36B"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由县人民政府审批的港口总体规划在征求省、自治区人民政府港口行政管理部门意见前，应当先征得市人民政府同意。</w:t>
      </w:r>
    </w:p>
    <w:p w14:paraId="623E12EE"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第二十八条</w:t>
      </w:r>
      <w:r w:rsidRPr="00941D29">
        <w:rPr>
          <w:rFonts w:ascii="仿宋_GB2312" w:eastAsia="仿宋_GB2312" w:hAnsi="仿宋_GB2312" w:cs="仿宋_GB2312" w:hint="eastAsia"/>
          <w:color w:val="333333"/>
          <w:sz w:val="32"/>
          <w:szCs w:val="32"/>
          <w:shd w:val="clear" w:color="auto" w:fill="FFFFFF"/>
        </w:rPr>
        <w:t xml:space="preserve"> 主要港口所在城市是直辖市的，其港区、作业区控制性详细规划由直辖市人民政府港口行政管理部门书面征得交通部同意后，报直辖市人民政府批准并公布实施。直辖市人民政府港口行政管理部门应当将公布实施的港区、作业区控制性详细规划报交通部备案。</w:t>
      </w:r>
    </w:p>
    <w:p w14:paraId="0269241C"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主要港口所在城市不是直辖市的，其港区、作业区控制性详细规划由港口所在市人民政府书面征得交通部和省、自治区人民政府同意后批准并公布实施，同时报交通部和省、自治区人民政府备案。</w:t>
      </w:r>
    </w:p>
    <w:p w14:paraId="169AEC03"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第二十九条</w:t>
      </w:r>
      <w:r w:rsidRPr="00941D29">
        <w:rPr>
          <w:rFonts w:ascii="仿宋_GB2312" w:eastAsia="仿宋_GB2312" w:hAnsi="仿宋_GB2312" w:cs="仿宋_GB2312" w:hint="eastAsia"/>
          <w:color w:val="333333"/>
          <w:sz w:val="32"/>
          <w:szCs w:val="32"/>
          <w:shd w:val="clear" w:color="auto" w:fill="FFFFFF"/>
        </w:rPr>
        <w:t xml:space="preserve"> 地区性重要港口的港区、作业区控制性详细规划由港口所在市、县人民政府书面征求交通部意见并征得省、自治区人民政府同意后批准并公布实施，同时报交通部和省、自治区人民政府备案。</w:t>
      </w:r>
    </w:p>
    <w:p w14:paraId="505CFE84"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lastRenderedPageBreak/>
        <w:t>由县人民政府审批的地区性重要港口的港区、作业区控制性详细规划在征求交通部和省、自治区人民政府意见前，应当先征得市人民政府同意。</w:t>
      </w:r>
    </w:p>
    <w:p w14:paraId="1A9CED1D"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第三十条</w:t>
      </w:r>
      <w:r w:rsidRPr="00941D29">
        <w:rPr>
          <w:rFonts w:ascii="仿宋_GB2312" w:eastAsia="仿宋_GB2312" w:hAnsi="仿宋_GB2312" w:cs="仿宋_GB2312" w:hint="eastAsia"/>
          <w:color w:val="333333"/>
          <w:sz w:val="32"/>
          <w:szCs w:val="32"/>
          <w:shd w:val="clear" w:color="auto" w:fill="FFFFFF"/>
        </w:rPr>
        <w:t xml:space="preserve"> 主要港口和地区性重要港口以外港口的港区、作业区控制性详细规划由港口所在市、县人民政府书面征求省、自治区人民政府港口行政管理部门意见后批准并公布实施，同时报省、自治区人民政府港口行政管理部门备案。</w:t>
      </w:r>
    </w:p>
    <w:p w14:paraId="11413F3D"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由县人民政府审批的港区、作业区控制性详细规划在征求省、自治区人民政府港口行政管理部门意见前，应当先征求市人民政府意见。</w:t>
      </w:r>
    </w:p>
    <w:p w14:paraId="0F23C880"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第三十一条</w:t>
      </w:r>
      <w:r w:rsidRPr="00941D29">
        <w:rPr>
          <w:rFonts w:ascii="仿宋_GB2312" w:eastAsia="仿宋_GB2312" w:hAnsi="仿宋_GB2312" w:cs="仿宋_GB2312" w:hint="eastAsia"/>
          <w:color w:val="333333"/>
          <w:sz w:val="32"/>
          <w:szCs w:val="32"/>
          <w:shd w:val="clear" w:color="auto" w:fill="FFFFFF"/>
        </w:rPr>
        <w:t xml:space="preserve"> 审批部门在审查港口规划时，应当听取相关专家的意见。</w:t>
      </w:r>
    </w:p>
    <w:p w14:paraId="6ACF98F6"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第三十二条</w:t>
      </w:r>
      <w:r w:rsidRPr="00941D29">
        <w:rPr>
          <w:rFonts w:ascii="仿宋_GB2312" w:eastAsia="仿宋_GB2312" w:hAnsi="仿宋_GB2312" w:cs="仿宋_GB2312" w:hint="eastAsia"/>
          <w:color w:val="333333"/>
          <w:sz w:val="32"/>
          <w:szCs w:val="32"/>
          <w:shd w:val="clear" w:color="auto" w:fill="FFFFFF"/>
        </w:rPr>
        <w:t xml:space="preserve"> 审批部门对送审的材料进行审查后，认为需要作重大修改的，应当提出书面审查意见。报审单位应当按照审查意见的要求进行修改。审查部门对修改后的送审材料可以重新组织审查。</w:t>
      </w:r>
    </w:p>
    <w:p w14:paraId="392BF3A1"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第三十三条</w:t>
      </w:r>
      <w:r w:rsidRPr="00941D29">
        <w:rPr>
          <w:rFonts w:ascii="仿宋_GB2312" w:eastAsia="仿宋_GB2312" w:hAnsi="仿宋_GB2312" w:cs="仿宋_GB2312" w:hint="eastAsia"/>
          <w:color w:val="333333"/>
          <w:sz w:val="32"/>
          <w:szCs w:val="32"/>
          <w:shd w:val="clear" w:color="auto" w:fill="FFFFFF"/>
        </w:rPr>
        <w:t xml:space="preserve"> 交通部和省、自治区人民政府及其港口行政管理部门收到港口总体规划和港区、作业区控制性详细规划相关的专项规划征求意见文件及相关材料后，应当在30个工作日内提</w:t>
      </w:r>
      <w:r w:rsidRPr="00941D29">
        <w:rPr>
          <w:rFonts w:ascii="仿宋_GB2312" w:eastAsia="仿宋_GB2312" w:hAnsi="仿宋_GB2312" w:cs="仿宋_GB2312" w:hint="eastAsia"/>
          <w:color w:val="333333"/>
          <w:sz w:val="32"/>
          <w:szCs w:val="32"/>
          <w:shd w:val="clear" w:color="auto" w:fill="FFFFFF"/>
        </w:rPr>
        <w:lastRenderedPageBreak/>
        <w:t>出书面意见，逾期视为同意。</w:t>
      </w:r>
    </w:p>
    <w:p w14:paraId="662E2E72"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第三十四条</w:t>
      </w:r>
      <w:r w:rsidRPr="00941D29">
        <w:rPr>
          <w:rFonts w:ascii="仿宋_GB2312" w:eastAsia="仿宋_GB2312" w:hAnsi="仿宋_GB2312" w:cs="仿宋_GB2312" w:hint="eastAsia"/>
          <w:color w:val="333333"/>
          <w:sz w:val="32"/>
          <w:szCs w:val="32"/>
          <w:shd w:val="clear" w:color="auto" w:fill="FFFFFF"/>
        </w:rPr>
        <w:t xml:space="preserve"> 报批港口规划，应当提交以下材料：</w:t>
      </w:r>
    </w:p>
    <w:p w14:paraId="14B8A5C8"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（一）申请报批的文件；</w:t>
      </w:r>
    </w:p>
    <w:p w14:paraId="0ABC9F62"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（二）报批的规划报告和规划文本；</w:t>
      </w:r>
    </w:p>
    <w:p w14:paraId="013B2F26"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（三）征求意见的情况；</w:t>
      </w:r>
    </w:p>
    <w:p w14:paraId="568C6F4A"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（四）其他相关材料。</w:t>
      </w:r>
    </w:p>
    <w:p w14:paraId="64964359"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规划文本应当基于规划报告编制，是对规划有关内容提出规定性要求的文件。</w:t>
      </w:r>
    </w:p>
    <w:p w14:paraId="73A28DFD"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第三十五条</w:t>
      </w:r>
      <w:r w:rsidRPr="00941D29">
        <w:rPr>
          <w:rFonts w:ascii="仿宋_GB2312" w:eastAsia="仿宋_GB2312" w:hAnsi="仿宋_GB2312" w:cs="仿宋_GB2312" w:hint="eastAsia"/>
          <w:color w:val="333333"/>
          <w:sz w:val="32"/>
          <w:szCs w:val="32"/>
          <w:shd w:val="clear" w:color="auto" w:fill="FFFFFF"/>
        </w:rPr>
        <w:t xml:space="preserve"> 港口规划经批准后，审批部门应当在其政府信息网站或者其他便于公众知悉的政府信息发布渠道上公布规划文本。国家规定需要保密的除外。</w:t>
      </w:r>
    </w:p>
    <w:p w14:paraId="3E2E08E3" w14:textId="77777777" w:rsidR="00941D29" w:rsidRPr="00941D29" w:rsidRDefault="00941D29" w:rsidP="00941D29">
      <w:pPr>
        <w:ind w:firstLineChars="200" w:firstLine="640"/>
        <w:rPr>
          <w:rFonts w:ascii="仿宋_GB2312" w:eastAsia="仿宋_GB2312" w:hAnsi="仿宋_GB2312" w:cs="仿宋_GB2312"/>
          <w:color w:val="333333"/>
          <w:sz w:val="32"/>
          <w:szCs w:val="32"/>
          <w:shd w:val="clear" w:color="auto" w:fill="FFFFFF"/>
        </w:rPr>
      </w:pPr>
    </w:p>
    <w:p w14:paraId="0717CE8D" w14:textId="77777777" w:rsidR="00941D29" w:rsidRPr="00941D29" w:rsidRDefault="00941D29" w:rsidP="00941D29">
      <w:pPr>
        <w:jc w:val="center"/>
        <w:rPr>
          <w:rFonts w:ascii="黑体" w:eastAsia="黑体" w:hAnsi="黑体" w:cs="黑体"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第四章 港口规划的修订与调整</w:t>
      </w:r>
    </w:p>
    <w:p w14:paraId="375BA1C8" w14:textId="77777777" w:rsidR="00941D29" w:rsidRPr="00941D29" w:rsidRDefault="00941D29" w:rsidP="00941D29">
      <w:pPr>
        <w:ind w:firstLineChars="200" w:firstLine="640"/>
        <w:rPr>
          <w:rFonts w:ascii="仿宋_GB2312" w:eastAsia="仿宋_GB2312" w:hAnsi="仿宋_GB2312" w:cs="仿宋_GB2312"/>
          <w:color w:val="333333"/>
          <w:sz w:val="32"/>
          <w:szCs w:val="32"/>
          <w:shd w:val="clear" w:color="auto" w:fill="FFFFFF"/>
        </w:rPr>
      </w:pPr>
    </w:p>
    <w:p w14:paraId="515A5617"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第三十六条</w:t>
      </w:r>
      <w:r w:rsidRPr="00941D29">
        <w:rPr>
          <w:rFonts w:ascii="仿宋_GB2312" w:eastAsia="仿宋_GB2312" w:hAnsi="仿宋_GB2312" w:cs="仿宋_GB2312" w:hint="eastAsia"/>
          <w:color w:val="333333"/>
          <w:sz w:val="32"/>
          <w:szCs w:val="32"/>
          <w:shd w:val="clear" w:color="auto" w:fill="FFFFFF"/>
        </w:rPr>
        <w:t xml:space="preserve"> 港口规划经批准后，未经规定程序任何单位和个人不得随意更改。</w:t>
      </w:r>
    </w:p>
    <w:p w14:paraId="11A5816E"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第三十七条</w:t>
      </w:r>
      <w:r w:rsidRPr="00941D29">
        <w:rPr>
          <w:rFonts w:ascii="仿宋_GB2312" w:eastAsia="仿宋_GB2312" w:hAnsi="仿宋_GB2312" w:cs="仿宋_GB2312" w:hint="eastAsia"/>
          <w:color w:val="333333"/>
          <w:sz w:val="32"/>
          <w:szCs w:val="32"/>
          <w:shd w:val="clear" w:color="auto" w:fill="FFFFFF"/>
        </w:rPr>
        <w:t xml:space="preserve"> 组织编制港口规划的单位可以根据经济社会和港口发展的需要修订或者调整港口规划。</w:t>
      </w:r>
    </w:p>
    <w:p w14:paraId="156320F8"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港口规划的修订是指对规划范围、港口性质及功能、岸线利</w:t>
      </w:r>
      <w:r w:rsidRPr="00941D29">
        <w:rPr>
          <w:rFonts w:ascii="仿宋_GB2312" w:eastAsia="仿宋_GB2312" w:hAnsi="仿宋_GB2312" w:cs="仿宋_GB2312" w:hint="eastAsia"/>
          <w:color w:val="333333"/>
          <w:sz w:val="32"/>
          <w:szCs w:val="32"/>
          <w:shd w:val="clear" w:color="auto" w:fill="FFFFFF"/>
        </w:rPr>
        <w:lastRenderedPageBreak/>
        <w:t>用、港口布局及水陆域布置等进行重大变更。</w:t>
      </w:r>
    </w:p>
    <w:p w14:paraId="16F492ED"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港口规划的调整是指对港口规划进行局部修改。</w:t>
      </w:r>
    </w:p>
    <w:p w14:paraId="3FB556DA"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第三十八条</w:t>
      </w:r>
      <w:r w:rsidRPr="00941D29">
        <w:rPr>
          <w:rFonts w:ascii="仿宋_GB2312" w:eastAsia="仿宋_GB2312" w:hAnsi="仿宋_GB2312" w:cs="仿宋_GB2312" w:hint="eastAsia"/>
          <w:color w:val="333333"/>
          <w:sz w:val="32"/>
          <w:szCs w:val="32"/>
          <w:shd w:val="clear" w:color="auto" w:fill="FFFFFF"/>
        </w:rPr>
        <w:t xml:space="preserve"> 修订或者调整港口规划，应当通过编制相应专项规划的方式进行。</w:t>
      </w:r>
    </w:p>
    <w:p w14:paraId="2AD1D159"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第三十九条</w:t>
      </w:r>
      <w:r w:rsidRPr="00941D29">
        <w:rPr>
          <w:rFonts w:ascii="仿宋_GB2312" w:eastAsia="仿宋_GB2312" w:hAnsi="仿宋_GB2312" w:cs="仿宋_GB2312" w:hint="eastAsia"/>
          <w:color w:val="333333"/>
          <w:sz w:val="32"/>
          <w:szCs w:val="32"/>
          <w:shd w:val="clear" w:color="auto" w:fill="FFFFFF"/>
        </w:rPr>
        <w:t xml:space="preserve"> 对港口规划进行修订的专项规划，按照相应港口规划的编制、审查、批准、公布的程序办理。</w:t>
      </w:r>
    </w:p>
    <w:p w14:paraId="4E59093D"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对港口布局规划进行调整的专项规划，按照相应港口布局规划的编制、审查、批准、公布的程序办理。</w:t>
      </w:r>
    </w:p>
    <w:p w14:paraId="48C4550F"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对港口总体规划进行调整的专项规划，由原组织编制单位组织编制，报同级人民政府审批。同级人民政府征得原审批部门同意后批准并公布实施。</w:t>
      </w:r>
    </w:p>
    <w:p w14:paraId="2EFFE981" w14:textId="77777777" w:rsidR="00941D29" w:rsidRPr="00941D29" w:rsidRDefault="00941D29" w:rsidP="00941D29">
      <w:pPr>
        <w:ind w:firstLineChars="200" w:firstLine="640"/>
        <w:rPr>
          <w:rFonts w:ascii="仿宋_GB2312" w:eastAsia="仿宋_GB2312" w:hAnsi="仿宋_GB2312" w:cs="仿宋_GB2312"/>
          <w:color w:val="333333"/>
          <w:sz w:val="32"/>
          <w:szCs w:val="32"/>
          <w:shd w:val="clear" w:color="auto" w:fill="FFFFFF"/>
        </w:rPr>
      </w:pPr>
    </w:p>
    <w:p w14:paraId="2AADD786" w14:textId="77777777" w:rsidR="00941D29" w:rsidRPr="00941D29" w:rsidRDefault="00941D29" w:rsidP="00941D29">
      <w:pPr>
        <w:jc w:val="center"/>
        <w:rPr>
          <w:rFonts w:ascii="黑体" w:eastAsia="黑体" w:hAnsi="黑体" w:cs="黑体"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第五章 港口规划的实施与监督管理</w:t>
      </w:r>
    </w:p>
    <w:p w14:paraId="6A320B77" w14:textId="77777777" w:rsidR="00941D29" w:rsidRPr="00941D29" w:rsidRDefault="00941D29" w:rsidP="00941D29">
      <w:pPr>
        <w:ind w:firstLineChars="200" w:firstLine="640"/>
        <w:rPr>
          <w:rFonts w:ascii="仿宋_GB2312" w:eastAsia="仿宋_GB2312" w:hAnsi="仿宋_GB2312" w:cs="仿宋_GB2312"/>
          <w:color w:val="333333"/>
          <w:sz w:val="32"/>
          <w:szCs w:val="32"/>
          <w:shd w:val="clear" w:color="auto" w:fill="FFFFFF"/>
        </w:rPr>
      </w:pPr>
    </w:p>
    <w:p w14:paraId="1CEEC1A1"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第四十条</w:t>
      </w:r>
      <w:r w:rsidRPr="00941D29">
        <w:rPr>
          <w:rFonts w:ascii="仿宋_GB2312" w:eastAsia="仿宋_GB2312" w:hAnsi="仿宋_GB2312" w:cs="仿宋_GB2312" w:hint="eastAsia"/>
          <w:color w:val="333333"/>
          <w:sz w:val="32"/>
          <w:szCs w:val="32"/>
          <w:shd w:val="clear" w:color="auto" w:fill="FFFFFF"/>
        </w:rPr>
        <w:t xml:space="preserve"> 建设港口设施应当符合港口布局规划和港口总体规划，在港口总体规划确定的港区范围内进行。不得违反港口规划建设任何港口设施和其他设施。</w:t>
      </w:r>
    </w:p>
    <w:p w14:paraId="0E86F876"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需要在尚未纳入港口总体规划的区域建设港口设施或者在港口总体规划中新开发的港区建设港口设施的，应当首先按港口</w:t>
      </w:r>
      <w:r w:rsidRPr="00941D29">
        <w:rPr>
          <w:rFonts w:ascii="仿宋_GB2312" w:eastAsia="仿宋_GB2312" w:hAnsi="仿宋_GB2312" w:cs="仿宋_GB2312" w:hint="eastAsia"/>
          <w:color w:val="333333"/>
          <w:sz w:val="32"/>
          <w:szCs w:val="32"/>
          <w:shd w:val="clear" w:color="auto" w:fill="FFFFFF"/>
        </w:rPr>
        <w:lastRenderedPageBreak/>
        <w:t>总体规划修订程序编制新港区总体规划，经批准后作为建设港口设施的规划依据。</w:t>
      </w:r>
    </w:p>
    <w:p w14:paraId="6AF67878"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第四十一条</w:t>
      </w:r>
      <w:r w:rsidRPr="00941D29">
        <w:rPr>
          <w:rFonts w:ascii="仿宋_GB2312" w:eastAsia="仿宋_GB2312" w:hAnsi="仿宋_GB2312" w:cs="仿宋_GB2312" w:hint="eastAsia"/>
          <w:color w:val="333333"/>
          <w:sz w:val="32"/>
          <w:szCs w:val="32"/>
          <w:shd w:val="clear" w:color="auto" w:fill="FFFFFF"/>
        </w:rPr>
        <w:t xml:space="preserve"> 拟建设港口项目的功能及选址与港口总体规划有较大差异，经专题论证认为确需改变港口总体规划按所选方案建设的，应当按规定程序修订或者调整港口总体规划后，方可办理港口建设项目的审批、核准手续。</w:t>
      </w:r>
    </w:p>
    <w:p w14:paraId="0C7876E1"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第四十二条</w:t>
      </w:r>
      <w:r w:rsidRPr="00941D29">
        <w:rPr>
          <w:rFonts w:ascii="仿宋_GB2312" w:eastAsia="仿宋_GB2312" w:hAnsi="仿宋_GB2312" w:cs="仿宋_GB2312" w:hint="eastAsia"/>
          <w:color w:val="333333"/>
          <w:sz w:val="32"/>
          <w:szCs w:val="32"/>
          <w:shd w:val="clear" w:color="auto" w:fill="FFFFFF"/>
        </w:rPr>
        <w:t xml:space="preserve"> 建设港口设施使用港口岸线的，必须符合港口规划，并按国家有关规定办理港口岸线使用审批手续，取得港口岸线使用权。</w:t>
      </w:r>
    </w:p>
    <w:p w14:paraId="04753CC8"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第四十三条</w:t>
      </w:r>
      <w:r w:rsidRPr="00941D29">
        <w:rPr>
          <w:rFonts w:ascii="仿宋_GB2312" w:eastAsia="仿宋_GB2312" w:hAnsi="仿宋_GB2312" w:cs="仿宋_GB2312" w:hint="eastAsia"/>
          <w:color w:val="333333"/>
          <w:sz w:val="32"/>
          <w:szCs w:val="32"/>
          <w:shd w:val="clear" w:color="auto" w:fill="FFFFFF"/>
        </w:rPr>
        <w:t xml:space="preserve"> 建设码头（包括单点系泊及水上过驳设施）、船坞、船台、滑道等设施的港口建设项目，建设单位在申请水上水下施工作业许可时，应当提交由发展和改革部门、交通主管部门按照规定的权限出具的港口建设项目审批文件和交通主管部门按照规定的权限出具的港口岸线审批文件。海事管理机构在审批上述港口建设项目水上水下施工作业许可时，应当审查申请人是否依法办理了港口建设项目审批和港口岸线审批的相关手续。未依法办理的，海事管理机构不得批准其施工许可。</w:t>
      </w:r>
    </w:p>
    <w:p w14:paraId="20A96A1F"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第四十四条</w:t>
      </w:r>
      <w:r w:rsidRPr="00941D29">
        <w:rPr>
          <w:rFonts w:ascii="仿宋_GB2312" w:eastAsia="仿宋_GB2312" w:hAnsi="仿宋_GB2312" w:cs="仿宋_GB2312" w:hint="eastAsia"/>
          <w:color w:val="333333"/>
          <w:sz w:val="32"/>
          <w:szCs w:val="32"/>
          <w:shd w:val="clear" w:color="auto" w:fill="FFFFFF"/>
        </w:rPr>
        <w:t xml:space="preserve"> 任何单位和个人需要使用港口总体规划区内的土地和水域，或者建设任何跨越、穿越港口总体规划区水陆域及</w:t>
      </w:r>
      <w:r w:rsidRPr="00941D29">
        <w:rPr>
          <w:rFonts w:ascii="仿宋_GB2312" w:eastAsia="仿宋_GB2312" w:hAnsi="仿宋_GB2312" w:cs="仿宋_GB2312" w:hint="eastAsia"/>
          <w:color w:val="333333"/>
          <w:sz w:val="32"/>
          <w:szCs w:val="32"/>
          <w:shd w:val="clear" w:color="auto" w:fill="FFFFFF"/>
        </w:rPr>
        <w:lastRenderedPageBreak/>
        <w:t>其上下部相关空间的设施，建设项目的审批部门审批时应当征求港口所在地港口行政管理部门的意见，港口行政管理部门应当出具其是否符合港口规划及是否影响港口规划实施的审查意见。</w:t>
      </w:r>
    </w:p>
    <w:p w14:paraId="1E58FA36"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第四十五条</w:t>
      </w:r>
      <w:r w:rsidRPr="00941D29">
        <w:rPr>
          <w:rFonts w:ascii="仿宋_GB2312" w:eastAsia="仿宋_GB2312" w:hAnsi="仿宋_GB2312" w:cs="仿宋_GB2312" w:hint="eastAsia"/>
          <w:color w:val="333333"/>
          <w:sz w:val="32"/>
          <w:szCs w:val="32"/>
          <w:shd w:val="clear" w:color="auto" w:fill="FFFFFF"/>
        </w:rPr>
        <w:t xml:space="preserve"> 在港口总体规划区周边建设工程项目，可能引起港口岸线及港区水陆域、通航水域、航道、锚地等水文、地形、地貌变化，从而影响港口规划实施的，建设项目的审批部门在审批前应当征求港口行政管理部门的意见。</w:t>
      </w:r>
    </w:p>
    <w:p w14:paraId="5683A004"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第四十六条</w:t>
      </w:r>
      <w:r w:rsidRPr="00941D29">
        <w:rPr>
          <w:rFonts w:ascii="仿宋_GB2312" w:eastAsia="仿宋_GB2312" w:hAnsi="仿宋_GB2312" w:cs="仿宋_GB2312" w:hint="eastAsia"/>
          <w:color w:val="333333"/>
          <w:sz w:val="32"/>
          <w:szCs w:val="32"/>
          <w:shd w:val="clear" w:color="auto" w:fill="FFFFFF"/>
        </w:rPr>
        <w:t xml:space="preserve"> 交通部和各级港口行政管理部门应当依法对港口规划的实施情况进行监督检查，核查港口建设项目是否依法办理了项目审批和港口岸线审批手续，并公布检查结果。</w:t>
      </w:r>
    </w:p>
    <w:p w14:paraId="129E8E5A"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港口行政管理部门在监督检查中发现未按规定程序取得批准，违反港口规划建设港口、码头及其他设施的行为，应当及时制止，依法查处，并通报相关部门。主要港口的港口行政管理部门应当将上述违法情况及处理意见书面报告交通部和省、自治区、直辖市人民政府港口行政管理部门；其他港口书面报告省、自治区、直辖市人民政府港口行政管理部门。</w:t>
      </w:r>
    </w:p>
    <w:p w14:paraId="67C7BE74"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交通部和省、自治区、直辖市人民政府港口行政管理部门接到书面报告后，对处理意见无异议的，应当检查、督促有关港口行政管理部门落实对违法行为的处理意见；认为处理意见不当</w:t>
      </w:r>
      <w:r w:rsidRPr="00941D29">
        <w:rPr>
          <w:rFonts w:ascii="仿宋_GB2312" w:eastAsia="仿宋_GB2312" w:hAnsi="仿宋_GB2312" w:cs="仿宋_GB2312" w:hint="eastAsia"/>
          <w:color w:val="333333"/>
          <w:sz w:val="32"/>
          <w:szCs w:val="32"/>
          <w:shd w:val="clear" w:color="auto" w:fill="FFFFFF"/>
        </w:rPr>
        <w:lastRenderedPageBreak/>
        <w:t>的，应当回复书面意见，并予以督促、落实。</w:t>
      </w:r>
    </w:p>
    <w:p w14:paraId="74E244F9"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第四十七条</w:t>
      </w:r>
      <w:r w:rsidRPr="00941D29">
        <w:rPr>
          <w:rFonts w:ascii="仿宋_GB2312" w:eastAsia="仿宋_GB2312" w:hAnsi="仿宋_GB2312" w:cs="仿宋_GB2312" w:hint="eastAsia"/>
          <w:color w:val="333333"/>
          <w:sz w:val="32"/>
          <w:szCs w:val="32"/>
          <w:shd w:val="clear" w:color="auto" w:fill="FFFFFF"/>
        </w:rPr>
        <w:t xml:space="preserve"> 任何企业、单位和个人投资、建设、经营港口、码头及相关设施的行为涉及港口规划的，应当接受各级港口行政管理部门依法进行的监督检查，并如实提供有关情况和相关的文件、资料；港口行政管理部门应当为被检查者保守有关技术秘密和商业秘密。</w:t>
      </w:r>
    </w:p>
    <w:p w14:paraId="277D06AF" w14:textId="77777777" w:rsidR="00941D29" w:rsidRPr="00941D29" w:rsidRDefault="00941D29" w:rsidP="00941D29">
      <w:pPr>
        <w:ind w:firstLineChars="200" w:firstLine="640"/>
        <w:rPr>
          <w:rFonts w:ascii="仿宋_GB2312" w:eastAsia="仿宋_GB2312" w:hAnsi="仿宋_GB2312" w:cs="仿宋_GB2312"/>
          <w:color w:val="333333"/>
          <w:sz w:val="32"/>
          <w:szCs w:val="32"/>
          <w:shd w:val="clear" w:color="auto" w:fill="FFFFFF"/>
        </w:rPr>
      </w:pPr>
    </w:p>
    <w:p w14:paraId="027635BA" w14:textId="77777777" w:rsidR="00941D29" w:rsidRPr="00941D29" w:rsidRDefault="00941D29" w:rsidP="00941D29">
      <w:pPr>
        <w:jc w:val="center"/>
        <w:rPr>
          <w:rFonts w:ascii="黑体" w:eastAsia="黑体" w:hAnsi="黑体" w:cs="黑体"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第六章 法律责任</w:t>
      </w:r>
    </w:p>
    <w:p w14:paraId="0BF7E55C" w14:textId="77777777" w:rsidR="00941D29" w:rsidRPr="00941D29" w:rsidRDefault="00941D29" w:rsidP="00941D29">
      <w:pPr>
        <w:ind w:firstLineChars="200" w:firstLine="640"/>
        <w:rPr>
          <w:rFonts w:ascii="仿宋_GB2312" w:eastAsia="仿宋_GB2312" w:hAnsi="仿宋_GB2312" w:cs="仿宋_GB2312"/>
          <w:color w:val="333333"/>
          <w:sz w:val="32"/>
          <w:szCs w:val="32"/>
          <w:shd w:val="clear" w:color="auto" w:fill="FFFFFF"/>
        </w:rPr>
      </w:pPr>
    </w:p>
    <w:p w14:paraId="4026A429"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第四十八条</w:t>
      </w:r>
      <w:r w:rsidRPr="00941D29">
        <w:rPr>
          <w:rFonts w:ascii="仿宋_GB2312" w:eastAsia="仿宋_GB2312" w:hAnsi="仿宋_GB2312" w:cs="仿宋_GB2312" w:hint="eastAsia"/>
          <w:color w:val="333333"/>
          <w:sz w:val="32"/>
          <w:szCs w:val="32"/>
          <w:shd w:val="clear" w:color="auto" w:fill="FFFFFF"/>
        </w:rPr>
        <w:t xml:space="preserve"> 港口规划审批部门违反规定的审批权限和程序批准规划，或者在审批中徇私舞弊、滥用职权或者玩忽职守的，由其上级行政主管机关责令改正，情节严重的，对其直接负责的主管人员和其他直接责任人员依法给予行政处分；构成犯罪的，依法追究刑事责任。</w:t>
      </w:r>
    </w:p>
    <w:p w14:paraId="25748A09"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第四十九条</w:t>
      </w:r>
      <w:r w:rsidRPr="00941D29">
        <w:rPr>
          <w:rFonts w:ascii="仿宋_GB2312" w:eastAsia="仿宋_GB2312" w:hAnsi="仿宋_GB2312" w:cs="仿宋_GB2312" w:hint="eastAsia"/>
          <w:color w:val="333333"/>
          <w:sz w:val="32"/>
          <w:szCs w:val="32"/>
          <w:shd w:val="clear" w:color="auto" w:fill="FFFFFF"/>
        </w:rPr>
        <w:t xml:space="preserve"> 建设项目的审批或核准部门对违反港口规划的建设项目予以批准的，对其直接负责的主管人员和其他直接责任人员，依法给予行政处分。</w:t>
      </w:r>
    </w:p>
    <w:p w14:paraId="02E03AF6"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第五十条</w:t>
      </w:r>
      <w:r w:rsidRPr="00941D29">
        <w:rPr>
          <w:rFonts w:ascii="仿宋_GB2312" w:eastAsia="仿宋_GB2312" w:hAnsi="仿宋_GB2312" w:cs="仿宋_GB2312" w:hint="eastAsia"/>
          <w:color w:val="333333"/>
          <w:sz w:val="32"/>
          <w:szCs w:val="32"/>
          <w:shd w:val="clear" w:color="auto" w:fill="FFFFFF"/>
        </w:rPr>
        <w:t xml:space="preserve"> 未经依法批准，违反港口规划建设港口、码头及其他设施的，由县级以上地方人民政府或者港口行政管理部门责</w:t>
      </w:r>
      <w:r w:rsidRPr="00941D29">
        <w:rPr>
          <w:rFonts w:ascii="仿宋_GB2312" w:eastAsia="仿宋_GB2312" w:hAnsi="仿宋_GB2312" w:cs="仿宋_GB2312" w:hint="eastAsia"/>
          <w:color w:val="333333"/>
          <w:sz w:val="32"/>
          <w:szCs w:val="32"/>
          <w:shd w:val="clear" w:color="auto" w:fill="FFFFFF"/>
        </w:rPr>
        <w:lastRenderedPageBreak/>
        <w:t>令限期改正；逾期不改正的，由作出限期改正决定的机关申请人民法院强制拆除违法建设的设施；可以处五万元以下罚款。</w:t>
      </w:r>
    </w:p>
    <w:p w14:paraId="6F42B1FA"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第五十一条</w:t>
      </w:r>
      <w:r w:rsidRPr="00941D29">
        <w:rPr>
          <w:rFonts w:ascii="仿宋_GB2312" w:eastAsia="仿宋_GB2312" w:hAnsi="仿宋_GB2312" w:cs="仿宋_GB2312" w:hint="eastAsia"/>
          <w:color w:val="333333"/>
          <w:sz w:val="32"/>
          <w:szCs w:val="32"/>
          <w:shd w:val="clear" w:color="auto" w:fill="FFFFFF"/>
        </w:rPr>
        <w:t xml:space="preserve"> 港口行政管理部门不依法履行监督检查职责，对未经依法批准违反港口规划建设港口、码头及其他设施的行为不依法予以查处的，对其直接负责的主管人员和其他直接责任人员依法给予行政处分；构成犯罪的，依法追究刑事责任。</w:t>
      </w:r>
    </w:p>
    <w:p w14:paraId="6CB2B004"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第五十二条</w:t>
      </w:r>
      <w:r w:rsidRPr="00941D29">
        <w:rPr>
          <w:rFonts w:ascii="仿宋_GB2312" w:eastAsia="仿宋_GB2312" w:hAnsi="仿宋_GB2312" w:cs="仿宋_GB2312" w:hint="eastAsia"/>
          <w:color w:val="333333"/>
          <w:sz w:val="32"/>
          <w:szCs w:val="32"/>
          <w:shd w:val="clear" w:color="auto" w:fill="FFFFFF"/>
        </w:rPr>
        <w:t xml:space="preserve"> 港口行政管理部门滥用规划职权导致破坏港口规划的，对其直接负责的主管人员和其他直接责任人员依法给予行政处分；构成犯罪的，依法追究刑事责任。</w:t>
      </w:r>
    </w:p>
    <w:p w14:paraId="1E178576"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第五十三条</w:t>
      </w:r>
      <w:r w:rsidRPr="00941D29">
        <w:rPr>
          <w:rFonts w:ascii="仿宋_GB2312" w:eastAsia="仿宋_GB2312" w:hAnsi="仿宋_GB2312" w:cs="仿宋_GB2312" w:hint="eastAsia"/>
          <w:color w:val="333333"/>
          <w:sz w:val="32"/>
          <w:szCs w:val="32"/>
          <w:shd w:val="clear" w:color="auto" w:fill="FFFFFF"/>
        </w:rPr>
        <w:t xml:space="preserve"> 不依法履行职责，有下列行为之一的，有关部门对其直接负责的主管人员和其他直接责任人员，依法给予行政处分：</w:t>
      </w:r>
    </w:p>
    <w:p w14:paraId="0767CB06"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（一）未征求港口行政管理部门意见，违反港口规划擅自批准使用港口总体规划区内土地和水域的；</w:t>
      </w:r>
    </w:p>
    <w:p w14:paraId="33E45FC6"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（二）未征求港口行政管理部门意见，违反港口规划擅自批准建设跨越、穿越港口总体规划区水陆域及其上下部相关空间的设施的；</w:t>
      </w:r>
    </w:p>
    <w:p w14:paraId="5B3B0A6A"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t>（三）对违反项目审批、岸线使用审批规定的建设项目批准其水上水下施工作业许可的；</w:t>
      </w:r>
    </w:p>
    <w:p w14:paraId="030B7C66"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仿宋_GB2312" w:eastAsia="仿宋_GB2312" w:hAnsi="仿宋_GB2312" w:cs="仿宋_GB2312" w:hint="eastAsia"/>
          <w:color w:val="333333"/>
          <w:sz w:val="32"/>
          <w:szCs w:val="32"/>
          <w:shd w:val="clear" w:color="auto" w:fill="FFFFFF"/>
        </w:rPr>
        <w:lastRenderedPageBreak/>
        <w:t>（四）对港口总体规划区周边可能影响港口自然条件变化的工程项目，负责审批该项目的部门在审批前不征求港口行政管理部门意见的。</w:t>
      </w:r>
    </w:p>
    <w:p w14:paraId="6AAFFA24" w14:textId="77777777" w:rsidR="00941D29" w:rsidRPr="00941D29" w:rsidRDefault="00941D29" w:rsidP="00941D29">
      <w:pPr>
        <w:ind w:firstLineChars="200" w:firstLine="640"/>
        <w:rPr>
          <w:rFonts w:ascii="仿宋_GB2312" w:eastAsia="仿宋_GB2312" w:hAnsi="仿宋_GB2312" w:cs="仿宋_GB2312"/>
          <w:color w:val="333333"/>
          <w:sz w:val="32"/>
          <w:szCs w:val="32"/>
          <w:shd w:val="clear" w:color="auto" w:fill="FFFFFF"/>
        </w:rPr>
      </w:pPr>
    </w:p>
    <w:p w14:paraId="7C1C33E8" w14:textId="77777777" w:rsidR="00941D29" w:rsidRPr="00941D29" w:rsidRDefault="00941D29" w:rsidP="00941D29">
      <w:pPr>
        <w:jc w:val="center"/>
        <w:rPr>
          <w:rFonts w:ascii="黑体" w:eastAsia="黑体" w:hAnsi="黑体" w:cs="黑体"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第七章 附 则</w:t>
      </w:r>
    </w:p>
    <w:p w14:paraId="610053A6" w14:textId="77777777" w:rsidR="00941D29" w:rsidRPr="00941D29" w:rsidRDefault="00941D29" w:rsidP="00941D29">
      <w:pPr>
        <w:ind w:firstLineChars="200" w:firstLine="640"/>
        <w:rPr>
          <w:rFonts w:ascii="仿宋_GB2312" w:eastAsia="仿宋_GB2312" w:hAnsi="仿宋_GB2312" w:cs="仿宋_GB2312"/>
          <w:color w:val="333333"/>
          <w:sz w:val="32"/>
          <w:szCs w:val="32"/>
          <w:shd w:val="clear" w:color="auto" w:fill="FFFFFF"/>
        </w:rPr>
      </w:pPr>
    </w:p>
    <w:p w14:paraId="6495F79F" w14:textId="77777777" w:rsidR="00941D29" w:rsidRPr="00941D29" w:rsidRDefault="00941D29" w:rsidP="00941D29">
      <w:pPr>
        <w:ind w:firstLineChars="200" w:firstLine="640"/>
        <w:rPr>
          <w:rFonts w:ascii="仿宋_GB2312" w:eastAsia="仿宋_GB2312" w:hAnsi="仿宋_GB2312" w:cs="仿宋_GB2312" w:hint="eastAsia"/>
          <w:color w:val="333333"/>
          <w:sz w:val="32"/>
          <w:szCs w:val="32"/>
          <w:shd w:val="clear" w:color="auto" w:fill="FFFFFF"/>
        </w:rPr>
      </w:pPr>
      <w:r w:rsidRPr="00941D29">
        <w:rPr>
          <w:rFonts w:ascii="黑体" w:eastAsia="黑体" w:hAnsi="黑体" w:cs="黑体" w:hint="eastAsia"/>
          <w:color w:val="333333"/>
          <w:sz w:val="32"/>
          <w:szCs w:val="32"/>
          <w:shd w:val="clear" w:color="auto" w:fill="FFFFFF"/>
        </w:rPr>
        <w:t>第五十四条</w:t>
      </w:r>
      <w:r w:rsidRPr="00941D29">
        <w:rPr>
          <w:rFonts w:ascii="仿宋_GB2312" w:eastAsia="仿宋_GB2312" w:hAnsi="仿宋_GB2312" w:cs="仿宋_GB2312" w:hint="eastAsia"/>
          <w:color w:val="333333"/>
          <w:sz w:val="32"/>
          <w:szCs w:val="32"/>
          <w:shd w:val="clear" w:color="auto" w:fill="FFFFFF"/>
        </w:rPr>
        <w:t xml:space="preserve"> 本规定自2008年2月1日起施行。交通部1990年2月4日（90）交计字58号文发布的《港口总体布局规划编制办法》同时废止。</w:t>
      </w:r>
    </w:p>
    <w:p w14:paraId="0FEC8628" w14:textId="77777777" w:rsidR="00941D29" w:rsidRPr="00941D29" w:rsidRDefault="00941D29" w:rsidP="00941D29">
      <w:pPr>
        <w:ind w:firstLineChars="200" w:firstLine="640"/>
        <w:rPr>
          <w:rFonts w:ascii="仿宋_GB2312" w:eastAsia="仿宋_GB2312" w:hAnsi="仿宋_GB2312" w:cs="仿宋_GB2312"/>
          <w:color w:val="333333"/>
          <w:sz w:val="32"/>
          <w:szCs w:val="32"/>
          <w:shd w:val="clear" w:color="auto" w:fill="FFFFFF"/>
        </w:rPr>
      </w:pPr>
    </w:p>
    <w:sectPr w:rsidR="00941D29" w:rsidRPr="00941D2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510DD" w14:textId="77777777" w:rsidR="008F7FB9" w:rsidRDefault="008F7FB9">
      <w:r>
        <w:separator/>
      </w:r>
    </w:p>
  </w:endnote>
  <w:endnote w:type="continuationSeparator" w:id="0">
    <w:p w14:paraId="065AD87F" w14:textId="77777777" w:rsidR="008F7FB9" w:rsidRDefault="008F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49528" w14:textId="77777777" w:rsidR="003B7CB9" w:rsidRDefault="00EB5CF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D94DA" w14:textId="77777777"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75FD6">
                            <w:rPr>
                              <w:rFonts w:ascii="宋体" w:eastAsia="宋体" w:hAnsi="宋体" w:cs="宋体"/>
                              <w:noProof/>
                              <w:sz w:val="28"/>
                              <w:szCs w:val="28"/>
                            </w:rPr>
                            <w:t>- 17 -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442D94DA" w14:textId="77777777"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75FD6">
                      <w:rPr>
                        <w:rFonts w:ascii="宋体" w:eastAsia="宋体" w:hAnsi="宋体" w:cs="宋体"/>
                        <w:noProof/>
                        <w:sz w:val="28"/>
                        <w:szCs w:val="28"/>
                      </w:rPr>
                      <w:t>- 17 -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23B44A63" w14:textId="2D208B9A" w:rsidR="003B7CB9" w:rsidRDefault="00EB5CFE">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758CF8"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E86E75">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56966D9D" w14:textId="77777777" w:rsidR="003B7CB9" w:rsidRDefault="003B7CB9">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42A31" w14:textId="77777777" w:rsidR="008F7FB9" w:rsidRDefault="008F7FB9">
      <w:r>
        <w:separator/>
      </w:r>
    </w:p>
  </w:footnote>
  <w:footnote w:type="continuationSeparator" w:id="0">
    <w:p w14:paraId="7DCA08F5" w14:textId="77777777" w:rsidR="008F7FB9" w:rsidRDefault="008F7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EF1FC" w14:textId="77777777" w:rsidR="003B7CB9" w:rsidRDefault="00EB5CFE">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A4E820"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19464331" w14:textId="5C4B3AFF" w:rsidR="003B7CB9" w:rsidRDefault="00EB5CF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A70AD">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6EE1"/>
    <w:rsid w:val="00172A27"/>
    <w:rsid w:val="003418E4"/>
    <w:rsid w:val="003B7CB9"/>
    <w:rsid w:val="00824810"/>
    <w:rsid w:val="008F7FB9"/>
    <w:rsid w:val="00941D29"/>
    <w:rsid w:val="00A75FD6"/>
    <w:rsid w:val="00DA70AD"/>
    <w:rsid w:val="00E86E75"/>
    <w:rsid w:val="00EB5CFE"/>
    <w:rsid w:val="00F73B89"/>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F82F672-CAFD-40E4-A0C4-99C18D16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DA70AD"/>
    <w:rPr>
      <w:sz w:val="18"/>
      <w:szCs w:val="18"/>
    </w:rPr>
  </w:style>
  <w:style w:type="character" w:customStyle="1" w:styleId="Char">
    <w:name w:val="批注框文本 Char"/>
    <w:basedOn w:val="a0"/>
    <w:link w:val="a7"/>
    <w:rsid w:val="00DA70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1022</Words>
  <Characters>5829</Characters>
  <Application>Microsoft Office Word</Application>
  <DocSecurity>0</DocSecurity>
  <Lines>48</Lines>
  <Paragraphs>13</Paragraphs>
  <ScaleCrop>false</ScaleCrop>
  <Company>CHINA</Company>
  <LinksUpToDate>false</LinksUpToDate>
  <CharactersWithSpaces>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2021-12-20T06:19:00Z</dcterms:created>
  <dcterms:modified xsi:type="dcterms:W3CDTF">2021-12-20T06:31:00Z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