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rPr>
      </w:pPr>
    </w:p>
    <w:p>
      <w:pPr>
        <w:pStyle w:val="5"/>
        <w:jc w:val="both"/>
        <w:rPr>
          <w:rFonts w:hint="eastAsia" w:ascii="Times New Roman" w:hAnsi="Times New Roman"/>
          <w:b w:val="0"/>
          <w:bCs w:val="0"/>
          <w:kern w:val="0"/>
        </w:rPr>
      </w:pPr>
      <w:bookmarkStart w:id="0" w:name="_Toc128900565"/>
      <w:r>
        <w:rPr>
          <w:rFonts w:hint="eastAsia" w:ascii="Times New Roman" w:hAnsi="Times New Roman"/>
          <w:b w:val="0"/>
          <w:bCs w:val="0"/>
          <w:kern w:val="0"/>
        </w:rPr>
        <w:t>附件</w:t>
      </w:r>
      <w:r>
        <w:rPr>
          <w:rFonts w:hint="eastAsia" w:ascii="Times New Roman" w:hAnsi="Times New Roman"/>
          <w:b w:val="0"/>
          <w:bCs w:val="0"/>
          <w:kern w:val="0"/>
          <w:lang w:val="en-US" w:eastAsia="zh-CN"/>
        </w:rPr>
        <w:t>1</w:t>
      </w:r>
      <w:r>
        <w:rPr>
          <w:rFonts w:hint="eastAsia" w:ascii="Times New Roman" w:hAnsi="Times New Roman"/>
          <w:b w:val="0"/>
          <w:bCs w:val="0"/>
          <w:kern w:val="0"/>
        </w:rPr>
        <w:t xml:space="preserve"> </w:t>
      </w:r>
    </w:p>
    <w:p>
      <w:pPr>
        <w:pStyle w:val="5"/>
        <w:keepNext/>
        <w:keepLines/>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附  图</w:t>
      </w:r>
      <w:bookmarkEnd w:id="0"/>
    </w:p>
    <w:p>
      <w:pPr>
        <w:pStyle w:val="5"/>
        <w:keepNext/>
        <w:keepLines/>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4"/>
          <w:szCs w:val="44"/>
        </w:rPr>
      </w:pPr>
      <w:bookmarkStart w:id="17" w:name="_GoBack"/>
      <w:r>
        <w:rPr>
          <w:sz w:val="20"/>
        </w:rPr>
        <w:drawing>
          <wp:anchor distT="0" distB="0" distL="114300" distR="114300" simplePos="0" relativeHeight="251659264" behindDoc="0" locked="0" layoutInCell="1" allowOverlap="1">
            <wp:simplePos x="0" y="0"/>
            <wp:positionH relativeFrom="column">
              <wp:posOffset>-987425</wp:posOffset>
            </wp:positionH>
            <wp:positionV relativeFrom="paragraph">
              <wp:posOffset>132080</wp:posOffset>
            </wp:positionV>
            <wp:extent cx="7498715" cy="6668770"/>
            <wp:effectExtent l="0" t="0" r="6985" b="17780"/>
            <wp:wrapNone/>
            <wp:docPr id="2" name="图片 2" descr="243795795144557091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37957951445570918066"/>
                    <pic:cNvPicPr>
                      <a:picLocks noChangeAspect="1"/>
                    </pic:cNvPicPr>
                  </pic:nvPicPr>
                  <pic:blipFill>
                    <a:blip r:embed="rId4"/>
                    <a:stretch>
                      <a:fillRect/>
                    </a:stretch>
                  </pic:blipFill>
                  <pic:spPr>
                    <a:xfrm>
                      <a:off x="0" y="0"/>
                      <a:ext cx="7498715" cy="6668770"/>
                    </a:xfrm>
                    <a:prstGeom prst="rect">
                      <a:avLst/>
                    </a:prstGeom>
                    <a:noFill/>
                    <a:ln>
                      <a:noFill/>
                    </a:ln>
                  </pic:spPr>
                </pic:pic>
              </a:graphicData>
            </a:graphic>
          </wp:anchor>
        </w:drawing>
      </w:r>
      <w:bookmarkEnd w:id="17"/>
    </w:p>
    <w:p>
      <w:pPr>
        <w:pStyle w:val="5"/>
        <w:keepNext/>
        <w:keepLines/>
        <w:pageBreakBefore w:val="0"/>
        <w:widowControl w:val="0"/>
        <w:kinsoku/>
        <w:wordWrap/>
        <w:overflowPunct/>
        <w:topLinePunct w:val="0"/>
        <w:autoSpaceDE/>
        <w:autoSpaceDN/>
        <w:bidi w:val="0"/>
        <w:adjustRightInd/>
        <w:snapToGrid/>
        <w:spacing w:before="0" w:after="0" w:line="580" w:lineRule="exact"/>
        <w:ind w:firstLine="482" w:firstLineChars="200"/>
        <w:jc w:val="both"/>
        <w:textAlignment w:val="auto"/>
        <w:rPr>
          <w:rFonts w:hint="eastAsia" w:eastAsia="黑体"/>
          <w:lang w:eastAsia="zh-CN"/>
        </w:rPr>
      </w:pPr>
      <w:r>
        <w:rPr>
          <w:rFonts w:eastAsia="仿宋_GB2312"/>
          <w:kern w:val="0"/>
          <w:sz w:val="24"/>
        </w:rPr>
        <w:br w:type="page"/>
      </w:r>
      <w:bookmarkStart w:id="1" w:name="_Toc128900567"/>
      <w:bookmarkStart w:id="2" w:name="_Toc128900566"/>
      <w:r>
        <w:rPr>
          <w:rFonts w:hint="eastAsia"/>
          <w:b w:val="0"/>
          <w:bCs w:val="0"/>
          <w:sz w:val="32"/>
          <w:szCs w:val="32"/>
        </w:rPr>
        <w:t>附件</w:t>
      </w:r>
      <w:r>
        <w:rPr>
          <w:rFonts w:hint="eastAsia"/>
          <w:b w:val="0"/>
          <w:bCs w:val="0"/>
          <w:sz w:val="32"/>
          <w:szCs w:val="32"/>
          <w:lang w:val="en-US" w:eastAsia="zh-CN"/>
        </w:rPr>
        <w:t>2</w:t>
      </w:r>
    </w:p>
    <w:p>
      <w:pPr>
        <w:pStyle w:val="5"/>
        <w:keepNext/>
        <w:keepLines/>
        <w:pageBreakBefore w:val="0"/>
        <w:widowControl w:val="0"/>
        <w:kinsoku/>
        <w:wordWrap/>
        <w:overflowPunct/>
        <w:topLinePunct w:val="0"/>
        <w:autoSpaceDE/>
        <w:autoSpaceDN/>
        <w:bidi w:val="0"/>
        <w:adjustRightInd/>
        <w:snapToGrid/>
        <w:spacing w:before="0" w:after="0" w:line="580" w:lineRule="exact"/>
        <w:jc w:val="both"/>
        <w:textAlignment w:val="auto"/>
        <w:rPr>
          <w:rFonts w:hint="eastAsia"/>
          <w:b w:val="0"/>
          <w:bCs w:val="0"/>
          <w:sz w:val="32"/>
          <w:szCs w:val="32"/>
        </w:rPr>
      </w:pPr>
    </w:p>
    <w:p>
      <w:pPr>
        <w:pStyle w:val="5"/>
        <w:keepNext/>
        <w:keepLines/>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非侵入区和正常运行区的划设方法</w:t>
      </w:r>
      <w:bookmarkEnd w:id="1"/>
      <w:bookmarkEnd w:id="2"/>
    </w:p>
    <w:p>
      <w:pPr>
        <w:pStyle w:val="6"/>
        <w:keepNext/>
        <w:keepLines/>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3" w:name="_Toc128900568"/>
    </w:p>
    <w:p>
      <w:pPr>
        <w:pStyle w:val="6"/>
        <w:keepNext/>
        <w:keepLines/>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第一节 非侵入区</w:t>
      </w:r>
      <w:bookmarkEnd w:id="3"/>
    </w:p>
    <w:p>
      <w:pPr>
        <w:rPr>
          <w:rFonts w:hint="eastAsia"/>
        </w:rPr>
      </w:pP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一、非侵入区（</w:t>
      </w:r>
      <w:r>
        <w:rPr>
          <w:rFonts w:eastAsia="仿宋_GB2312"/>
          <w:kern w:val="0"/>
          <w:sz w:val="32"/>
          <w:szCs w:val="32"/>
        </w:rPr>
        <w:t>NTZ</w:t>
      </w:r>
      <w:r>
        <w:rPr>
          <w:rFonts w:hint="eastAsia" w:eastAsia="仿宋_GB2312"/>
          <w:kern w:val="0"/>
          <w:sz w:val="32"/>
          <w:szCs w:val="32"/>
        </w:rPr>
        <w:t>）是位于相邻跑道中心线延长线之间的特定空域。航空器进行独立平行仪表进近时，由于不考虑与相邻跑道中心线延长线上的航空器之间的最小间隔，因此应当划设非侵入区以保证航空器偏离航向道时的飞行安全。</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二、非侵入区的长度应当从平行跑道最近的跑道入口处开始，沿进近反方向延伸至跑道中心线延长线上平行进近的两架航空器之间的垂直间隔小于300米的一点。</w:t>
      </w:r>
      <w:r>
        <w:rPr>
          <w:rFonts w:eastAsia="仿宋_GB2312"/>
          <w:kern w:val="0"/>
          <w:sz w:val="32"/>
          <w:szCs w:val="32"/>
        </w:rPr>
        <w:t xml:space="preserve"> </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三、划设非侵入区应当考虑探测区、延时或者反应时间、修正区、侧向轨迹间隔等方面的因素。</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非侵入区的宽度应当为两条平行跑道正常运行区之间的区域的宽度，由下列区域或者间隔的宽度构成并且不得小于610米：</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kern w:val="0"/>
          <w:sz w:val="32"/>
          <w:szCs w:val="32"/>
        </w:rPr>
      </w:pPr>
      <w:r>
        <w:rPr>
          <w:rFonts w:hint="eastAsia" w:eastAsia="仿宋_GB2312"/>
          <w:kern w:val="0"/>
          <w:sz w:val="32"/>
          <w:szCs w:val="32"/>
        </w:rPr>
        <w:t>（一）探测区（</w:t>
      </w:r>
      <w:r>
        <w:rPr>
          <w:rFonts w:eastAsia="仿宋_GB2312"/>
          <w:kern w:val="0"/>
          <w:sz w:val="32"/>
          <w:szCs w:val="32"/>
        </w:rPr>
        <w:t>DZ</w:t>
      </w:r>
      <w:r>
        <w:rPr>
          <w:rFonts w:hint="eastAsia" w:eastAsia="仿宋_GB2312"/>
          <w:kern w:val="0"/>
          <w:sz w:val="32"/>
          <w:szCs w:val="32"/>
        </w:rPr>
        <w:t>）。探测区是指管制员观察到航空器误入非侵入区的时间段内，航空器飞行所需的空域容差。该容差取决于监视系统的更新周期、雷达系统的精度以及雷达显示器的分辨率，其宽度用W</w:t>
      </w:r>
      <w:r>
        <w:rPr>
          <w:rFonts w:eastAsia="仿宋_GB2312"/>
          <w:kern w:val="0"/>
          <w:sz w:val="32"/>
          <w:szCs w:val="32"/>
          <w:vertAlign w:val="subscript"/>
        </w:rPr>
        <w:t>DZ</w:t>
      </w:r>
      <w:r>
        <w:rPr>
          <w:rFonts w:hint="eastAsia" w:eastAsia="仿宋_GB2312"/>
          <w:kern w:val="0"/>
          <w:sz w:val="32"/>
          <w:szCs w:val="32"/>
        </w:rPr>
        <w:t>表示。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（二）根据延时</w:t>
      </w:r>
      <w:r>
        <w:rPr>
          <w:rFonts w:eastAsia="仿宋_GB2312"/>
          <w:kern w:val="0"/>
          <w:sz w:val="32"/>
          <w:szCs w:val="32"/>
        </w:rPr>
        <w:t>/</w:t>
      </w:r>
      <w:r>
        <w:rPr>
          <w:rFonts w:hint="eastAsia" w:eastAsia="仿宋_GB2312"/>
          <w:kern w:val="0"/>
          <w:sz w:val="32"/>
          <w:szCs w:val="32"/>
        </w:rPr>
        <w:t>反应时间（</w:t>
      </w:r>
      <w:r>
        <w:rPr>
          <w:rFonts w:eastAsia="仿宋_GB2312"/>
          <w:kern w:val="0"/>
          <w:sz w:val="32"/>
          <w:szCs w:val="32"/>
        </w:rPr>
        <w:t>DRT</w:t>
      </w:r>
      <w:r>
        <w:rPr>
          <w:rFonts w:hint="eastAsia" w:eastAsia="仿宋_GB2312"/>
          <w:kern w:val="0"/>
          <w:sz w:val="32"/>
          <w:szCs w:val="32"/>
        </w:rPr>
        <w:t>）和偏离航道航空器的速度换算成的距离，用W</w:t>
      </w:r>
      <w:r>
        <w:rPr>
          <w:rFonts w:eastAsia="仿宋_GB2312"/>
          <w:kern w:val="0"/>
          <w:sz w:val="32"/>
          <w:szCs w:val="32"/>
          <w:vertAlign w:val="subscript"/>
        </w:rPr>
        <w:t>DRT</w:t>
      </w:r>
      <w:r>
        <w:rPr>
          <w:rFonts w:hint="eastAsia" w:eastAsia="仿宋_GB2312"/>
          <w:kern w:val="0"/>
          <w:sz w:val="32"/>
          <w:szCs w:val="32"/>
        </w:rPr>
        <w:t>表示。延时</w:t>
      </w:r>
      <w:r>
        <w:rPr>
          <w:rFonts w:eastAsia="仿宋_GB2312"/>
          <w:kern w:val="0"/>
          <w:sz w:val="32"/>
          <w:szCs w:val="32"/>
        </w:rPr>
        <w:t>/</w:t>
      </w:r>
      <w:r>
        <w:rPr>
          <w:rFonts w:hint="eastAsia" w:eastAsia="仿宋_GB2312"/>
          <w:kern w:val="0"/>
          <w:sz w:val="32"/>
          <w:szCs w:val="32"/>
        </w:rPr>
        <w:t>反应时间由下列时间相加构成：</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w:t>
      </w:r>
      <w:r>
        <w:rPr>
          <w:rFonts w:hint="eastAsia" w:eastAsia="仿宋_GB2312"/>
          <w:kern w:val="0"/>
          <w:sz w:val="32"/>
          <w:szCs w:val="32"/>
        </w:rPr>
        <w:t>管制员反应时间（秒）：管制员观测到航空器误入非侵入区后，考虑决定适当的解决方案并且将配备间隔的指令发出所需要的时间。</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2</w:t>
      </w:r>
      <w:r>
        <w:rPr>
          <w:rFonts w:hint="eastAsia" w:eastAsia="仿宋_GB2312"/>
          <w:kern w:val="0"/>
          <w:sz w:val="32"/>
          <w:szCs w:val="32"/>
          <w:lang w:val="en-US" w:eastAsia="zh-CN"/>
        </w:rPr>
        <w:t>.</w:t>
      </w:r>
      <w:r>
        <w:rPr>
          <w:rFonts w:hint="eastAsia" w:eastAsia="仿宋_GB2312"/>
          <w:kern w:val="0"/>
          <w:sz w:val="32"/>
          <w:szCs w:val="32"/>
        </w:rPr>
        <w:t>机长反应时间（秒）：机长听清指令并且作出操纵航空器动作所需要的时间。</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eastAsia="仿宋_GB2312"/>
          <w:kern w:val="0"/>
          <w:sz w:val="32"/>
          <w:szCs w:val="32"/>
        </w:rPr>
        <w:t>3</w:t>
      </w:r>
      <w:r>
        <w:rPr>
          <w:rFonts w:hint="eastAsia" w:eastAsia="仿宋_GB2312"/>
          <w:kern w:val="0"/>
          <w:sz w:val="32"/>
          <w:szCs w:val="32"/>
          <w:lang w:val="en-US" w:eastAsia="zh-CN"/>
        </w:rPr>
        <w:t>.</w:t>
      </w:r>
      <w:r>
        <w:rPr>
          <w:rFonts w:hint="eastAsia" w:eastAsia="仿宋_GB2312"/>
          <w:kern w:val="0"/>
          <w:sz w:val="32"/>
          <w:szCs w:val="32"/>
        </w:rPr>
        <w:t>航空器反应时间（秒）：航空器接受输入的操纵指令并且开始做出响应所需要的时间。</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（三）修正区（</w:t>
      </w:r>
      <w:r>
        <w:rPr>
          <w:rFonts w:eastAsia="仿宋_GB2312"/>
          <w:kern w:val="0"/>
          <w:sz w:val="32"/>
          <w:szCs w:val="32"/>
        </w:rPr>
        <w:t>CZ</w:t>
      </w:r>
      <w:r>
        <w:rPr>
          <w:rFonts w:hint="eastAsia" w:eastAsia="仿宋_GB2312"/>
          <w:kern w:val="0"/>
          <w:sz w:val="32"/>
          <w:szCs w:val="32"/>
        </w:rPr>
        <w:t>）。修正区是指一个附加的容差空域，是在被威胁航空器完成其机动避让飞行的时间内非正常飞行航空器所需的空域容差。当被威胁航空器改变航向到与非正常飞行航空器航迹平行时可视为完成机动避让飞行，其宽度用W</w:t>
      </w:r>
      <w:r>
        <w:rPr>
          <w:rFonts w:eastAsia="仿宋_GB2312"/>
          <w:kern w:val="0"/>
          <w:sz w:val="32"/>
          <w:szCs w:val="32"/>
          <w:vertAlign w:val="subscript"/>
        </w:rPr>
        <w:t>CZ</w:t>
      </w:r>
      <w:r>
        <w:rPr>
          <w:rFonts w:hint="eastAsia" w:eastAsia="仿宋_GB2312"/>
          <w:kern w:val="0"/>
          <w:sz w:val="32"/>
          <w:szCs w:val="32"/>
        </w:rPr>
        <w:t>表示。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（四）侧向轨迹间隔（</w:t>
      </w:r>
      <w:r>
        <w:rPr>
          <w:rFonts w:eastAsia="仿宋_GB2312"/>
          <w:kern w:val="0"/>
          <w:sz w:val="32"/>
          <w:szCs w:val="32"/>
        </w:rPr>
        <w:t>LTS</w:t>
      </w:r>
      <w:r>
        <w:rPr>
          <w:rFonts w:hint="eastAsia" w:eastAsia="仿宋_GB2312"/>
          <w:kern w:val="0"/>
          <w:sz w:val="32"/>
          <w:szCs w:val="32"/>
        </w:rPr>
        <w:t>）。侧向轨迹间隔是指由一个侧向间隔和一个导航缓冲区构成的容差空域，用于在非正常飞行航空器和受威胁航空器之间提供足够的侧向轨迹间隔，该间隔是两航空器航迹平行时最小的侧向间隔，其宽度用W</w:t>
      </w:r>
      <w:r>
        <w:rPr>
          <w:rFonts w:eastAsia="仿宋_GB2312"/>
          <w:kern w:val="0"/>
          <w:sz w:val="32"/>
          <w:szCs w:val="32"/>
          <w:vertAlign w:val="subscript"/>
        </w:rPr>
        <w:t>LTS</w:t>
      </w:r>
      <w:r>
        <w:rPr>
          <w:rFonts w:eastAsia="仿宋_GB2312"/>
          <w:kern w:val="0"/>
          <w:sz w:val="32"/>
          <w:szCs w:val="32"/>
        </w:rPr>
        <w:t xml:space="preserve"> </w:t>
      </w:r>
      <w:r>
        <w:rPr>
          <w:rFonts w:hint="eastAsia" w:eastAsia="仿宋_GB2312"/>
          <w:kern w:val="0"/>
          <w:sz w:val="32"/>
          <w:szCs w:val="32"/>
        </w:rPr>
        <w:t>表示。</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非侵入区的宽度用W</w:t>
      </w:r>
      <w:r>
        <w:rPr>
          <w:rFonts w:eastAsia="仿宋_GB2312"/>
          <w:kern w:val="0"/>
          <w:sz w:val="32"/>
          <w:szCs w:val="32"/>
          <w:vertAlign w:val="subscript"/>
        </w:rPr>
        <w:t>NTZ</w:t>
      </w:r>
      <w:r>
        <w:rPr>
          <w:rFonts w:hint="eastAsia" w:eastAsia="仿宋_GB2312"/>
          <w:kern w:val="0"/>
          <w:sz w:val="32"/>
          <w:szCs w:val="32"/>
        </w:rPr>
        <w:t>表示，并且应当按照下列公式计算：</w:t>
      </w:r>
    </w:p>
    <w:p>
      <w:pPr>
        <w:pageBreakBefore w:val="0"/>
        <w:widowControl w:val="0"/>
        <w:kinsoku/>
        <w:wordWrap/>
        <w:overflowPunct/>
        <w:topLinePunct w:val="0"/>
        <w:autoSpaceDE/>
        <w:autoSpaceDN/>
        <w:bidi w:val="0"/>
        <w:adjustRightInd/>
        <w:snapToGrid/>
        <w:spacing w:line="580" w:lineRule="exact"/>
        <w:jc w:val="center"/>
        <w:textAlignment w:val="auto"/>
        <w:rPr>
          <w:rFonts w:eastAsia="仿宋_GB2312"/>
          <w:kern w:val="0"/>
          <w:sz w:val="32"/>
          <w:szCs w:val="32"/>
        </w:rPr>
      </w:pPr>
      <w:r>
        <w:rPr>
          <w:rFonts w:hint="eastAsia" w:eastAsia="仿宋_GB2312"/>
          <w:kern w:val="0"/>
          <w:sz w:val="32"/>
          <w:szCs w:val="32"/>
        </w:rPr>
        <w:t>W</w:t>
      </w:r>
      <w:r>
        <w:rPr>
          <w:rFonts w:eastAsia="仿宋_GB2312"/>
          <w:kern w:val="0"/>
          <w:sz w:val="32"/>
          <w:szCs w:val="32"/>
          <w:vertAlign w:val="subscript"/>
        </w:rPr>
        <w:t>NTZ</w:t>
      </w:r>
      <w:r>
        <w:rPr>
          <w:rFonts w:eastAsia="仿宋_GB2312"/>
          <w:kern w:val="0"/>
          <w:sz w:val="32"/>
          <w:szCs w:val="32"/>
        </w:rPr>
        <w:t>=</w:t>
      </w:r>
      <w:r>
        <w:rPr>
          <w:rFonts w:hint="eastAsia" w:eastAsia="仿宋_GB2312"/>
          <w:kern w:val="0"/>
          <w:sz w:val="32"/>
          <w:szCs w:val="32"/>
        </w:rPr>
        <w:t>W</w:t>
      </w:r>
      <w:r>
        <w:rPr>
          <w:rFonts w:eastAsia="仿宋_GB2312"/>
          <w:kern w:val="0"/>
          <w:sz w:val="32"/>
          <w:szCs w:val="32"/>
          <w:vertAlign w:val="subscript"/>
        </w:rPr>
        <w:t>DZ</w:t>
      </w:r>
      <w:r>
        <w:rPr>
          <w:rFonts w:eastAsia="仿宋_GB2312"/>
          <w:kern w:val="0"/>
          <w:sz w:val="32"/>
          <w:szCs w:val="32"/>
        </w:rPr>
        <w:t>+</w:t>
      </w:r>
      <w:r>
        <w:rPr>
          <w:rFonts w:hint="eastAsia" w:eastAsia="仿宋_GB2312"/>
          <w:kern w:val="0"/>
          <w:sz w:val="32"/>
          <w:szCs w:val="32"/>
        </w:rPr>
        <w:t>W</w:t>
      </w:r>
      <w:r>
        <w:rPr>
          <w:rFonts w:eastAsia="仿宋_GB2312"/>
          <w:kern w:val="0"/>
          <w:sz w:val="32"/>
          <w:szCs w:val="32"/>
          <w:vertAlign w:val="subscript"/>
        </w:rPr>
        <w:t>DRT</w:t>
      </w:r>
      <w:r>
        <w:rPr>
          <w:rFonts w:eastAsia="仿宋_GB2312"/>
          <w:kern w:val="0"/>
          <w:sz w:val="32"/>
          <w:szCs w:val="32"/>
        </w:rPr>
        <w:t>+</w:t>
      </w:r>
      <w:r>
        <w:rPr>
          <w:rFonts w:hint="eastAsia" w:eastAsia="仿宋_GB2312"/>
          <w:kern w:val="0"/>
          <w:sz w:val="32"/>
          <w:szCs w:val="32"/>
        </w:rPr>
        <w:t>W</w:t>
      </w:r>
      <w:r>
        <w:rPr>
          <w:rFonts w:eastAsia="仿宋_GB2312"/>
          <w:kern w:val="0"/>
          <w:sz w:val="32"/>
          <w:szCs w:val="32"/>
          <w:vertAlign w:val="subscript"/>
        </w:rPr>
        <w:t>CZ</w:t>
      </w:r>
      <w:r>
        <w:rPr>
          <w:rFonts w:eastAsia="仿宋_GB2312"/>
          <w:kern w:val="0"/>
          <w:sz w:val="32"/>
          <w:szCs w:val="32"/>
        </w:rPr>
        <w:t>+</w:t>
      </w:r>
      <w:r>
        <w:rPr>
          <w:rFonts w:hint="eastAsia" w:eastAsia="仿宋_GB2312"/>
          <w:kern w:val="0"/>
          <w:sz w:val="32"/>
          <w:szCs w:val="32"/>
        </w:rPr>
        <w:t>W</w:t>
      </w:r>
      <w:r>
        <w:rPr>
          <w:rFonts w:eastAsia="仿宋_GB2312"/>
          <w:kern w:val="0"/>
          <w:sz w:val="32"/>
          <w:szCs w:val="32"/>
          <w:vertAlign w:val="subscript"/>
        </w:rPr>
        <w:t>LTS</w:t>
      </w:r>
    </w:p>
    <w:p>
      <w:pPr>
        <w:pStyle w:val="6"/>
        <w:keepNext/>
        <w:keepLines/>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4" w:name="_Toc128900569"/>
    </w:p>
    <w:p>
      <w:pPr>
        <w:pStyle w:val="6"/>
        <w:keepNext/>
        <w:keepLines/>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第二节 正常运行区</w:t>
      </w:r>
      <w:bookmarkEnd w:id="4"/>
    </w:p>
    <w:p>
      <w:pPr>
        <w:rPr>
          <w:rFonts w:hint="eastAsia"/>
        </w:rPr>
      </w:pP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一、正常运行区（</w:t>
      </w:r>
      <w:r>
        <w:rPr>
          <w:rFonts w:eastAsia="仿宋_GB2312"/>
          <w:kern w:val="0"/>
          <w:sz w:val="32"/>
          <w:szCs w:val="32"/>
        </w:rPr>
        <w:t>NOZ</w:t>
      </w:r>
      <w:r>
        <w:rPr>
          <w:rFonts w:hint="eastAsia" w:eastAsia="仿宋_GB2312"/>
          <w:kern w:val="0"/>
          <w:sz w:val="32"/>
          <w:szCs w:val="32"/>
        </w:rPr>
        <w:t>）是从仪表着陆系统（</w:t>
      </w:r>
      <w:r>
        <w:rPr>
          <w:rFonts w:eastAsia="仿宋_GB2312"/>
          <w:kern w:val="0"/>
          <w:sz w:val="32"/>
          <w:szCs w:val="32"/>
        </w:rPr>
        <w:t>ILS</w:t>
      </w:r>
      <w:r>
        <w:rPr>
          <w:rFonts w:hint="eastAsia" w:eastAsia="仿宋_GB2312"/>
          <w:kern w:val="0"/>
          <w:sz w:val="32"/>
          <w:szCs w:val="32"/>
        </w:rPr>
        <w:t>）航向道中心线向两侧延伸至指定范围内的空域。航空器在跑道中心线延长线上实施</w:t>
      </w:r>
      <w:r>
        <w:rPr>
          <w:rFonts w:eastAsia="仿宋_GB2312"/>
          <w:kern w:val="0"/>
          <w:sz w:val="32"/>
          <w:szCs w:val="32"/>
        </w:rPr>
        <w:t>ILS</w:t>
      </w:r>
      <w:r>
        <w:rPr>
          <w:rFonts w:hint="eastAsia" w:eastAsia="仿宋_GB2312"/>
          <w:kern w:val="0"/>
          <w:sz w:val="32"/>
          <w:szCs w:val="32"/>
        </w:rPr>
        <w:t>进近时，应当保持在此空域内飞行。通常情况下，航空器在此区域内飞行不需要管制员的干预。</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二、正常运行区的长度应当从跑道入口处开始，沿进近反方向延伸至航空器加入跑道中心线延长线的一点为止。</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三、正常运行区的宽度取决于导航系统的精度和航空器航迹保持的精度。导航系统和航迹保持的精度越高，正常运行区的宽度就可以越窄。</w:t>
      </w:r>
    </w:p>
    <w:p>
      <w:pPr>
        <w:pStyle w:val="6"/>
        <w:keepNext/>
        <w:keepLines/>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5" w:name="_Toc128900570"/>
    </w:p>
    <w:p>
      <w:pPr>
        <w:pStyle w:val="6"/>
        <w:keepNext/>
        <w:keepLines/>
        <w:pageBreakBefore w:val="0"/>
        <w:widowControl w:val="0"/>
        <w:kinsoku/>
        <w:wordWrap/>
        <w:overflowPunct/>
        <w:topLinePunct w:val="0"/>
        <w:autoSpaceDE/>
        <w:autoSpaceDN/>
        <w:bidi w:val="0"/>
        <w:adjustRightInd/>
        <w:snapToGrid/>
        <w:spacing w:before="0" w:after="0" w:line="580" w:lineRule="exact"/>
        <w:ind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第三节 非侵入区和正常运行区的相互关系</w:t>
      </w:r>
      <w:bookmarkEnd w:id="5"/>
    </w:p>
    <w:p>
      <w:pPr>
        <w:rPr>
          <w:rFonts w:hint="eastAsia"/>
        </w:rPr>
      </w:pP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相邻两条跑道中心线延长线之间的空域是由一个非侵入区和与两个跑道中心线有关的两个正常运行区的内侧构成的，其宽度用W表示，并且应当按照下列公式计算：</w:t>
      </w:r>
    </w:p>
    <w:p>
      <w:pPr>
        <w:pageBreakBefore w:val="0"/>
        <w:widowControl w:val="0"/>
        <w:kinsoku/>
        <w:wordWrap/>
        <w:overflowPunct/>
        <w:topLinePunct w:val="0"/>
        <w:autoSpaceDE/>
        <w:autoSpaceDN/>
        <w:bidi w:val="0"/>
        <w:adjustRightInd/>
        <w:snapToGrid/>
        <w:spacing w:line="580" w:lineRule="exact"/>
        <w:jc w:val="center"/>
        <w:textAlignment w:val="auto"/>
        <w:rPr>
          <w:rFonts w:hint="eastAsia" w:eastAsia="仿宋_GB2312"/>
          <w:kern w:val="0"/>
          <w:sz w:val="32"/>
          <w:szCs w:val="32"/>
        </w:rPr>
      </w:pPr>
      <w:r>
        <w:rPr>
          <w:rFonts w:eastAsia="仿宋_GB2312"/>
          <w:kern w:val="0"/>
          <w:sz w:val="32"/>
          <w:szCs w:val="32"/>
        </w:rPr>
        <w:t>W=1NTZ+1/2NOZ</w:t>
      </w:r>
      <w:r>
        <w:rPr>
          <w:rFonts w:eastAsia="仿宋_GB2312"/>
          <w:kern w:val="0"/>
          <w:sz w:val="32"/>
          <w:szCs w:val="32"/>
          <w:vertAlign w:val="subscript"/>
        </w:rPr>
        <w:t>1</w:t>
      </w:r>
      <w:r>
        <w:rPr>
          <w:rFonts w:eastAsia="仿宋_GB2312"/>
          <w:kern w:val="0"/>
          <w:sz w:val="32"/>
          <w:szCs w:val="32"/>
        </w:rPr>
        <w:t>+1/2NOZ</w:t>
      </w:r>
      <w:r>
        <w:rPr>
          <w:rFonts w:eastAsia="仿宋_GB2312"/>
          <w:kern w:val="0"/>
          <w:sz w:val="32"/>
          <w:szCs w:val="32"/>
          <w:vertAlign w:val="subscript"/>
        </w:rPr>
        <w:t>2</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kern w:val="0"/>
          <w:sz w:val="32"/>
          <w:szCs w:val="32"/>
        </w:rPr>
      </w:pPr>
      <w:r>
        <w:rPr>
          <w:rFonts w:hint="eastAsia" w:eastAsia="仿宋_GB2312"/>
          <w:kern w:val="0"/>
          <w:sz w:val="32"/>
          <w:szCs w:val="32"/>
        </w:rPr>
        <w:t>式中，</w:t>
      </w:r>
      <w:r>
        <w:rPr>
          <w:rFonts w:eastAsia="仿宋_GB2312"/>
          <w:kern w:val="0"/>
          <w:sz w:val="32"/>
          <w:szCs w:val="32"/>
        </w:rPr>
        <w:t>NTZ</w:t>
      </w:r>
      <w:r>
        <w:rPr>
          <w:rFonts w:hint="eastAsia" w:eastAsia="仿宋_GB2312"/>
          <w:kern w:val="0"/>
          <w:sz w:val="32"/>
          <w:szCs w:val="32"/>
        </w:rPr>
        <w:t>为非侵入区的宽度（米）；</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kern w:val="0"/>
          <w:sz w:val="32"/>
          <w:szCs w:val="32"/>
        </w:rPr>
      </w:pPr>
      <w:r>
        <w:rPr>
          <w:rFonts w:eastAsia="仿宋_GB2312"/>
          <w:kern w:val="0"/>
          <w:sz w:val="32"/>
          <w:szCs w:val="32"/>
        </w:rPr>
        <w:t>NOZ</w:t>
      </w:r>
      <w:r>
        <w:rPr>
          <w:rFonts w:eastAsia="仿宋_GB2312"/>
          <w:kern w:val="0"/>
          <w:sz w:val="32"/>
          <w:szCs w:val="32"/>
          <w:vertAlign w:val="subscript"/>
        </w:rPr>
        <w:t>1</w:t>
      </w:r>
      <w:r>
        <w:rPr>
          <w:rFonts w:hint="eastAsia" w:eastAsia="仿宋_GB2312"/>
          <w:kern w:val="0"/>
          <w:sz w:val="32"/>
          <w:szCs w:val="32"/>
        </w:rPr>
        <w:t>为一条跑道正常运行区的宽度（米）；</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kern w:val="0"/>
          <w:sz w:val="32"/>
          <w:szCs w:val="32"/>
        </w:rPr>
      </w:pPr>
      <w:r>
        <w:rPr>
          <w:rFonts w:eastAsia="仿宋_GB2312"/>
          <w:kern w:val="0"/>
          <w:sz w:val="32"/>
          <w:szCs w:val="32"/>
        </w:rPr>
        <w:t>NOZ</w:t>
      </w:r>
      <w:r>
        <w:rPr>
          <w:rFonts w:eastAsia="仿宋_GB2312"/>
          <w:kern w:val="0"/>
          <w:sz w:val="32"/>
          <w:szCs w:val="32"/>
          <w:vertAlign w:val="subscript"/>
        </w:rPr>
        <w:t>2</w:t>
      </w:r>
      <w:r>
        <w:rPr>
          <w:rFonts w:hint="eastAsia" w:eastAsia="仿宋_GB2312"/>
          <w:kern w:val="0"/>
          <w:sz w:val="32"/>
          <w:szCs w:val="32"/>
        </w:rPr>
        <w:t>为另一条跑道正常运行区的宽度（米）。</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kern w:val="0"/>
          <w:sz w:val="32"/>
          <w:szCs w:val="32"/>
        </w:rPr>
      </w:pPr>
      <w:r>
        <w:rPr>
          <w:rFonts w:eastAsia="仿宋_GB2312"/>
          <w:kern w:val="0"/>
          <w:sz w:val="32"/>
          <w:szCs w:val="32"/>
        </w:rPr>
        <w:t>NOZ</w:t>
      </w:r>
      <w:r>
        <w:rPr>
          <w:rFonts w:eastAsia="仿宋_GB2312"/>
          <w:kern w:val="0"/>
          <w:sz w:val="32"/>
          <w:szCs w:val="32"/>
          <w:vertAlign w:val="subscript"/>
        </w:rPr>
        <w:t>1</w:t>
      </w:r>
      <w:r>
        <w:rPr>
          <w:rFonts w:hint="eastAsia" w:eastAsia="仿宋_GB2312"/>
          <w:kern w:val="0"/>
          <w:sz w:val="32"/>
          <w:szCs w:val="32"/>
        </w:rPr>
        <w:t>和</w:t>
      </w:r>
      <w:r>
        <w:rPr>
          <w:rFonts w:eastAsia="仿宋_GB2312"/>
          <w:kern w:val="0"/>
          <w:sz w:val="32"/>
          <w:szCs w:val="32"/>
        </w:rPr>
        <w:t>NOZ</w:t>
      </w:r>
      <w:r>
        <w:rPr>
          <w:rFonts w:eastAsia="仿宋_GB2312"/>
          <w:kern w:val="0"/>
          <w:sz w:val="32"/>
          <w:szCs w:val="32"/>
          <w:vertAlign w:val="subscript"/>
        </w:rPr>
        <w:t>2</w:t>
      </w:r>
      <w:r>
        <w:rPr>
          <w:rFonts w:hint="eastAsia" w:eastAsia="仿宋_GB2312"/>
          <w:kern w:val="0"/>
          <w:sz w:val="32"/>
          <w:szCs w:val="32"/>
        </w:rPr>
        <w:t>的差别是由两条跑道上不同的仪表着陆系统（</w:t>
      </w:r>
      <w:r>
        <w:rPr>
          <w:rFonts w:eastAsia="仿宋_GB2312"/>
          <w:kern w:val="0"/>
          <w:sz w:val="32"/>
          <w:szCs w:val="32"/>
        </w:rPr>
        <w:t>ILS</w:t>
      </w:r>
      <w:r>
        <w:rPr>
          <w:rFonts w:hint="eastAsia" w:eastAsia="仿宋_GB2312"/>
          <w:kern w:val="0"/>
          <w:sz w:val="32"/>
          <w:szCs w:val="32"/>
        </w:rPr>
        <w:t>）进近设备的导航精度决定的。</w:t>
      </w:r>
    </w:p>
    <w:p>
      <w:pPr>
        <w:spacing w:line="360" w:lineRule="auto"/>
        <w:ind w:firstLine="540" w:firstLineChars="225"/>
        <w:rPr>
          <w:rFonts w:eastAsia="仿宋_GB2312"/>
          <w:kern w:val="0"/>
          <w:sz w:val="24"/>
        </w:rPr>
      </w:pPr>
      <w:r>
        <w:rPr>
          <w:rFonts w:eastAsia="仿宋_GB2312"/>
          <w:kern w:val="0"/>
          <w:sz w:val="24"/>
        </w:rPr>
        <w:drawing>
          <wp:inline distT="0" distB="0" distL="114300" distR="114300">
            <wp:extent cx="5266055" cy="7431405"/>
            <wp:effectExtent l="0" t="0" r="10795" b="17145"/>
            <wp:docPr id="1" name="图片 1" descr="195941806144557091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59418061445570918565"/>
                    <pic:cNvPicPr>
                      <a:picLocks noChangeAspect="1"/>
                    </pic:cNvPicPr>
                  </pic:nvPicPr>
                  <pic:blipFill>
                    <a:blip r:embed="rId5"/>
                    <a:stretch>
                      <a:fillRect/>
                    </a:stretch>
                  </pic:blipFill>
                  <pic:spPr>
                    <a:xfrm>
                      <a:off x="0" y="0"/>
                      <a:ext cx="5266055" cy="7431405"/>
                    </a:xfrm>
                    <a:prstGeom prst="rect">
                      <a:avLst/>
                    </a:prstGeom>
                    <a:noFill/>
                    <a:ln>
                      <a:noFill/>
                    </a:ln>
                  </pic:spPr>
                </pic:pic>
              </a:graphicData>
            </a:graphic>
          </wp:inline>
        </w:drawing>
      </w:r>
    </w:p>
    <w:p>
      <w:pPr>
        <w:pStyle w:val="5"/>
        <w:pageBreakBefore w:val="0"/>
        <w:widowControl w:val="0"/>
        <w:kinsoku/>
        <w:wordWrap/>
        <w:overflowPunct/>
        <w:topLinePunct w:val="0"/>
        <w:autoSpaceDE/>
        <w:autoSpaceDN/>
        <w:bidi w:val="0"/>
        <w:adjustRightInd/>
        <w:snapToGrid/>
        <w:spacing w:before="0" w:after="0" w:line="580" w:lineRule="exact"/>
        <w:ind w:left="481" w:hanging="482" w:hangingChars="200"/>
        <w:jc w:val="both"/>
        <w:textAlignment w:val="auto"/>
        <w:rPr>
          <w:rFonts w:hint="eastAsia" w:ascii="Times New Roman" w:hAnsi="Times New Roman"/>
          <w:b w:val="0"/>
          <w:bCs w:val="0"/>
          <w:kern w:val="0"/>
          <w:lang w:val="en-US" w:eastAsia="zh-CN"/>
        </w:rPr>
      </w:pPr>
      <w:r>
        <w:rPr>
          <w:rFonts w:ascii="Times New Roman" w:hAnsi="Times New Roman" w:eastAsia="仿宋_GB2312"/>
          <w:kern w:val="0"/>
          <w:sz w:val="24"/>
        </w:rPr>
        <w:br w:type="page"/>
      </w:r>
      <w:bookmarkStart w:id="6" w:name="_Toc128900571"/>
      <w:r>
        <w:rPr>
          <w:rFonts w:hint="eastAsia" w:ascii="Times New Roman" w:hAnsi="Times New Roman"/>
          <w:b w:val="0"/>
          <w:bCs w:val="0"/>
          <w:kern w:val="0"/>
        </w:rPr>
        <w:t>附件</w:t>
      </w:r>
      <w:r>
        <w:rPr>
          <w:rFonts w:hint="eastAsia" w:ascii="Times New Roman" w:hAnsi="Times New Roman"/>
          <w:b w:val="0"/>
          <w:bCs w:val="0"/>
          <w:kern w:val="0"/>
          <w:lang w:val="en-US" w:eastAsia="zh-CN"/>
        </w:rPr>
        <w:t>3</w:t>
      </w:r>
    </w:p>
    <w:p>
      <w:pPr>
        <w:rPr>
          <w:rFonts w:hint="eastAsia"/>
        </w:rPr>
      </w:pPr>
    </w:p>
    <w:p>
      <w:pPr>
        <w:pStyle w:val="5"/>
        <w:keepNext/>
        <w:keepLines/>
        <w:pageBreakBefore w:val="0"/>
        <w:widowControl w:val="0"/>
        <w:kinsoku/>
        <w:wordWrap/>
        <w:overflowPunct/>
        <w:topLinePunct w:val="0"/>
        <w:autoSpaceDE/>
        <w:autoSpaceDN/>
        <w:bidi w:val="0"/>
        <w:adjustRightInd/>
        <w:snapToGrid/>
        <w:spacing w:before="0" w:after="0" w:line="700" w:lineRule="exact"/>
        <w:ind w:left="0" w:firstLine="0" w:firstLineChars="0"/>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平行跑道同时仪表运行航空器驾驶员</w:t>
      </w:r>
    </w:p>
    <w:p>
      <w:pPr>
        <w:pStyle w:val="5"/>
        <w:keepNext/>
        <w:keepLines/>
        <w:pageBreakBefore w:val="0"/>
        <w:widowControl w:val="0"/>
        <w:kinsoku/>
        <w:wordWrap/>
        <w:overflowPunct/>
        <w:topLinePunct w:val="0"/>
        <w:autoSpaceDE/>
        <w:autoSpaceDN/>
        <w:bidi w:val="0"/>
        <w:adjustRightInd/>
        <w:snapToGrid/>
        <w:spacing w:before="0" w:after="0" w:line="700" w:lineRule="exact"/>
        <w:ind w:left="0" w:firstLine="0" w:firstLineChars="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b w:val="0"/>
          <w:bCs w:val="0"/>
          <w:kern w:val="0"/>
          <w:sz w:val="44"/>
          <w:szCs w:val="44"/>
        </w:rPr>
        <w:t>须知要点</w:t>
      </w:r>
      <w:bookmarkEnd w:id="6"/>
    </w:p>
    <w:p>
      <w:pPr>
        <w:pStyle w:val="6"/>
        <w:pageBreakBefore w:val="0"/>
        <w:widowControl w:val="0"/>
        <w:kinsoku/>
        <w:wordWrap/>
        <w:overflowPunct/>
        <w:topLinePunct w:val="0"/>
        <w:autoSpaceDE/>
        <w:autoSpaceDN/>
        <w:bidi w:val="0"/>
        <w:adjustRightInd/>
        <w:snapToGrid/>
        <w:spacing w:before="0" w:after="0" w:line="560" w:lineRule="exact"/>
        <w:ind w:left="481" w:hanging="562" w:hangingChars="200"/>
        <w:textAlignment w:val="auto"/>
        <w:rPr>
          <w:rFonts w:hint="eastAsia"/>
          <w:kern w:val="0"/>
          <w:sz w:val="28"/>
        </w:rPr>
      </w:pPr>
      <w:bookmarkStart w:id="7" w:name="_Toc128899901"/>
      <w:bookmarkStart w:id="8" w:name="_Toc128900572"/>
    </w:p>
    <w:p>
      <w:pPr>
        <w:pStyle w:val="6"/>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一</w:t>
      </w:r>
      <w:r>
        <w:rPr>
          <w:rFonts w:hint="eastAsia" w:ascii="方正小标宋简体" w:hAnsi="方正小标宋简体" w:eastAsia="方正小标宋简体" w:cs="方正小标宋简体"/>
          <w:b w:val="0"/>
          <w:bCs w:val="0"/>
          <w:kern w:val="0"/>
          <w:sz w:val="32"/>
          <w:szCs w:val="32"/>
          <w:lang w:eastAsia="zh-CN"/>
        </w:rPr>
        <w:t>、</w:t>
      </w:r>
      <w:r>
        <w:rPr>
          <w:rFonts w:hint="eastAsia" w:ascii="方正小标宋简体" w:hAnsi="方正小标宋简体" w:eastAsia="方正小标宋简体" w:cs="方正小标宋简体"/>
          <w:b w:val="0"/>
          <w:bCs w:val="0"/>
          <w:kern w:val="0"/>
          <w:sz w:val="32"/>
          <w:szCs w:val="32"/>
        </w:rPr>
        <w:t>概  述</w:t>
      </w:r>
      <w:bookmarkEnd w:id="7"/>
      <w:bookmarkEnd w:id="8"/>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第一节 平行跑道的运行模式</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（一）平行跑道的仪表运行模式分为独立平行仪表进近、相关平行仪表进近、独立平行离场、隔离平行运行等四种。</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（二）在平行跑道上同时实施平行仪表进近，应当按照下列运行模式之一进行：</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1</w:t>
      </w:r>
      <w:r>
        <w:rPr>
          <w:rFonts w:hint="eastAsia" w:eastAsia="仿宋_GB2312"/>
          <w:b w:val="0"/>
          <w:bCs w:val="0"/>
          <w:kern w:val="0"/>
          <w:sz w:val="32"/>
          <w:szCs w:val="32"/>
          <w:lang w:val="en-US" w:eastAsia="zh-CN"/>
        </w:rPr>
        <w:t>.</w:t>
      </w:r>
      <w:r>
        <w:rPr>
          <w:rFonts w:hint="eastAsia" w:eastAsia="仿宋_GB2312"/>
          <w:b w:val="0"/>
          <w:bCs w:val="0"/>
          <w:kern w:val="0"/>
          <w:sz w:val="32"/>
          <w:szCs w:val="32"/>
        </w:rPr>
        <w:t xml:space="preserve">独立平行仪表进近模式，即在相邻的平行跑道仪表着陆系统上进近的航空器之间不需要配备规定的雷达间隔时，在平行的跑道上同时进行的仪表着陆系统进近的运行模式； </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2</w:t>
      </w:r>
      <w:r>
        <w:rPr>
          <w:rFonts w:hint="eastAsia" w:eastAsia="仿宋_GB2312"/>
          <w:b w:val="0"/>
          <w:bCs w:val="0"/>
          <w:kern w:val="0"/>
          <w:sz w:val="32"/>
          <w:szCs w:val="32"/>
          <w:lang w:val="en-US" w:eastAsia="zh-CN"/>
        </w:rPr>
        <w:t>.</w:t>
      </w:r>
      <w:r>
        <w:rPr>
          <w:rFonts w:hint="eastAsia" w:eastAsia="仿宋_GB2312"/>
          <w:b w:val="0"/>
          <w:bCs w:val="0"/>
          <w:kern w:val="0"/>
          <w:sz w:val="32"/>
          <w:szCs w:val="32"/>
        </w:rPr>
        <w:t>相关平行仪表进近模式，即在相邻的平行跑道仪表着陆系统上进近的航空器之间需要配备规定的雷达间隔时，在平行的跑道上同时进行的仪表着陆系统进近的运行模式。</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三）独立平行离场模式，是指离场航空器在平行跑道上沿相同方向同时起飞的运行模式。但是，当两条平行跑道的间距小于760米，航空器可能受尾流影响时，平行跑道离场航空器的放行间隔应当按照为一条跑道规定的放行间隔执行。</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（四）隔离平行运行模式，是指在平行的跑道上同时进行的运行，其中一条跑道只用于起飞，另一条跑道只用于进近。</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 xml:space="preserve">（五）平行跑道的同时运行，按照跑道分别用于进近和离场的使用方式可分为半混合运行和混合运行： </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半混合运行是指下列运行方式之一：</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1</w:t>
      </w:r>
      <w:r>
        <w:rPr>
          <w:rFonts w:hint="eastAsia" w:eastAsia="仿宋_GB2312"/>
          <w:b w:val="0"/>
          <w:bCs w:val="0"/>
          <w:kern w:val="0"/>
          <w:sz w:val="32"/>
          <w:szCs w:val="32"/>
          <w:lang w:val="en-US" w:eastAsia="zh-CN"/>
        </w:rPr>
        <w:t>.</w:t>
      </w:r>
      <w:r>
        <w:rPr>
          <w:rFonts w:hint="eastAsia" w:eastAsia="仿宋_GB2312"/>
          <w:b w:val="0"/>
          <w:bCs w:val="0"/>
          <w:kern w:val="0"/>
          <w:sz w:val="32"/>
          <w:szCs w:val="32"/>
        </w:rPr>
        <w:t>一条跑道只用于进近，另一条跑道按照独立平行仪表进近模式或者相关平行仪表进近模式用于进近，或者按照隔离平行运行模式用于离场；</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2</w:t>
      </w:r>
      <w:r>
        <w:rPr>
          <w:rFonts w:hint="eastAsia" w:eastAsia="仿宋_GB2312"/>
          <w:b w:val="0"/>
          <w:bCs w:val="0"/>
          <w:kern w:val="0"/>
          <w:sz w:val="32"/>
          <w:szCs w:val="32"/>
          <w:lang w:val="en-US" w:eastAsia="zh-CN"/>
        </w:rPr>
        <w:t>.</w:t>
      </w:r>
      <w:r>
        <w:rPr>
          <w:rFonts w:hint="eastAsia" w:eastAsia="仿宋_GB2312"/>
          <w:b w:val="0"/>
          <w:bCs w:val="0"/>
          <w:kern w:val="0"/>
          <w:sz w:val="32"/>
          <w:szCs w:val="32"/>
        </w:rPr>
        <w:t>一条跑道只用于起飞， 另一条跑道按照隔离平行运行模式用于进近，或者按照独立平行离场模式用于离场。</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混合运行是指两条平行跑道可以同时用于进近和离场。</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第二节 定  义</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（一）正常运行区（</w:t>
      </w:r>
      <w:r>
        <w:rPr>
          <w:rFonts w:eastAsia="仿宋_GB2312"/>
          <w:b w:val="0"/>
          <w:bCs w:val="0"/>
          <w:kern w:val="0"/>
          <w:sz w:val="32"/>
          <w:szCs w:val="32"/>
        </w:rPr>
        <w:t>Normal Operating Zone</w:t>
      </w:r>
      <w:r>
        <w:rPr>
          <w:rFonts w:hint="eastAsia" w:eastAsia="仿宋_GB2312"/>
          <w:b w:val="0"/>
          <w:bCs w:val="0"/>
          <w:kern w:val="0"/>
          <w:sz w:val="32"/>
          <w:szCs w:val="32"/>
        </w:rPr>
        <w:t>）是指从仪表着陆系统（</w:t>
      </w:r>
      <w:r>
        <w:rPr>
          <w:rFonts w:eastAsia="仿宋_GB2312"/>
          <w:b w:val="0"/>
          <w:bCs w:val="0"/>
          <w:kern w:val="0"/>
          <w:sz w:val="32"/>
          <w:szCs w:val="32"/>
        </w:rPr>
        <w:t>ILS</w:t>
      </w:r>
      <w:r>
        <w:rPr>
          <w:rFonts w:hint="eastAsia" w:eastAsia="仿宋_GB2312"/>
          <w:b w:val="0"/>
          <w:bCs w:val="0"/>
          <w:kern w:val="0"/>
          <w:sz w:val="32"/>
          <w:szCs w:val="32"/>
        </w:rPr>
        <w:t>）航向道中心线向两侧延伸至指定范围内的空域。</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（二）非侵入区（</w:t>
      </w:r>
      <w:r>
        <w:rPr>
          <w:rFonts w:eastAsia="仿宋_GB2312"/>
          <w:b w:val="0"/>
          <w:bCs w:val="0"/>
          <w:kern w:val="0"/>
          <w:sz w:val="32"/>
          <w:szCs w:val="32"/>
        </w:rPr>
        <w:t>No-transgression Zone</w:t>
      </w:r>
      <w:r>
        <w:rPr>
          <w:rFonts w:hint="eastAsia" w:eastAsia="仿宋_GB2312"/>
          <w:b w:val="0"/>
          <w:bCs w:val="0"/>
          <w:kern w:val="0"/>
          <w:sz w:val="32"/>
          <w:szCs w:val="32"/>
        </w:rPr>
        <w:t>）是指位于两条跑道中心线延长线之间特定的空域。在进行平行跑道同时进近的过程中，当一架航空器进入该空域时，管制员应当指挥另一架受影响的正常飞行的航空器进行避让。</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9" w:name="_Toc128899902"/>
      <w:bookmarkStart w:id="10" w:name="_Toc128900573"/>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二</w:t>
      </w:r>
      <w:r>
        <w:rPr>
          <w:rFonts w:hint="eastAsia" w:ascii="方正小标宋简体" w:hAnsi="方正小标宋简体" w:eastAsia="方正小标宋简体" w:cs="方正小标宋简体"/>
          <w:b w:val="0"/>
          <w:bCs w:val="0"/>
          <w:kern w:val="0"/>
          <w:sz w:val="32"/>
          <w:szCs w:val="32"/>
          <w:lang w:eastAsia="zh-CN"/>
        </w:rPr>
        <w:t>、</w:t>
      </w:r>
      <w:r>
        <w:rPr>
          <w:rFonts w:hint="eastAsia" w:ascii="方正小标宋简体" w:hAnsi="方正小标宋简体" w:eastAsia="方正小标宋简体" w:cs="方正小标宋简体"/>
          <w:b w:val="0"/>
          <w:bCs w:val="0"/>
          <w:kern w:val="0"/>
          <w:sz w:val="32"/>
          <w:szCs w:val="32"/>
        </w:rPr>
        <w:t>设备要求</w:t>
      </w:r>
      <w:bookmarkEnd w:id="9"/>
      <w:bookmarkEnd w:id="10"/>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航空器机载电子设备要求：实施平行跑道同时仪表运行的航空器应当具有仪表飞行规则（IFR）以及按照仪表着陆系统实施进近所需的机载电子设备。</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11" w:name="_Toc128899903"/>
      <w:bookmarkStart w:id="12" w:name="_Toc128900574"/>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三</w:t>
      </w:r>
      <w:r>
        <w:rPr>
          <w:rFonts w:hint="eastAsia" w:ascii="方正小标宋简体" w:hAnsi="方正小标宋简体" w:eastAsia="方正小标宋简体" w:cs="方正小标宋简体"/>
          <w:b w:val="0"/>
          <w:bCs w:val="0"/>
          <w:kern w:val="0"/>
          <w:sz w:val="32"/>
          <w:szCs w:val="32"/>
          <w:lang w:eastAsia="zh-CN"/>
        </w:rPr>
        <w:t>、</w:t>
      </w:r>
      <w:r>
        <w:rPr>
          <w:rFonts w:hint="eastAsia" w:ascii="方正小标宋简体" w:hAnsi="方正小标宋简体" w:eastAsia="方正小标宋简体" w:cs="方正小标宋简体"/>
          <w:b w:val="0"/>
          <w:bCs w:val="0"/>
          <w:kern w:val="0"/>
          <w:sz w:val="32"/>
          <w:szCs w:val="32"/>
        </w:rPr>
        <w:t>保障设施及服务</w:t>
      </w:r>
      <w:bookmarkEnd w:id="11"/>
      <w:bookmarkEnd w:id="12"/>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实施独立平行仪表进近和相关平行仪表进近时，应当提供下列所需的设施及服务：</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（一</w:t>
      </w:r>
      <w:r>
        <w:rPr>
          <w:rFonts w:hint="eastAsia" w:eastAsia="仿宋_GB2312"/>
          <w:b w:val="0"/>
          <w:bCs w:val="0"/>
          <w:kern w:val="0"/>
          <w:sz w:val="32"/>
          <w:szCs w:val="32"/>
          <w:lang w:eastAsia="zh-CN"/>
        </w:rPr>
        <w:t>）</w:t>
      </w:r>
      <w:r>
        <w:rPr>
          <w:rFonts w:hint="eastAsia" w:eastAsia="仿宋_GB2312"/>
          <w:b w:val="0"/>
          <w:bCs w:val="0"/>
          <w:kern w:val="0"/>
          <w:sz w:val="32"/>
          <w:szCs w:val="32"/>
        </w:rPr>
        <w:t>每条跑道都有仪表着陆系统；</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（二</w:t>
      </w:r>
      <w:r>
        <w:rPr>
          <w:rFonts w:hint="eastAsia" w:eastAsia="仿宋_GB2312"/>
          <w:b w:val="0"/>
          <w:bCs w:val="0"/>
          <w:kern w:val="0"/>
          <w:sz w:val="32"/>
          <w:szCs w:val="32"/>
          <w:lang w:eastAsia="zh-CN"/>
        </w:rPr>
        <w:t>）</w:t>
      </w:r>
      <w:r>
        <w:rPr>
          <w:rFonts w:hint="eastAsia" w:eastAsia="仿宋_GB2312"/>
          <w:b w:val="0"/>
          <w:bCs w:val="0"/>
          <w:kern w:val="0"/>
          <w:sz w:val="32"/>
          <w:szCs w:val="32"/>
        </w:rPr>
        <w:t>相关的情报服务；</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（三</w:t>
      </w:r>
      <w:r>
        <w:rPr>
          <w:rFonts w:hint="eastAsia" w:eastAsia="仿宋_GB2312"/>
          <w:b w:val="0"/>
          <w:bCs w:val="0"/>
          <w:kern w:val="0"/>
          <w:sz w:val="32"/>
          <w:szCs w:val="32"/>
          <w:lang w:eastAsia="zh-CN"/>
        </w:rPr>
        <w:t>）</w:t>
      </w:r>
      <w:r>
        <w:rPr>
          <w:rFonts w:hint="eastAsia" w:eastAsia="仿宋_GB2312"/>
          <w:b w:val="0"/>
          <w:bCs w:val="0"/>
          <w:kern w:val="0"/>
          <w:sz w:val="32"/>
          <w:szCs w:val="32"/>
        </w:rPr>
        <w:t>具有平行进近程序操作注释的航行资料；</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（四</w:t>
      </w:r>
      <w:r>
        <w:rPr>
          <w:rFonts w:hint="eastAsia" w:eastAsia="仿宋_GB2312"/>
          <w:b w:val="0"/>
          <w:bCs w:val="0"/>
          <w:kern w:val="0"/>
          <w:sz w:val="32"/>
          <w:szCs w:val="32"/>
          <w:lang w:eastAsia="zh-CN"/>
        </w:rPr>
        <w:t>）</w:t>
      </w:r>
      <w:r>
        <w:rPr>
          <w:rFonts w:hint="eastAsia" w:eastAsia="仿宋_GB2312"/>
          <w:b w:val="0"/>
          <w:bCs w:val="0"/>
          <w:kern w:val="0"/>
          <w:sz w:val="32"/>
          <w:szCs w:val="32"/>
        </w:rPr>
        <w:t>相关的仪表飞行程序；</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（五</w:t>
      </w:r>
      <w:r>
        <w:rPr>
          <w:rFonts w:hint="eastAsia" w:eastAsia="仿宋_GB2312"/>
          <w:b w:val="0"/>
          <w:bCs w:val="0"/>
          <w:kern w:val="0"/>
          <w:sz w:val="32"/>
          <w:szCs w:val="32"/>
          <w:lang w:eastAsia="zh-CN"/>
        </w:rPr>
        <w:t>）</w:t>
      </w:r>
      <w:r>
        <w:rPr>
          <w:rFonts w:hint="eastAsia" w:eastAsia="仿宋_GB2312"/>
          <w:b w:val="0"/>
          <w:bCs w:val="0"/>
          <w:kern w:val="0"/>
          <w:sz w:val="32"/>
          <w:szCs w:val="32"/>
        </w:rPr>
        <w:t>雷达引导至航向道；</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（六</w:t>
      </w:r>
      <w:r>
        <w:rPr>
          <w:rFonts w:hint="eastAsia" w:eastAsia="仿宋_GB2312"/>
          <w:b w:val="0"/>
          <w:bCs w:val="0"/>
          <w:kern w:val="0"/>
          <w:sz w:val="32"/>
          <w:szCs w:val="32"/>
          <w:lang w:eastAsia="zh-CN"/>
        </w:rPr>
        <w:t>）</w:t>
      </w:r>
      <w:r>
        <w:rPr>
          <w:rFonts w:hint="eastAsia" w:eastAsia="仿宋_GB2312"/>
          <w:b w:val="0"/>
          <w:bCs w:val="0"/>
          <w:kern w:val="0"/>
          <w:sz w:val="32"/>
          <w:szCs w:val="32"/>
        </w:rPr>
        <w:t>独立平行仪表进近时，有管制员监控航空器在平行进近时的航迹；</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（七</w:t>
      </w:r>
      <w:r>
        <w:rPr>
          <w:rFonts w:hint="eastAsia" w:eastAsia="仿宋_GB2312"/>
          <w:b w:val="0"/>
          <w:bCs w:val="0"/>
          <w:kern w:val="0"/>
          <w:sz w:val="32"/>
          <w:szCs w:val="32"/>
          <w:lang w:eastAsia="zh-CN"/>
        </w:rPr>
        <w:t>）</w:t>
      </w:r>
      <w:r>
        <w:rPr>
          <w:rFonts w:hint="eastAsia" w:eastAsia="仿宋_GB2312"/>
          <w:b w:val="0"/>
          <w:bCs w:val="0"/>
          <w:kern w:val="0"/>
          <w:sz w:val="32"/>
          <w:szCs w:val="32"/>
        </w:rPr>
        <w:t>监视每条跑道进近的管制员，都具有能对相应的机场管制频率的超控能力。</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13" w:name="_Toc128900575"/>
      <w:bookmarkStart w:id="14" w:name="_Toc128899904"/>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四</w:t>
      </w:r>
      <w:r>
        <w:rPr>
          <w:rFonts w:hint="eastAsia" w:ascii="方正小标宋简体" w:hAnsi="方正小标宋简体" w:eastAsia="方正小标宋简体" w:cs="方正小标宋简体"/>
          <w:b w:val="0"/>
          <w:bCs w:val="0"/>
          <w:kern w:val="0"/>
          <w:sz w:val="32"/>
          <w:szCs w:val="32"/>
          <w:lang w:eastAsia="zh-CN"/>
        </w:rPr>
        <w:t>、</w:t>
      </w:r>
      <w:r>
        <w:rPr>
          <w:rFonts w:hint="eastAsia" w:ascii="方正小标宋简体" w:hAnsi="方正小标宋简体" w:eastAsia="方正小标宋简体" w:cs="方正小标宋简体"/>
          <w:b w:val="0"/>
          <w:bCs w:val="0"/>
          <w:kern w:val="0"/>
          <w:sz w:val="32"/>
          <w:szCs w:val="32"/>
        </w:rPr>
        <w:t>雷达引导至航向道</w:t>
      </w:r>
      <w:bookmarkEnd w:id="13"/>
      <w:bookmarkEnd w:id="14"/>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实施平行跑道独立进近时，应当满足下列条件：</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（一）按照空中交通管制程序，使用雷达引导进场航空器到一条平行跑道的航向道。当允许</w:t>
      </w:r>
      <w:r>
        <w:rPr>
          <w:rFonts w:eastAsia="仿宋_GB2312"/>
          <w:b w:val="0"/>
          <w:bCs w:val="0"/>
          <w:kern w:val="0"/>
          <w:sz w:val="32"/>
          <w:szCs w:val="32"/>
        </w:rPr>
        <w:t>ILS</w:t>
      </w:r>
      <w:r>
        <w:rPr>
          <w:rFonts w:hint="eastAsia" w:eastAsia="仿宋_GB2312"/>
          <w:b w:val="0"/>
          <w:bCs w:val="0"/>
          <w:kern w:val="0"/>
          <w:sz w:val="32"/>
          <w:szCs w:val="32"/>
        </w:rPr>
        <w:t>进近时，不能进行程序转弯。</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二）管制员引导航空器实施平行跑道同时仪表进近时使用“高边”和“低边”进行引导，以保证航空器在建立各自的航向道之前具有符合规定的垂直间隔。为了保证引导“高边”和“低边”航空器在建立各自的航向道之前有</w:t>
      </w:r>
      <w:r>
        <w:rPr>
          <w:rFonts w:eastAsia="仿宋_GB2312"/>
          <w:b w:val="0"/>
          <w:bCs w:val="0"/>
          <w:kern w:val="0"/>
          <w:sz w:val="32"/>
          <w:szCs w:val="32"/>
        </w:rPr>
        <w:t>300</w:t>
      </w:r>
      <w:r>
        <w:rPr>
          <w:rFonts w:hint="eastAsia" w:eastAsia="仿宋_GB2312"/>
          <w:b w:val="0"/>
          <w:bCs w:val="0"/>
          <w:kern w:val="0"/>
          <w:sz w:val="32"/>
          <w:szCs w:val="32"/>
        </w:rPr>
        <w:t>米的高度差，应当引导“低边”航空器在距下滑道切入点较远的距离建立航向道。在距离跑道入口至少18千米之前，“高边”航空器的高度应当比“低边”航空器的高度高300米。</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（三）航空器之间的垂直间隔小于</w:t>
      </w:r>
      <w:r>
        <w:rPr>
          <w:rFonts w:eastAsia="仿宋_GB2312"/>
          <w:b w:val="0"/>
          <w:bCs w:val="0"/>
          <w:kern w:val="0"/>
          <w:sz w:val="32"/>
          <w:szCs w:val="32"/>
        </w:rPr>
        <w:t>300</w:t>
      </w:r>
      <w:r>
        <w:rPr>
          <w:rFonts w:hint="eastAsia" w:eastAsia="仿宋_GB2312"/>
          <w:b w:val="0"/>
          <w:bCs w:val="0"/>
          <w:kern w:val="0"/>
          <w:sz w:val="32"/>
          <w:szCs w:val="32"/>
        </w:rPr>
        <w:t>米之前应当建立在各自的航向道上。</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（四）如果航空器转入五边切过航向道时，航空器驾驶员会收到立即回到正确航道的管制指令。</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（五）当航空器之间最小垂直间隔小于</w:t>
      </w:r>
      <w:r>
        <w:rPr>
          <w:rFonts w:eastAsia="仿宋_GB2312"/>
          <w:b w:val="0"/>
          <w:bCs w:val="0"/>
          <w:kern w:val="0"/>
          <w:sz w:val="32"/>
          <w:szCs w:val="32"/>
        </w:rPr>
        <w:t>300</w:t>
      </w:r>
      <w:r>
        <w:rPr>
          <w:rFonts w:hint="eastAsia" w:eastAsia="仿宋_GB2312"/>
          <w:b w:val="0"/>
          <w:bCs w:val="0"/>
          <w:kern w:val="0"/>
          <w:sz w:val="32"/>
          <w:szCs w:val="32"/>
        </w:rPr>
        <w:t>米，航空器明显偏离航向道时，监控进近的管制员会发出适当的管制指令。如果航空器不能采取相应的措施而进入了非侵入区，相邻航向道上受影响的航空器将会收到相应的避让管制指令。</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（六）必要时，管制员将发布复飞指令。</w:t>
      </w:r>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bookmarkStart w:id="15" w:name="_Toc128900576"/>
      <w:bookmarkStart w:id="16" w:name="_Toc128899905"/>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五</w:t>
      </w:r>
      <w:r>
        <w:rPr>
          <w:rFonts w:hint="eastAsia" w:ascii="方正小标宋简体" w:hAnsi="方正小标宋简体" w:eastAsia="方正小标宋简体" w:cs="方正小标宋简体"/>
          <w:b w:val="0"/>
          <w:bCs w:val="0"/>
          <w:kern w:val="0"/>
          <w:sz w:val="32"/>
          <w:szCs w:val="32"/>
          <w:lang w:eastAsia="zh-CN"/>
        </w:rPr>
        <w:t>、</w:t>
      </w:r>
      <w:r>
        <w:rPr>
          <w:rFonts w:hint="eastAsia" w:ascii="方正小标宋简体" w:hAnsi="方正小标宋简体" w:eastAsia="方正小标宋简体" w:cs="方正小标宋简体"/>
          <w:b w:val="0"/>
          <w:bCs w:val="0"/>
          <w:kern w:val="0"/>
          <w:sz w:val="32"/>
          <w:szCs w:val="32"/>
        </w:rPr>
        <w:t>雷达监控的终止</w:t>
      </w:r>
      <w:bookmarkEnd w:id="15"/>
      <w:bookmarkEnd w:id="16"/>
    </w:p>
    <w:p>
      <w:pPr>
        <w:pStyle w:val="6"/>
        <w:keepNext/>
        <w:keepLines/>
        <w:pageBreakBefore w:val="0"/>
        <w:widowControl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eastAsia" w:ascii="方正小标宋简体" w:hAnsi="方正小标宋简体" w:eastAsia="方正小标宋简体" w:cs="方正小标宋简体"/>
          <w:b w:val="0"/>
          <w:bCs w:val="0"/>
          <w:kern w:val="0"/>
          <w:sz w:val="32"/>
          <w:szCs w:val="32"/>
        </w:rPr>
      </w:pP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eastAsia="仿宋_GB2312"/>
          <w:b w:val="0"/>
          <w:bCs w:val="0"/>
          <w:kern w:val="0"/>
          <w:sz w:val="32"/>
          <w:szCs w:val="32"/>
        </w:rPr>
      </w:pPr>
      <w:r>
        <w:rPr>
          <w:rFonts w:hint="eastAsia" w:eastAsia="仿宋_GB2312"/>
          <w:b w:val="0"/>
          <w:bCs w:val="0"/>
          <w:kern w:val="0"/>
          <w:sz w:val="32"/>
          <w:szCs w:val="32"/>
        </w:rPr>
        <w:t>航空器实施平行跑道独立仪表进近时，管制员应当对其持续实施雷达监控，直到出现下列情况之一方可终止雷达监控：</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（一）航空器之间已经建立了目视间隔，且管制单位已经按照《民用航空空中交通管理规则》制定相关的程序，保证雷达管制员能够随时掌握使用目视间隔的情况；</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（二）航空器已经着陆；</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（三）航空器复飞至距离跑道起飞末端至少2千米并且与其他任何航空器之间已经建立安全间隔。</w:t>
      </w:r>
    </w:p>
    <w:p>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b w:val="0"/>
          <w:bCs w:val="0"/>
          <w:kern w:val="0"/>
          <w:sz w:val="32"/>
          <w:szCs w:val="32"/>
        </w:rPr>
      </w:pPr>
      <w:r>
        <w:rPr>
          <w:rFonts w:hint="eastAsia" w:eastAsia="仿宋_GB2312"/>
          <w:b w:val="0"/>
          <w:bCs w:val="0"/>
          <w:kern w:val="0"/>
          <w:sz w:val="32"/>
          <w:szCs w:val="32"/>
        </w:rPr>
        <w:t>通常情况下，管制员无须通知航空器雷达监控已经终止。</w:t>
      </w:r>
    </w:p>
    <w:p>
      <w:r>
        <w:rPr>
          <w:rFonts w:hint="eastAsia" w:eastAsia="仿宋_GB2312"/>
          <w:b w:val="0"/>
          <w:bCs w:val="0"/>
          <w:kern w:val="0"/>
          <w:sz w:val="32"/>
          <w:szCs w:val="32"/>
        </w:rPr>
        <w:t>附：正常运行区（</w:t>
      </w:r>
      <w:r>
        <w:rPr>
          <w:rFonts w:eastAsia="仿宋_GB2312"/>
          <w:b w:val="0"/>
          <w:bCs w:val="0"/>
          <w:kern w:val="0"/>
          <w:sz w:val="32"/>
          <w:szCs w:val="32"/>
        </w:rPr>
        <w:t>NOZ</w:t>
      </w:r>
      <w:r>
        <w:rPr>
          <w:rFonts w:hint="eastAsia" w:eastAsia="仿宋_GB2312"/>
          <w:b w:val="0"/>
          <w:bCs w:val="0"/>
          <w:kern w:val="0"/>
          <w:sz w:val="32"/>
          <w:szCs w:val="32"/>
        </w:rPr>
        <w:t>）和非侵入区（</w:t>
      </w:r>
      <w:r>
        <w:rPr>
          <w:rFonts w:eastAsia="仿宋_GB2312"/>
          <w:b w:val="0"/>
          <w:bCs w:val="0"/>
          <w:kern w:val="0"/>
          <w:sz w:val="32"/>
          <w:szCs w:val="32"/>
        </w:rPr>
        <w:t>NTZ</w:t>
      </w:r>
      <w:r>
        <w:rPr>
          <w:rFonts w:hint="eastAsia" w:eastAsia="仿宋_GB2312"/>
          <w:b w:val="0"/>
          <w:bCs w:val="0"/>
          <w:kern w:val="0"/>
          <w:sz w:val="32"/>
          <w:szCs w:val="32"/>
        </w:rPr>
        <w:t>）的示意图（见本规定附件</w:t>
      </w:r>
      <w:r>
        <w:rPr>
          <w:rFonts w:hint="eastAsia" w:eastAsia="仿宋_GB2312"/>
          <w:b w:val="0"/>
          <w:bCs w:val="0"/>
          <w:kern w:val="0"/>
          <w:sz w:val="32"/>
          <w:szCs w:val="32"/>
          <w:lang w:val="en-US" w:eastAsia="zh-CN"/>
        </w:rPr>
        <w:t>2</w:t>
      </w:r>
      <w:r>
        <w:rPr>
          <w:rFonts w:hint="eastAsia" w:eastAsia="仿宋_GB2312"/>
          <w:b w:val="0"/>
          <w:bCs w:val="0"/>
          <w:kern w:val="0"/>
          <w:sz w:val="32"/>
          <w:szCs w:val="32"/>
        </w:rPr>
        <w:t>附图）</w:t>
      </w:r>
      <w:r>
        <w:rPr>
          <w:rFonts w:hint="eastAsia" w:eastAsia="仿宋_GB2312"/>
          <w:kern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MDgzMmRjOWIzYzgwODFiZDc2ZWU0M2Q3ODM2NDUifQ=="/>
  </w:docVars>
  <w:rsids>
    <w:rsidRoot w:val="64481822"/>
    <w:rsid w:val="6448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widowControl w:val="0"/>
      <w:spacing w:after="120" w:afterLines="0" w:line="760" w:lineRule="exact"/>
      <w:ind w:firstLine="200" w:firstLineChars="200"/>
      <w:jc w:val="both"/>
    </w:pPr>
    <w:rPr>
      <w:rFonts w:ascii="Times New Roman" w:hAnsi="Times New Roman" w:eastAsia="仿宋_GB2312" w:cs="Times New Roman"/>
      <w:kern w:val="2"/>
      <w:sz w:val="36"/>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2941</Words>
  <Characters>3092</Characters>
  <Lines>0</Lines>
  <Paragraphs>0</Paragraphs>
  <TotalTime>1</TotalTime>
  <ScaleCrop>false</ScaleCrop>
  <LinksUpToDate>false</LinksUpToDate>
  <CharactersWithSpaces>3112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2023-04-10T08:24:00Z</dcterms:created>
  <dc:creator>张蕊</dc:creator>
  <cp:lastModifiedBy>张蕊</cp:lastModifiedBy>
  <dcterms:modified xsi:type="dcterms:W3CDTF">2023-04-10T08:27:00Z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9AED56B83F3A4B8DA6AFC0FC858426AA_11</vt:lpwstr>
  </property>
</Properties>
</file>