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99DB" w14:textId="77777777" w:rsidR="00014C8C"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2022年以来涉交通运输业国家主要财税金融</w:t>
      </w:r>
    </w:p>
    <w:p w14:paraId="3030341C" w14:textId="77777777" w:rsidR="00014C8C" w:rsidRDefault="00000000">
      <w:pPr>
        <w:adjustRightInd w:val="0"/>
        <w:snapToGrid w:val="0"/>
        <w:spacing w:beforeLines="50" w:before="156" w:afterLines="50" w:after="156" w:line="360" w:lineRule="auto"/>
        <w:jc w:val="center"/>
        <w:outlineLvl w:val="0"/>
        <w:rPr>
          <w:rFonts w:ascii="方正小标宋_GBK" w:eastAsia="方正小标宋_GBK" w:hAnsi="方正小标宋_GBK" w:cs="方正小标宋_GBK" w:hint="eastAsia"/>
          <w:bCs/>
          <w:color w:val="000000"/>
          <w:sz w:val="36"/>
          <w:szCs w:val="44"/>
        </w:rPr>
      </w:pPr>
      <w:r>
        <w:rPr>
          <w:rFonts w:ascii="方正小标宋_GBK" w:eastAsia="方正小标宋_GBK" w:hAnsi="方正小标宋_GBK" w:cs="方正小标宋_GBK" w:hint="eastAsia"/>
          <w:bCs/>
          <w:color w:val="000000"/>
          <w:sz w:val="36"/>
          <w:szCs w:val="44"/>
        </w:rPr>
        <w:t>优惠政策目录清单</w:t>
      </w:r>
    </w:p>
    <w:p w14:paraId="444BEFF0" w14:textId="77777777" w:rsidR="00014C8C" w:rsidRDefault="00000000">
      <w:pPr>
        <w:adjustRightInd w:val="0"/>
        <w:snapToGrid w:val="0"/>
        <w:spacing w:beforeLines="50" w:before="156" w:afterLines="50" w:after="156" w:line="360" w:lineRule="auto"/>
        <w:jc w:val="center"/>
        <w:outlineLvl w:val="0"/>
        <w:rPr>
          <w:rFonts w:ascii="黑体" w:eastAsia="黑体" w:hAnsi="黑体" w:cs="方正小标宋_GBK" w:hint="eastAsia"/>
          <w:bCs/>
          <w:color w:val="000000"/>
          <w:sz w:val="30"/>
          <w:szCs w:val="44"/>
        </w:rPr>
      </w:pPr>
      <w:r>
        <w:rPr>
          <w:rFonts w:ascii="方正小标宋_GBK" w:eastAsia="方正小标宋_GBK" w:hAnsi="方正小标宋_GBK" w:cs="方正小标宋_GBK" w:hint="eastAsia"/>
          <w:bCs/>
          <w:color w:val="000000"/>
          <w:sz w:val="36"/>
          <w:szCs w:val="44"/>
        </w:rPr>
        <w:t>（1）</w:t>
      </w:r>
    </w:p>
    <w:p w14:paraId="304094E4" w14:textId="77777777" w:rsidR="00014C8C" w:rsidRDefault="00000000">
      <w:pPr>
        <w:spacing w:line="240" w:lineRule="auto"/>
        <w:rPr>
          <w:rFonts w:ascii="黑体" w:eastAsia="黑体" w:hAnsi="黑体" w:cs="方正小标宋_GBK" w:hint="eastAsia"/>
          <w:bCs/>
          <w:color w:val="000000"/>
          <w:sz w:val="30"/>
          <w:szCs w:val="44"/>
          <w:highlight w:val="yellow"/>
        </w:rPr>
      </w:pPr>
      <w:r>
        <w:rPr>
          <w:rFonts w:ascii="黑体" w:eastAsia="黑体" w:hAnsi="黑体" w:cs="方正小标宋_GBK" w:hint="eastAsia"/>
          <w:bCs/>
          <w:color w:val="000000"/>
          <w:sz w:val="30"/>
          <w:szCs w:val="44"/>
        </w:rPr>
        <w:t>财务审计司编发                      截至2</w:t>
      </w:r>
      <w:r>
        <w:rPr>
          <w:rFonts w:ascii="黑体" w:eastAsia="黑体" w:hAnsi="黑体" w:cs="方正小标宋_GBK"/>
          <w:bCs/>
          <w:color w:val="000000"/>
          <w:sz w:val="30"/>
          <w:szCs w:val="44"/>
        </w:rPr>
        <w:t>022</w:t>
      </w:r>
      <w:r>
        <w:rPr>
          <w:rFonts w:ascii="黑体" w:eastAsia="黑体" w:hAnsi="黑体" w:cs="方正小标宋_GBK" w:hint="eastAsia"/>
          <w:bCs/>
          <w:color w:val="000000"/>
          <w:sz w:val="30"/>
          <w:szCs w:val="44"/>
        </w:rPr>
        <w:t>年</w:t>
      </w:r>
      <w:r>
        <w:rPr>
          <w:rFonts w:ascii="黑体" w:eastAsia="黑体" w:hAnsi="黑体" w:cs="方正小标宋_GBK"/>
          <w:bCs/>
          <w:color w:val="000000"/>
          <w:sz w:val="30"/>
          <w:szCs w:val="44"/>
        </w:rPr>
        <w:t>3</w:t>
      </w:r>
      <w:r>
        <w:rPr>
          <w:rFonts w:ascii="黑体" w:eastAsia="黑体" w:hAnsi="黑体" w:cs="方正小标宋_GBK" w:hint="eastAsia"/>
          <w:bCs/>
          <w:color w:val="000000"/>
          <w:sz w:val="30"/>
          <w:szCs w:val="44"/>
        </w:rPr>
        <w:t>月25日</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624"/>
        <w:gridCol w:w="6308"/>
      </w:tblGrid>
      <w:tr w:rsidR="00014C8C" w14:paraId="788F1906" w14:textId="77777777">
        <w:trPr>
          <w:cantSplit/>
          <w:trHeight w:val="983"/>
          <w:tblHeader/>
          <w:jc w:val="center"/>
        </w:trPr>
        <w:tc>
          <w:tcPr>
            <w:tcW w:w="824" w:type="dxa"/>
            <w:vAlign w:val="center"/>
          </w:tcPr>
          <w:p w14:paraId="389CCC57"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序号</w:t>
            </w:r>
          </w:p>
        </w:tc>
        <w:tc>
          <w:tcPr>
            <w:tcW w:w="1624" w:type="dxa"/>
            <w:vAlign w:val="center"/>
          </w:tcPr>
          <w:p w14:paraId="7257F374"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政策文件</w:t>
            </w:r>
          </w:p>
        </w:tc>
        <w:tc>
          <w:tcPr>
            <w:tcW w:w="6308" w:type="dxa"/>
            <w:vAlign w:val="center"/>
          </w:tcPr>
          <w:p w14:paraId="33239EC7"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
                <w:color w:val="000000"/>
                <w:szCs w:val="21"/>
              </w:rPr>
              <w:t>财税金融优惠政策主要内容</w:t>
            </w:r>
          </w:p>
        </w:tc>
      </w:tr>
      <w:tr w:rsidR="00014C8C" w14:paraId="2938F5CF" w14:textId="77777777">
        <w:trPr>
          <w:trHeight w:val="983"/>
          <w:jc w:val="center"/>
        </w:trPr>
        <w:tc>
          <w:tcPr>
            <w:tcW w:w="824" w:type="dxa"/>
            <w:vAlign w:val="center"/>
          </w:tcPr>
          <w:p w14:paraId="24BFE821" w14:textId="77777777" w:rsidR="00014C8C" w:rsidRDefault="00000000">
            <w:pPr>
              <w:jc w:val="center"/>
              <w:rPr>
                <w:rFonts w:ascii="仿宋_GB2312" w:eastAsia="仿宋_GB2312" w:hAnsi="仿宋_GB2312" w:cs="仿宋_GB2312" w:hint="eastAsia"/>
              </w:rPr>
            </w:pPr>
            <w:r>
              <w:rPr>
                <w:rFonts w:ascii="仿宋_GB2312" w:eastAsia="仿宋_GB2312" w:hAnsi="仿宋_GB2312" w:cs="仿宋_GB2312" w:hint="eastAsia"/>
              </w:rPr>
              <w:t>1</w:t>
            </w:r>
          </w:p>
        </w:tc>
        <w:tc>
          <w:tcPr>
            <w:tcW w:w="1624" w:type="dxa"/>
            <w:vAlign w:val="center"/>
          </w:tcPr>
          <w:p w14:paraId="7138F1A8"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《关于进一步加大增值税期末留抵退税政策实施力度的公告》（</w:t>
            </w:r>
            <w:r>
              <w:rPr>
                <w:rFonts w:ascii="仿宋_GB2312" w:eastAsia="仿宋_GB2312" w:hAnsi="仿宋_GB2312" w:cs="仿宋_GB2312"/>
              </w:rPr>
              <w:t>财政部 税务总局公告2022年第14号</w:t>
            </w:r>
            <w:r>
              <w:rPr>
                <w:rFonts w:ascii="仿宋_GB2312" w:eastAsia="仿宋_GB2312" w:hAnsi="仿宋_GB2312" w:cs="仿宋_GB2312" w:hint="eastAsia"/>
              </w:rPr>
              <w:t>）</w:t>
            </w:r>
          </w:p>
          <w:p w14:paraId="309BB8A9" w14:textId="77777777" w:rsidR="00014C8C" w:rsidRDefault="00014C8C">
            <w:pPr>
              <w:rPr>
                <w:rFonts w:ascii="仿宋_GB2312" w:eastAsia="仿宋_GB2312" w:hAnsi="仿宋_GB2312" w:cs="仿宋_GB2312" w:hint="eastAsia"/>
              </w:rPr>
            </w:pPr>
          </w:p>
        </w:tc>
        <w:tc>
          <w:tcPr>
            <w:tcW w:w="6308" w:type="dxa"/>
            <w:vAlign w:val="center"/>
          </w:tcPr>
          <w:p w14:paraId="61080455"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1.加大小微企业增值税期末留抵退税政策力度，将先进制造业按月全额退还增值税增量留抵税额政策范围扩大至符合条件的小微企业（含个体工商户，下同），并一次性退还小微企业存量留抵税额。 </w:t>
            </w:r>
          </w:p>
          <w:p w14:paraId="0B9B2206"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（1）符合条件的小微企业，可以自2022年4月纳税申报期起向主管税务机关申请退还增量留抵税额。在2022年12月31日前，退税条件按照本公告第三条规定执行。 </w:t>
            </w:r>
          </w:p>
          <w:p w14:paraId="5974FE4B"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（2）符合条件的微型企业，可以自2022年4月纳税申报期起向主管税务机关申请一次性退还存量留抵税额；符合条件的小型企业，可以自2022年5月纳税申报期起向主管税务机关申请一次性退还存量留抵税额。 </w:t>
            </w:r>
          </w:p>
          <w:p w14:paraId="784C7356"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14:paraId="27F1A042"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（1）符合条件的制造业等行业企业，可以自2022年4月纳税申报期起向主管税务机关申请退还增量留抵税额。 </w:t>
            </w:r>
          </w:p>
          <w:p w14:paraId="7B9DBABF"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2）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14:paraId="6D12291F"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3.适用本公告政策的纳税人需同时符合以下条件： </w:t>
            </w:r>
          </w:p>
          <w:p w14:paraId="6CC06E4A"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（1）纳税信用等级为A级或者B级； </w:t>
            </w:r>
          </w:p>
          <w:p w14:paraId="2D53F99B"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（2）申请退税前36个月未发生骗取留抵退税、骗取出口退税或虚开增值税专用发票情形； </w:t>
            </w:r>
          </w:p>
          <w:p w14:paraId="099B785E"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（3）申请退税前36个月未因偷税被税务机关处罚两次及以上； </w:t>
            </w:r>
          </w:p>
          <w:p w14:paraId="2C656572"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（4）2019年4月1日起未享受即征即退、先征后返（退）政策。 </w:t>
            </w:r>
          </w:p>
          <w:p w14:paraId="48F1A233"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4.本公告所称增量留抵税额，区分以下情形确定： </w:t>
            </w:r>
          </w:p>
          <w:p w14:paraId="78E86BEB"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（1）纳税人获得一次性存量留抵退税前，增量留抵税额为当期期末留抵税额与2019年3月31日相比新增加的留抵税额。 </w:t>
            </w:r>
          </w:p>
          <w:p w14:paraId="07811E12"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（2）纳税人获得一次性存量留抵退税后，增量留抵税额为当期期末留抵税额。 </w:t>
            </w:r>
          </w:p>
          <w:p w14:paraId="7F6B4A37"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5.本公告所称存量留抵税额，区分以下情形确定： </w:t>
            </w:r>
          </w:p>
          <w:p w14:paraId="520B0A3A"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14:paraId="0C9442CB"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（2）纳税人获得一次性存量留抵退税后，存量留抵税额为零。 </w:t>
            </w:r>
          </w:p>
          <w:p w14:paraId="2ED3128E"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6.本公告所称中型企业、小型企业和微型企业，按照《中小企业划型标准规定》（工信部联企业〔2011〕300号）和《金融业企业划型标准规定》（银发〔2015〕309号）中的营业收入指标、资产总额指标确定。</w:t>
            </w:r>
          </w:p>
          <w:p w14:paraId="727B9CE3"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对于工信部联企业〔2011〕300号和银发〔2015〕309号文件所列行业以外的纳税人，以及工信部联企业〔2011〕300号文件所列</w:t>
            </w:r>
            <w:r>
              <w:rPr>
                <w:rFonts w:ascii="仿宋_GB2312" w:eastAsia="仿宋_GB2312" w:hAnsi="仿宋_GB2312" w:cs="仿宋_GB2312" w:hint="eastAsia"/>
              </w:rPr>
              <w:lastRenderedPageBreak/>
              <w:t>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 </w:t>
            </w:r>
          </w:p>
          <w:p w14:paraId="0B3E9F5D"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 xml:space="preserve">　　本公告所称大型企业，是指除上述中型企业、小型企业和微型企业外的其他企业。 </w:t>
            </w:r>
          </w:p>
          <w:p w14:paraId="7C745FAA"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7.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14:paraId="1786F565"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8.适用本公告政策的纳税人，按照以下公式计算允许退还的留抵税额： </w:t>
            </w:r>
          </w:p>
          <w:p w14:paraId="2F80E841"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允许退还的增量留抵税额=增量留抵税额×进项构成比例×100% </w:t>
            </w:r>
          </w:p>
          <w:p w14:paraId="7F5AC0CE"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允许退还的存量留抵税额=存量留抵税额×进项构成比例×100% </w:t>
            </w:r>
          </w:p>
          <w:p w14:paraId="57A38BB5"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14:paraId="383375BF"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9.本公告自2022年4月1日施行。</w:t>
            </w:r>
          </w:p>
        </w:tc>
      </w:tr>
      <w:tr w:rsidR="00014C8C" w14:paraId="6B37D6C7" w14:textId="77777777">
        <w:trPr>
          <w:trHeight w:val="983"/>
          <w:jc w:val="center"/>
        </w:trPr>
        <w:tc>
          <w:tcPr>
            <w:tcW w:w="824" w:type="dxa"/>
            <w:vAlign w:val="center"/>
          </w:tcPr>
          <w:p w14:paraId="093ABC60" w14:textId="77777777" w:rsidR="00014C8C" w:rsidRDefault="00000000">
            <w:pPr>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tc>
        <w:tc>
          <w:tcPr>
            <w:tcW w:w="1624" w:type="dxa"/>
            <w:vAlign w:val="center"/>
          </w:tcPr>
          <w:p w14:paraId="2D596EDD"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《关于下达2022年支持小微企业留抵退税有关专项资金预算的通知》</w:t>
            </w:r>
          </w:p>
          <w:p w14:paraId="5AFEF2C5"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（财预〔2022〕</w:t>
            </w:r>
            <w:r>
              <w:rPr>
                <w:rFonts w:ascii="仿宋_GB2312" w:eastAsia="仿宋_GB2312" w:hAnsi="仿宋_GB2312" w:cs="仿宋_GB2312" w:hint="eastAsia"/>
              </w:rPr>
              <w:lastRenderedPageBreak/>
              <w:t>34号）</w:t>
            </w:r>
          </w:p>
        </w:tc>
        <w:tc>
          <w:tcPr>
            <w:tcW w:w="6308" w:type="dxa"/>
            <w:vAlign w:val="center"/>
          </w:tcPr>
          <w:p w14:paraId="01B44B48"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lastRenderedPageBreak/>
              <w:t>1.为支持地方落实好退税减税政策，中央财政安排专项资金用于弥补地方政策性减收，缓解财政收支矛盾，促进县区财政平稳运行。现下达2022年支持小微企业留抵退税有关专项资金预算指标（资金额度、科目、项目代码详见附件），用于支持小微企业留抵退税。具体包括新出台小微企业留抵退税和原有政策实施的小微企业制度性留抵退税。年终根据地方实际留抵退税需要进行清算。其他新出台留抵退税政策专项资金和其他退税减税降费专项资金另行下</w:t>
            </w:r>
            <w:r>
              <w:rPr>
                <w:rFonts w:ascii="仿宋_GB2312" w:eastAsia="仿宋_GB2312" w:hAnsi="仿宋_GB2312" w:cs="仿宋_GB2312" w:hint="eastAsia"/>
              </w:rPr>
              <w:lastRenderedPageBreak/>
              <w:t>达。 </w:t>
            </w:r>
          </w:p>
          <w:p w14:paraId="7CB8C937"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2.该项补助纳入直达资金范围，省市县均可留用，标识为“01中央直达资金”，该标识贯穿资金分配、拨付、使用等整个环节，且保持不变。</w:t>
            </w:r>
          </w:p>
          <w:p w14:paraId="580C4ECC" w14:textId="77777777" w:rsidR="00014C8C" w:rsidRDefault="00000000">
            <w:pPr>
              <w:rPr>
                <w:rFonts w:ascii="仿宋_GB2312" w:eastAsia="仿宋_GB2312" w:hAnsi="仿宋_GB2312" w:cs="仿宋_GB2312" w:hint="eastAsia"/>
              </w:rPr>
            </w:pPr>
            <w:r>
              <w:rPr>
                <w:rFonts w:ascii="仿宋_GB2312" w:eastAsia="仿宋_GB2312" w:hAnsi="仿宋_GB2312" w:cs="仿宋_GB2312" w:hint="eastAsia"/>
              </w:rPr>
              <w:t>3.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rsidR="00014C8C" w14:paraId="41E2DBF6" w14:textId="77777777">
        <w:trPr>
          <w:trHeight w:val="983"/>
          <w:jc w:val="center"/>
        </w:trPr>
        <w:tc>
          <w:tcPr>
            <w:tcW w:w="824" w:type="dxa"/>
            <w:vAlign w:val="center"/>
          </w:tcPr>
          <w:p w14:paraId="583774FF"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3</w:t>
            </w:r>
          </w:p>
        </w:tc>
        <w:tc>
          <w:tcPr>
            <w:tcW w:w="1624" w:type="dxa"/>
            <w:vAlign w:val="center"/>
          </w:tcPr>
          <w:p w14:paraId="62903945"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税务总局关于进一步实施小微企业所得税优惠政策的公告》（财政部 税务总局公告2022年第13号）</w:t>
            </w:r>
          </w:p>
        </w:tc>
        <w:tc>
          <w:tcPr>
            <w:tcW w:w="6308" w:type="dxa"/>
            <w:vAlign w:val="center"/>
          </w:tcPr>
          <w:p w14:paraId="51F1F5B7"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1.对小型微利企业年应纳税所得额超过100万元但不超过300万元的部分，减按25%计入应纳税所得额，按20%的税率缴纳企业所得税。</w:t>
            </w:r>
          </w:p>
          <w:p w14:paraId="4A6C4BAA"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2.本公告所称小型微利企业，是指从事国家非限制和禁止行业，且同时符合年度应纳税所得额不超过300万元、从业人数不超过300人、资产总额不超过5000万元等三个条件的企业。</w:t>
            </w:r>
          </w:p>
          <w:p w14:paraId="379F9EF6"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14:paraId="01A213EB"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3.本公告执行期限为2022年1月1日至2024年12月31日。</w:t>
            </w:r>
          </w:p>
        </w:tc>
      </w:tr>
      <w:tr w:rsidR="00014C8C" w14:paraId="6D876F1A" w14:textId="77777777">
        <w:trPr>
          <w:trHeight w:val="983"/>
          <w:jc w:val="center"/>
        </w:trPr>
        <w:tc>
          <w:tcPr>
            <w:tcW w:w="824" w:type="dxa"/>
            <w:vAlign w:val="center"/>
          </w:tcPr>
          <w:p w14:paraId="371D520C"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4</w:t>
            </w:r>
          </w:p>
        </w:tc>
        <w:tc>
          <w:tcPr>
            <w:tcW w:w="1624" w:type="dxa"/>
            <w:vAlign w:val="center"/>
          </w:tcPr>
          <w:p w14:paraId="7AE167F4"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《国家税务总局关于进一步实施小微企业“六税两费”减免政策有关征管问题的公告》（国家税务总局公告2022年第3号）</w:t>
            </w:r>
          </w:p>
        </w:tc>
        <w:tc>
          <w:tcPr>
            <w:tcW w:w="6308" w:type="dxa"/>
            <w:vAlign w:val="center"/>
          </w:tcPr>
          <w:p w14:paraId="345DF46D"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1.关于小型微利企业“六税两费”减免政策的适用。</w:t>
            </w:r>
          </w:p>
          <w:p w14:paraId="1376CBF2"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4F7ACE4B"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（2）登记为增值税一般纳税人的新设立企业，从事国家非限制和禁止行业，且同时符合申报期上月末从业人数不超过300人、资产</w:t>
            </w:r>
            <w:r>
              <w:rPr>
                <w:rFonts w:ascii="仿宋_GB2312" w:eastAsia="仿宋_GB2312" w:hAnsi="仿宋" w:hint="eastAsia"/>
                <w:bCs/>
                <w:color w:val="000000"/>
                <w:szCs w:val="21"/>
              </w:rPr>
              <w:lastRenderedPageBreak/>
              <w:t>总额不超过5000万元两项条件的，按规定办理首次汇算清缴申报前，可按照小型微利企业申报享受“六税两费”减免优惠。</w:t>
            </w:r>
          </w:p>
          <w:p w14:paraId="3548E2BF"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482F8883"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14:paraId="6294DC3C"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新设立企业按规定办理首次汇算清缴后，按规定申报当月及之前的“六税两费”的，依据首次汇算清缴结果确定是否可申报享受减免优惠。</w:t>
            </w:r>
          </w:p>
          <w:p w14:paraId="03D1D10D"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新设立企业按规定办理首次汇算清缴申报前，已按规定申报缴纳“六税两费”的，不再根据首次汇算清缴结果进行更正。</w:t>
            </w:r>
          </w:p>
          <w:p w14:paraId="234D9EBD"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14:paraId="73CF8948"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14:paraId="7BD27A13"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3.关于纳税人未及时申报享受“六税两费”减免优惠的处理方式。纳税人符合条件但未及时申报享受“六税两费”减免优惠的，可依法申请抵减以后纳税期的应纳税费款或者申请退还。</w:t>
            </w:r>
          </w:p>
          <w:p w14:paraId="54A232E5"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4.本公告执行期限为2022年1月1日至2024年12月31日。</w:t>
            </w:r>
          </w:p>
        </w:tc>
      </w:tr>
      <w:tr w:rsidR="00014C8C" w14:paraId="410C0AB8" w14:textId="77777777">
        <w:trPr>
          <w:trHeight w:val="983"/>
          <w:jc w:val="center"/>
        </w:trPr>
        <w:tc>
          <w:tcPr>
            <w:tcW w:w="824" w:type="dxa"/>
            <w:vAlign w:val="center"/>
          </w:tcPr>
          <w:p w14:paraId="7FBE3892"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5</w:t>
            </w:r>
          </w:p>
        </w:tc>
        <w:tc>
          <w:tcPr>
            <w:tcW w:w="1624" w:type="dxa"/>
            <w:vAlign w:val="center"/>
          </w:tcPr>
          <w:p w14:paraId="3F8D2A42" w14:textId="77777777" w:rsidR="00014C8C" w:rsidRDefault="00000000">
            <w:pPr>
              <w:pStyle w:val="a4"/>
              <w:spacing w:line="240" w:lineRule="auto"/>
              <w:ind w:leftChars="0" w:left="0"/>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《财政部 税务总局关于促进服务业领域困难行业纾困发展有关增值税政策的公告》（财政部 税务总局公告2022年第 11号）</w:t>
            </w:r>
          </w:p>
        </w:tc>
        <w:tc>
          <w:tcPr>
            <w:tcW w:w="6308" w:type="dxa"/>
            <w:vAlign w:val="center"/>
          </w:tcPr>
          <w:p w14:paraId="259AEB23"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 xml:space="preserve">《财政部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14:paraId="433B6A4B"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ascii="仿宋_GB2312" w:eastAsia="仿宋_GB2312" w:hAnsi="仿宋" w:hint="eastAsia"/>
                <w:bCs/>
                <w:color w:val="000000"/>
                <w:szCs w:val="21"/>
              </w:rPr>
              <w:t xml:space="preserve">自2022年1月1日至2022年12月31日，航空和铁路运输企业分支机构暂停预缴增值税。2022年2月纳税申报期至文件发布之日已预缴的增值税予以退还。 </w:t>
            </w:r>
          </w:p>
          <w:p w14:paraId="59698B26"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rsidR="00014C8C" w14:paraId="71C5A4DD" w14:textId="77777777">
        <w:trPr>
          <w:trHeight w:val="983"/>
          <w:jc w:val="center"/>
        </w:trPr>
        <w:tc>
          <w:tcPr>
            <w:tcW w:w="824" w:type="dxa"/>
            <w:vAlign w:val="center"/>
          </w:tcPr>
          <w:p w14:paraId="06040D7D"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6</w:t>
            </w:r>
          </w:p>
        </w:tc>
        <w:tc>
          <w:tcPr>
            <w:tcW w:w="1624" w:type="dxa"/>
            <w:vAlign w:val="center"/>
          </w:tcPr>
          <w:p w14:paraId="64862350"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税务总局关于中小微企业设备器具所得税税前扣除有关政策的公告》（财政部 税务总局公告2022年第12号）</w:t>
            </w:r>
          </w:p>
        </w:tc>
        <w:tc>
          <w:tcPr>
            <w:tcW w:w="6308" w:type="dxa"/>
            <w:vAlign w:val="center"/>
          </w:tcPr>
          <w:p w14:paraId="0905A907"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14:paraId="393239C6"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企业选择适用上述政策当年不足扣除形成的亏损，可在以后5个纳税年度结转弥补，享受其他延长亏损结转年限政策的企业可按现行规定执行。</w:t>
            </w:r>
          </w:p>
          <w:p w14:paraId="56DF3EAA"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 xml:space="preserve">2.中小微企业可按季（月）在预缴申报时享受上述政策。本公告发布前企业在2022年已购置的设备、器具，可在本公告发布后的预缴申报、年度汇算清缴时享受。 </w:t>
            </w:r>
          </w:p>
          <w:p w14:paraId="4D73E283"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3.中小微企业可根据自身生产经营核算需要自行选择享受上述政策，当年度未选择享受的，以后年度不得再变更享受。</w:t>
            </w:r>
          </w:p>
        </w:tc>
      </w:tr>
      <w:tr w:rsidR="00014C8C" w14:paraId="26609FCF" w14:textId="77777777">
        <w:trPr>
          <w:trHeight w:val="983"/>
          <w:jc w:val="center"/>
        </w:trPr>
        <w:tc>
          <w:tcPr>
            <w:tcW w:w="824" w:type="dxa"/>
            <w:vAlign w:val="center"/>
          </w:tcPr>
          <w:p w14:paraId="465293FE"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7</w:t>
            </w:r>
          </w:p>
        </w:tc>
        <w:tc>
          <w:tcPr>
            <w:tcW w:w="1624" w:type="dxa"/>
            <w:vAlign w:val="center"/>
          </w:tcPr>
          <w:p w14:paraId="69044BB7"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税务总局关于进一步实施小微企业“六税两费”减免政策的公告》（财</w:t>
            </w:r>
            <w:r>
              <w:rPr>
                <w:rFonts w:ascii="仿宋_GB2312" w:eastAsia="仿宋_GB2312" w:hAnsi="仿宋" w:hint="eastAsia"/>
                <w:bCs/>
                <w:color w:val="000000"/>
                <w:szCs w:val="21"/>
              </w:rPr>
              <w:lastRenderedPageBreak/>
              <w:t>政部 税务总局公告2022年第 10 号）</w:t>
            </w:r>
          </w:p>
        </w:tc>
        <w:tc>
          <w:tcPr>
            <w:tcW w:w="6308" w:type="dxa"/>
            <w:vAlign w:val="center"/>
          </w:tcPr>
          <w:p w14:paraId="64D9A084"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ascii="仿宋_GB2312" w:eastAsia="仿宋_GB2312" w:hAnsi="仿宋"/>
                <w:bCs/>
                <w:color w:val="000000"/>
                <w:szCs w:val="21"/>
              </w:rPr>
              <w:t>.</w:t>
            </w:r>
            <w:r>
              <w:rPr>
                <w:rFonts w:ascii="仿宋_GB2312" w:eastAsia="仿宋_GB2312" w:hAnsi="仿宋" w:hint="eastAsia"/>
                <w:bCs/>
                <w:color w:val="000000"/>
                <w:szCs w:val="21"/>
              </w:rPr>
              <w:t xml:space="preserve">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14:paraId="0BEFDD85"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增值税小规模纳税人、小型微利企业和个体工商户已依法享受资</w:t>
            </w:r>
            <w:r>
              <w:rPr>
                <w:rFonts w:ascii="仿宋_GB2312" w:eastAsia="仿宋_GB2312" w:hAnsi="仿宋" w:hint="eastAsia"/>
                <w:bCs/>
                <w:color w:val="000000"/>
                <w:szCs w:val="21"/>
              </w:rPr>
              <w:lastRenderedPageBreak/>
              <w:t>源税、城市维护建设税、房产税、城镇土地使用税、印花税、耕地占用税、教育费附加、地方教育附加其他优惠政策的，可叠加享受本公告第一条规定的优惠政策。</w:t>
            </w:r>
          </w:p>
          <w:p w14:paraId="0C11EA92" w14:textId="77777777" w:rsidR="00014C8C" w:rsidRDefault="00000000">
            <w:pPr>
              <w:pStyle w:val="2"/>
              <w:ind w:leftChars="0" w:left="0" w:firstLineChars="0" w:firstLine="0"/>
              <w:jc w:val="left"/>
            </w:pPr>
            <w:r>
              <w:rPr>
                <w:rFonts w:ascii="仿宋_GB2312" w:eastAsia="仿宋_GB2312" w:hAnsi="仿宋" w:hint="eastAsia"/>
                <w:bCs/>
                <w:color w:val="000000"/>
                <w:szCs w:val="21"/>
              </w:rPr>
              <w:t>3</w:t>
            </w:r>
            <w:r>
              <w:rPr>
                <w:rFonts w:ascii="仿宋_GB2312" w:eastAsia="仿宋_GB2312" w:hAnsi="仿宋"/>
                <w:bCs/>
                <w:color w:val="000000"/>
                <w:szCs w:val="21"/>
              </w:rPr>
              <w:t>.</w:t>
            </w:r>
            <w:r>
              <w:rPr>
                <w:rFonts w:ascii="仿宋_GB2312" w:eastAsia="仿宋_GB2312" w:hAnsi="仿宋" w:hint="eastAsia"/>
                <w:bCs/>
                <w:color w:val="000000"/>
                <w:szCs w:val="21"/>
              </w:rPr>
              <w:t>本公告执行期限为2022年1月1日至2024年12月31日。</w:t>
            </w:r>
          </w:p>
        </w:tc>
      </w:tr>
      <w:tr w:rsidR="00014C8C" w14:paraId="0FECC472" w14:textId="77777777">
        <w:trPr>
          <w:trHeight w:val="540"/>
          <w:jc w:val="center"/>
        </w:trPr>
        <w:tc>
          <w:tcPr>
            <w:tcW w:w="824" w:type="dxa"/>
            <w:vAlign w:val="center"/>
          </w:tcPr>
          <w:p w14:paraId="63DF8796"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lastRenderedPageBreak/>
              <w:t>8</w:t>
            </w:r>
          </w:p>
        </w:tc>
        <w:tc>
          <w:tcPr>
            <w:tcW w:w="1624" w:type="dxa"/>
            <w:vAlign w:val="center"/>
          </w:tcPr>
          <w:p w14:paraId="116178F6" w14:textId="77777777" w:rsidR="00014C8C" w:rsidRDefault="00000000">
            <w:pPr>
              <w:spacing w:line="240" w:lineRule="auto"/>
              <w:jc w:val="center"/>
              <w:rPr>
                <w:rFonts w:ascii="仿宋_GB2312" w:eastAsia="仿宋_GB2312" w:hAnsi="仿宋" w:hint="eastAsia"/>
                <w:b/>
                <w:color w:val="000000"/>
                <w:szCs w:val="21"/>
              </w:rPr>
            </w:pPr>
            <w:r>
              <w:rPr>
                <w:rFonts w:ascii="仿宋_GB2312" w:eastAsia="仿宋_GB2312" w:hAnsi="仿宋" w:hint="eastAsia"/>
                <w:bCs/>
                <w:color w:val="000000"/>
                <w:szCs w:val="21"/>
              </w:rPr>
              <w:t>《国家发展改革委等12部门关于印发促进工业经济平稳增长的若干政策的通知》（发改产业〔2022〕273号）</w:t>
            </w:r>
          </w:p>
        </w:tc>
        <w:tc>
          <w:tcPr>
            <w:tcW w:w="6308" w:type="dxa"/>
            <w:vAlign w:val="center"/>
          </w:tcPr>
          <w:p w14:paraId="636A2552"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ascii="仿宋_GB2312" w:eastAsia="仿宋_GB2312" w:hAnsi="仿宋"/>
                <w:bCs/>
                <w:color w:val="000000"/>
                <w:szCs w:val="21"/>
              </w:rPr>
              <w:t>.</w:t>
            </w:r>
            <w:r>
              <w:rPr>
                <w:rFonts w:ascii="仿宋_GB2312" w:eastAsia="仿宋_GB2312" w:hAnsi="仿宋" w:hint="eastAsia"/>
                <w:bCs/>
                <w:color w:val="000000"/>
                <w:szCs w:val="21"/>
              </w:rPr>
              <w:t xml:space="preserve"> 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14:paraId="7A269E37"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2.</w:t>
            </w:r>
            <w:r>
              <w:rPr>
                <w:rFonts w:ascii="仿宋_GB2312" w:eastAsia="仿宋_GB2312" w:hAnsi="仿宋" w:hint="eastAsia"/>
                <w:bCs/>
                <w:color w:val="000000"/>
                <w:szCs w:val="21"/>
              </w:rPr>
              <w:t xml:space="preserve"> 扩大地方“六税两费”减免政策适用主体范围，加大小型微利企业所得税减免力度。</w:t>
            </w:r>
          </w:p>
          <w:p w14:paraId="3690A59B"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降低企业社保负担，</w:t>
            </w:r>
            <w:r>
              <w:rPr>
                <w:rFonts w:ascii="仿宋_GB2312" w:eastAsia="仿宋_GB2312" w:hAnsi="仿宋"/>
                <w:bCs/>
                <w:color w:val="000000"/>
                <w:szCs w:val="21"/>
              </w:rPr>
              <w:t>2022</w:t>
            </w:r>
            <w:r>
              <w:rPr>
                <w:rFonts w:ascii="仿宋_GB2312" w:eastAsia="仿宋_GB2312" w:hAnsi="仿宋" w:hint="eastAsia"/>
                <w:bCs/>
                <w:color w:val="000000"/>
                <w:szCs w:val="21"/>
              </w:rPr>
              <w:t>年延续实施阶段性降低失业保险、工伤保险费率政策。</w:t>
            </w:r>
          </w:p>
          <w:p w14:paraId="662E0E70"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4</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2022年人民银行对符合条件的地方法人银行，按普惠小微贷款余额增量的1%提供激励资金；符合条件的地方法人银行发放普惠小微信用贷款，可向人民银行申请再贷款优惠资金支持。</w:t>
            </w:r>
          </w:p>
        </w:tc>
      </w:tr>
      <w:tr w:rsidR="00014C8C" w14:paraId="73E5160F" w14:textId="77777777">
        <w:trPr>
          <w:trHeight w:val="540"/>
          <w:jc w:val="center"/>
        </w:trPr>
        <w:tc>
          <w:tcPr>
            <w:tcW w:w="824" w:type="dxa"/>
            <w:vAlign w:val="center"/>
          </w:tcPr>
          <w:p w14:paraId="0938F028"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9</w:t>
            </w:r>
          </w:p>
        </w:tc>
        <w:tc>
          <w:tcPr>
            <w:tcW w:w="1624" w:type="dxa"/>
            <w:vAlign w:val="center"/>
          </w:tcPr>
          <w:p w14:paraId="6861DE7C"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工业和信息化部 科技部 发展改革委关于2022年新能源汽车推广应用财政补贴政策的通知》（财建〔2021〕466号）</w:t>
            </w:r>
          </w:p>
        </w:tc>
        <w:tc>
          <w:tcPr>
            <w:tcW w:w="6308" w:type="dxa"/>
            <w:vAlign w:val="center"/>
          </w:tcPr>
          <w:p w14:paraId="0DA11E7B"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bCs/>
                <w:color w:val="000000"/>
                <w:szCs w:val="21"/>
              </w:rPr>
              <w:t>1.</w:t>
            </w:r>
            <w:r>
              <w:rPr>
                <w:rFonts w:ascii="仿宋_GB2312" w:eastAsia="仿宋_GB2312" w:hAnsi="仿宋" w:hint="eastAsia"/>
                <w:bCs/>
                <w:color w:val="000000"/>
                <w:szCs w:val="21"/>
              </w:rPr>
              <w:t>2022年，新能源汽车补贴标准在2021年基础上退坡30%；城市公交、道路客运、出租（含网约车）、环卫、城市物流配送、邮政快递、民航机场以及党政机关公务领域符合要求的车辆，补贴标准在2021年基础上退坡20%。</w:t>
            </w:r>
          </w:p>
          <w:p w14:paraId="791B0994"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2</w:t>
            </w:r>
            <w:r>
              <w:rPr>
                <w:rFonts w:ascii="仿宋_GB2312" w:eastAsia="仿宋_GB2312" w:hAnsi="仿宋"/>
                <w:bCs/>
                <w:color w:val="000000"/>
                <w:szCs w:val="21"/>
              </w:rPr>
              <w:t>.</w:t>
            </w:r>
            <w:r>
              <w:rPr>
                <w:rFonts w:hint="eastAsia"/>
              </w:rPr>
              <w:t xml:space="preserve"> </w:t>
            </w:r>
            <w:r>
              <w:rPr>
                <w:rFonts w:ascii="仿宋_GB2312" w:eastAsia="仿宋_GB2312" w:hAnsi="仿宋" w:hint="eastAsia"/>
                <w:bCs/>
                <w:color w:val="000000"/>
                <w:szCs w:val="21"/>
              </w:rPr>
              <w:t>本通知从2022年1月1日起实施。</w:t>
            </w:r>
          </w:p>
          <w:p w14:paraId="1D4B7C1D"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w:t>
            </w:r>
            <w:r>
              <w:rPr>
                <w:rFonts w:ascii="仿宋_GB2312" w:eastAsia="仿宋_GB2312" w:hAnsi="仿宋"/>
                <w:bCs/>
                <w:color w:val="000000"/>
                <w:szCs w:val="21"/>
              </w:rPr>
              <w:t xml:space="preserve"> </w:t>
            </w:r>
            <w:r>
              <w:rPr>
                <w:rFonts w:ascii="仿宋_GB2312" w:eastAsia="仿宋_GB2312" w:hAnsi="仿宋" w:hint="eastAsia"/>
                <w:bCs/>
                <w:color w:val="000000"/>
                <w:szCs w:val="21"/>
              </w:rPr>
              <w:t>本通知明确的2022年新能源汽车购置补贴政策于2022年12月31日终止，2022年12月31日之后上牌的车辆不再给予补贴。</w:t>
            </w:r>
          </w:p>
        </w:tc>
      </w:tr>
      <w:tr w:rsidR="00014C8C" w14:paraId="59FD0FB7" w14:textId="77777777">
        <w:trPr>
          <w:trHeight w:val="540"/>
          <w:jc w:val="center"/>
        </w:trPr>
        <w:tc>
          <w:tcPr>
            <w:tcW w:w="824" w:type="dxa"/>
            <w:vAlign w:val="center"/>
          </w:tcPr>
          <w:p w14:paraId="368C4020" w14:textId="77777777" w:rsidR="00014C8C" w:rsidRDefault="00000000">
            <w:pPr>
              <w:spacing w:line="240" w:lineRule="auto"/>
              <w:jc w:val="center"/>
              <w:rPr>
                <w:rFonts w:ascii="仿宋_GB2312" w:eastAsia="仿宋_GB2312" w:hAnsi="仿宋" w:hint="eastAsia"/>
                <w:bCs/>
                <w:color w:val="000000"/>
                <w:szCs w:val="21"/>
              </w:rPr>
            </w:pPr>
            <w:bookmarkStart w:id="0" w:name="_Hlk97189579"/>
            <w:r>
              <w:rPr>
                <w:rFonts w:ascii="仿宋_GB2312" w:eastAsia="仿宋_GB2312" w:hAnsi="仿宋" w:hint="eastAsia"/>
                <w:bCs/>
                <w:color w:val="000000"/>
                <w:szCs w:val="21"/>
              </w:rPr>
              <w:t>10</w:t>
            </w:r>
          </w:p>
        </w:tc>
        <w:tc>
          <w:tcPr>
            <w:tcW w:w="1624" w:type="dxa"/>
            <w:vAlign w:val="center"/>
          </w:tcPr>
          <w:p w14:paraId="3D84DD13"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《国家税务总局 财政部关于延续实施制造业中小微企业延缓缴纳部分税费有关事项的公告 》（国家税务总局 财</w:t>
            </w:r>
            <w:r>
              <w:rPr>
                <w:rFonts w:ascii="仿宋_GB2312" w:eastAsia="仿宋_GB2312" w:hAnsi="仿宋" w:hint="eastAsia"/>
                <w:bCs/>
                <w:color w:val="000000"/>
                <w:szCs w:val="21"/>
              </w:rPr>
              <w:lastRenderedPageBreak/>
              <w:t>政部公告2022年第2号）</w:t>
            </w:r>
          </w:p>
        </w:tc>
        <w:tc>
          <w:tcPr>
            <w:tcW w:w="6308" w:type="dxa"/>
            <w:vAlign w:val="center"/>
          </w:tcPr>
          <w:p w14:paraId="2D21E663"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w:t>
            </w:r>
            <w:r>
              <w:rPr>
                <w:rFonts w:hint="eastAsia"/>
              </w:rPr>
              <w:t xml:space="preserve"> </w:t>
            </w:r>
            <w:r>
              <w:rPr>
                <w:rFonts w:ascii="仿宋_GB2312" w:eastAsia="仿宋_GB2312" w:hAnsi="仿宋" w:hint="eastAsia"/>
                <w:bCs/>
                <w:color w:val="000000"/>
                <w:szCs w:val="21"/>
              </w:rPr>
              <w:t>继续延缓缴纳2021年第四季度部分税费。《国家税务总局</w:t>
            </w:r>
            <w:r>
              <w:rPr>
                <w:rFonts w:ascii="仿宋_GB2312" w:eastAsia="仿宋_GB2312" w:hAnsi="仿宋"/>
                <w:bCs/>
                <w:color w:val="000000"/>
                <w:szCs w:val="21"/>
              </w:rPr>
              <w:t> </w:t>
            </w:r>
            <w:r>
              <w:rPr>
                <w:rFonts w:ascii="仿宋_GB2312" w:eastAsia="仿宋_GB2312" w:hAnsi="仿宋" w:hint="eastAsia"/>
                <w:bCs/>
                <w:color w:val="000000"/>
                <w:szCs w:val="21"/>
              </w:rPr>
              <w:t>财政部关于制造业中小微企业延缓缴纳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年第四季度部分税费有关事项的公告》（</w:t>
            </w:r>
            <w:r>
              <w:rPr>
                <w:rFonts w:ascii="仿宋_GB2312" w:eastAsia="仿宋_GB2312" w:hAnsi="仿宋"/>
                <w:bCs/>
                <w:color w:val="000000"/>
                <w:szCs w:val="21"/>
              </w:rPr>
              <w:t>2021</w:t>
            </w:r>
            <w:r>
              <w:rPr>
                <w:rFonts w:ascii="仿宋_GB2312" w:eastAsia="仿宋_GB2312" w:hAnsi="仿宋" w:hint="eastAsia"/>
                <w:bCs/>
                <w:color w:val="000000"/>
                <w:szCs w:val="21"/>
              </w:rPr>
              <w:t>年第</w:t>
            </w:r>
            <w:r>
              <w:rPr>
                <w:rFonts w:ascii="仿宋_GB2312" w:eastAsia="仿宋_GB2312" w:hAnsi="仿宋"/>
                <w:bCs/>
                <w:color w:val="000000"/>
                <w:szCs w:val="21"/>
              </w:rPr>
              <w:t>30</w:t>
            </w:r>
            <w:r>
              <w:rPr>
                <w:rFonts w:ascii="仿宋_GB2312" w:eastAsia="仿宋_GB2312" w:hAnsi="仿宋" w:hint="eastAsia"/>
                <w:bCs/>
                <w:color w:val="000000"/>
                <w:szCs w:val="21"/>
              </w:rPr>
              <w:t>号）规定的制造业中小微企业延缓缴纳</w:t>
            </w:r>
            <w:r>
              <w:rPr>
                <w:rFonts w:ascii="仿宋_GB2312" w:eastAsia="仿宋_GB2312" w:hAnsi="仿宋"/>
                <w:bCs/>
                <w:color w:val="000000"/>
                <w:szCs w:val="21"/>
              </w:rPr>
              <w:t>2021</w:t>
            </w:r>
            <w:r>
              <w:rPr>
                <w:rFonts w:ascii="仿宋_GB2312" w:eastAsia="仿宋_GB2312" w:hAnsi="仿宋" w:hint="eastAsia"/>
                <w:bCs/>
                <w:color w:val="000000"/>
                <w:szCs w:val="21"/>
              </w:rPr>
              <w:t>年第四季度部分税费政策，缓缴期限继续延长</w:t>
            </w:r>
            <w:r>
              <w:rPr>
                <w:rFonts w:ascii="仿宋_GB2312" w:eastAsia="仿宋_GB2312" w:hAnsi="仿宋"/>
                <w:bCs/>
                <w:color w:val="000000"/>
                <w:szCs w:val="21"/>
              </w:rPr>
              <w:t>6</w:t>
            </w:r>
            <w:r>
              <w:rPr>
                <w:rFonts w:ascii="仿宋_GB2312" w:eastAsia="仿宋_GB2312" w:hAnsi="仿宋" w:hint="eastAsia"/>
                <w:bCs/>
                <w:color w:val="000000"/>
                <w:szCs w:val="21"/>
              </w:rPr>
              <w:t>个月。上述企业2021年第四季度延缓缴纳的税费在2022年1月1日后本公告施行前已缴纳入库的，可自愿选择申请办理退税（费）并享受延续缓缴政策。</w:t>
            </w:r>
          </w:p>
          <w:p w14:paraId="08903E8F"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2. 延缓缴纳2022年第一季度、第二季度部分税费。</w:t>
            </w:r>
          </w:p>
          <w:p w14:paraId="20BC9837"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1）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14:paraId="7E284C85"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t>（</w:t>
            </w:r>
            <w:r>
              <w:rPr>
                <w:rFonts w:ascii="仿宋_GB2312" w:eastAsia="仿宋_GB2312" w:hAnsi="仿宋"/>
                <w:bCs/>
                <w:color w:val="000000"/>
                <w:szCs w:val="21"/>
              </w:rPr>
              <w:t>2</w:t>
            </w:r>
            <w:r>
              <w:rPr>
                <w:rFonts w:ascii="仿宋_GB2312" w:eastAsia="仿宋_GB2312" w:hAnsi="仿宋" w:hint="eastAsia"/>
                <w:bCs/>
                <w:color w:val="000000"/>
                <w:szCs w:val="21"/>
              </w:rPr>
              <w:t>）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14:paraId="6B0C82A6" w14:textId="77777777" w:rsidR="00014C8C" w:rsidRDefault="00000000">
            <w:pPr>
              <w:pStyle w:val="ac"/>
              <w:widowControl w:val="0"/>
              <w:spacing w:before="0" w:beforeAutospacing="0" w:after="0" w:afterAutospacing="0"/>
              <w:jc w:val="both"/>
              <w:rPr>
                <w:rFonts w:hint="eastAsia"/>
              </w:rPr>
            </w:pPr>
            <w:r>
              <w:rPr>
                <w:rFonts w:ascii="仿宋_GB2312" w:eastAsia="仿宋_GB2312" w:hAnsi="仿宋" w:cs="Times New Roman" w:hint="eastAsia"/>
                <w:bCs/>
                <w:color w:val="000000"/>
                <w:kern w:val="2"/>
                <w:sz w:val="21"/>
                <w:szCs w:val="21"/>
              </w:rPr>
              <w:t>（</w:t>
            </w:r>
            <w:r>
              <w:rPr>
                <w:rFonts w:ascii="仿宋_GB2312" w:eastAsia="仿宋_GB2312" w:hAnsi="仿宋" w:cs="Times New Roman"/>
                <w:bCs/>
                <w:color w:val="000000"/>
                <w:kern w:val="2"/>
                <w:sz w:val="21"/>
                <w:szCs w:val="21"/>
              </w:rPr>
              <w:t>3</w:t>
            </w:r>
            <w:r>
              <w:rPr>
                <w:rFonts w:ascii="仿宋_GB2312" w:eastAsia="仿宋_GB2312" w:hAnsi="仿宋" w:cs="Times New Roman" w:hint="eastAsia"/>
                <w:bCs/>
                <w:color w:val="000000"/>
                <w:kern w:val="2"/>
                <w:sz w:val="21"/>
                <w:szCs w:val="21"/>
              </w:rPr>
              <w:t>）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rsidR="00014C8C" w14:paraId="77B46BE5" w14:textId="77777777">
        <w:trPr>
          <w:trHeight w:val="540"/>
          <w:jc w:val="center"/>
        </w:trPr>
        <w:tc>
          <w:tcPr>
            <w:tcW w:w="824" w:type="dxa"/>
            <w:vAlign w:val="center"/>
          </w:tcPr>
          <w:p w14:paraId="5C50D198"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11</w:t>
            </w:r>
          </w:p>
        </w:tc>
        <w:tc>
          <w:tcPr>
            <w:tcW w:w="1624" w:type="dxa"/>
            <w:vAlign w:val="center"/>
          </w:tcPr>
          <w:p w14:paraId="2385A690"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税务总局关于延长部分税收优惠政策执行期限的公告》（财政部 税务总局公告2022年第 4 号）</w:t>
            </w:r>
          </w:p>
        </w:tc>
        <w:tc>
          <w:tcPr>
            <w:tcW w:w="6308" w:type="dxa"/>
            <w:vAlign w:val="center"/>
          </w:tcPr>
          <w:p w14:paraId="59539CD5" w14:textId="7A537CFF"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w:t>
            </w:r>
            <w:r w:rsidR="00CA33C7">
              <w:rPr>
                <w:rFonts w:ascii="仿宋_GB2312" w:eastAsia="仿宋_GB2312" w:hAnsi="仿宋" w:hint="eastAsia"/>
                <w:bCs/>
                <w:color w:val="000000"/>
                <w:szCs w:val="21"/>
              </w:rPr>
              <w:t>事务</w:t>
            </w:r>
            <w:r>
              <w:rPr>
                <w:rFonts w:ascii="仿宋_GB2312" w:eastAsia="仿宋_GB2312" w:hAnsi="仿宋" w:hint="eastAsia"/>
                <w:bCs/>
                <w:color w:val="000000"/>
                <w:szCs w:val="21"/>
              </w:rPr>
              <w:t>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rsidR="00014C8C" w14:paraId="4D8DA7B1" w14:textId="77777777">
        <w:trPr>
          <w:trHeight w:val="540"/>
          <w:jc w:val="center"/>
        </w:trPr>
        <w:tc>
          <w:tcPr>
            <w:tcW w:w="824" w:type="dxa"/>
            <w:vAlign w:val="center"/>
          </w:tcPr>
          <w:p w14:paraId="5F9C2C32"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12</w:t>
            </w:r>
          </w:p>
        </w:tc>
        <w:tc>
          <w:tcPr>
            <w:tcW w:w="1624" w:type="dxa"/>
            <w:vAlign w:val="center"/>
          </w:tcPr>
          <w:p w14:paraId="05586BAF"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交通运输部关于调整农村客运、出租车油价补贴政策的通知》（财建</w:t>
            </w:r>
            <w:r>
              <w:rPr>
                <w:rFonts w:ascii="仿宋_GB2312" w:eastAsia="仿宋_GB2312" w:hAnsi="仿宋" w:hint="eastAsia"/>
                <w:bCs/>
                <w:color w:val="000000"/>
                <w:szCs w:val="21"/>
              </w:rPr>
              <w:lastRenderedPageBreak/>
              <w:t>〔2022〕1号）</w:t>
            </w:r>
          </w:p>
        </w:tc>
        <w:tc>
          <w:tcPr>
            <w:tcW w:w="6308" w:type="dxa"/>
            <w:vAlign w:val="center"/>
          </w:tcPr>
          <w:p w14:paraId="2C27D32B"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14:paraId="0EDCF41D" w14:textId="77777777" w:rsidR="00014C8C" w:rsidRDefault="00000000">
            <w:pPr>
              <w:pStyle w:val="2"/>
              <w:spacing w:after="0" w:line="240" w:lineRule="auto"/>
              <w:ind w:leftChars="0" w:left="0" w:firstLineChars="0" w:firstLine="0"/>
              <w:rPr>
                <w:rFonts w:ascii="仿宋_GB2312" w:eastAsia="仿宋_GB2312" w:hAnsi="仿宋" w:hint="eastAsia"/>
                <w:bCs/>
                <w:color w:val="000000"/>
                <w:szCs w:val="21"/>
              </w:rPr>
            </w:pPr>
            <w:r>
              <w:rPr>
                <w:rFonts w:ascii="仿宋_GB2312" w:eastAsia="仿宋_GB2312" w:hAnsi="仿宋" w:hint="eastAsia"/>
                <w:bCs/>
                <w:color w:val="000000"/>
                <w:szCs w:val="21"/>
              </w:rPr>
              <w:lastRenderedPageBreak/>
              <w:t xml:space="preserve">2. </w:t>
            </w:r>
            <w:r>
              <w:rPr>
                <w:rFonts w:ascii="仿宋_GB2312" w:eastAsia="仿宋_GB2312" w:hAnsi="仿宋"/>
                <w:bCs/>
                <w:color w:val="000000"/>
                <w:szCs w:val="21"/>
              </w:rPr>
              <w:t>2</w:t>
            </w:r>
            <w:r>
              <w:rPr>
                <w:rFonts w:ascii="仿宋_GB2312" w:eastAsia="仿宋_GB2312" w:hAnsi="仿宋" w:hint="eastAsia"/>
                <w:bCs/>
                <w:color w:val="000000"/>
                <w:szCs w:val="21"/>
              </w:rPr>
              <w:t>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rsidR="00014C8C" w14:paraId="60949030" w14:textId="77777777">
        <w:trPr>
          <w:trHeight w:val="540"/>
          <w:jc w:val="center"/>
        </w:trPr>
        <w:tc>
          <w:tcPr>
            <w:tcW w:w="824" w:type="dxa"/>
            <w:vAlign w:val="center"/>
          </w:tcPr>
          <w:p w14:paraId="4E67231E"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bCs/>
                <w:color w:val="000000"/>
                <w:szCs w:val="21"/>
              </w:rPr>
              <w:lastRenderedPageBreak/>
              <w:t>1</w:t>
            </w:r>
            <w:r>
              <w:rPr>
                <w:rFonts w:ascii="仿宋_GB2312" w:eastAsia="仿宋_GB2312" w:hAnsi="仿宋" w:hint="eastAsia"/>
                <w:bCs/>
                <w:color w:val="000000"/>
                <w:szCs w:val="21"/>
              </w:rPr>
              <w:t>3</w:t>
            </w:r>
          </w:p>
        </w:tc>
        <w:tc>
          <w:tcPr>
            <w:tcW w:w="1624" w:type="dxa"/>
            <w:vAlign w:val="center"/>
          </w:tcPr>
          <w:p w14:paraId="65BB0C5D" w14:textId="77777777" w:rsidR="00014C8C" w:rsidRDefault="00000000">
            <w:pPr>
              <w:spacing w:line="240" w:lineRule="auto"/>
              <w:jc w:val="center"/>
              <w:rPr>
                <w:rFonts w:ascii="仿宋_GB2312" w:eastAsia="仿宋_GB2312" w:hAnsi="仿宋" w:hint="eastAsia"/>
                <w:bCs/>
                <w:color w:val="000000"/>
                <w:szCs w:val="21"/>
              </w:rPr>
            </w:pPr>
            <w:r>
              <w:rPr>
                <w:rFonts w:ascii="仿宋_GB2312" w:eastAsia="仿宋_GB2312" w:hAnsi="仿宋" w:hint="eastAsia"/>
                <w:bCs/>
                <w:color w:val="000000"/>
                <w:szCs w:val="21"/>
              </w:rPr>
              <w:t>《财政部 税务总局关于基础设施领域不动产投资信托基金（REITs）试点税收政策的公告》（财政部 税务总局公告2022年第 3 号）</w:t>
            </w:r>
          </w:p>
        </w:tc>
        <w:tc>
          <w:tcPr>
            <w:tcW w:w="6308" w:type="dxa"/>
            <w:vAlign w:val="center"/>
          </w:tcPr>
          <w:p w14:paraId="53D63D27"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1.</w:t>
            </w:r>
            <w:r>
              <w:rPr>
                <w:rFonts w:hint="eastAsia"/>
              </w:rPr>
              <w:t xml:space="preserve"> </w:t>
            </w:r>
            <w:r>
              <w:rPr>
                <w:rFonts w:ascii="仿宋_GB2312" w:eastAsia="仿宋_GB2312" w:hAnsi="仿宋" w:hint="eastAsia"/>
                <w:bCs/>
                <w:color w:val="000000"/>
                <w:szCs w:val="21"/>
              </w:rPr>
              <w:t xml:space="preserve">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 </w:t>
            </w:r>
          </w:p>
          <w:p w14:paraId="5CF4D430" w14:textId="77777777" w:rsidR="00014C8C" w:rsidRDefault="00000000">
            <w:pPr>
              <w:spacing w:line="240" w:lineRule="auto"/>
              <w:jc w:val="left"/>
              <w:rPr>
                <w:rFonts w:ascii="仿宋_GB2312" w:eastAsia="仿宋_GB2312" w:hAnsi="仿宋" w:hint="eastAsia"/>
                <w:bCs/>
                <w:color w:val="000000"/>
                <w:szCs w:val="21"/>
              </w:rPr>
            </w:pPr>
            <w:r>
              <w:rPr>
                <w:rFonts w:ascii="仿宋_GB2312" w:eastAsia="仿宋_GB2312" w:hAnsi="仿宋" w:hint="eastAsia"/>
                <w:bCs/>
                <w:color w:val="000000"/>
                <w:szCs w:val="21"/>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该基础设施REITs份额，按照先进先出原则认定优先处置战略配售份额。</w:t>
            </w:r>
          </w:p>
          <w:p w14:paraId="377D192B" w14:textId="77777777" w:rsidR="00014C8C" w:rsidRDefault="00000000">
            <w:pPr>
              <w:pStyle w:val="2"/>
              <w:spacing w:line="240" w:lineRule="auto"/>
              <w:ind w:leftChars="0" w:left="0" w:firstLineChars="0" w:firstLine="0"/>
              <w:rPr>
                <w:rFonts w:ascii="仿宋_GB2312" w:eastAsia="仿宋_GB2312" w:hAnsi="仿宋" w:hint="eastAsia"/>
                <w:bCs/>
                <w:color w:val="000000"/>
                <w:szCs w:val="21"/>
              </w:rPr>
            </w:pPr>
            <w:r>
              <w:rPr>
                <w:rFonts w:ascii="仿宋_GB2312" w:eastAsia="仿宋_GB2312" w:hAnsi="仿宋"/>
                <w:bCs/>
                <w:color w:val="000000"/>
                <w:szCs w:val="21"/>
              </w:rPr>
              <w:t>3</w:t>
            </w:r>
            <w:r>
              <w:rPr>
                <w:rFonts w:ascii="仿宋_GB2312" w:eastAsia="仿宋_GB2312" w:hAnsi="仿宋" w:hint="eastAsia"/>
                <w:bCs/>
                <w:color w:val="000000"/>
                <w:szCs w:val="21"/>
              </w:rPr>
              <w:t xml:space="preserve">. 本公告适用范围为证监会、发展改革委根据有关规定组织开展的基础设施REITs试点项目。 </w:t>
            </w:r>
          </w:p>
          <w:p w14:paraId="553B5765" w14:textId="77777777" w:rsidR="00014C8C" w:rsidRDefault="00000000">
            <w:pPr>
              <w:pStyle w:val="2"/>
              <w:spacing w:line="240" w:lineRule="auto"/>
              <w:ind w:leftChars="0" w:left="0" w:firstLineChars="0" w:firstLine="0"/>
            </w:pPr>
            <w:r>
              <w:rPr>
                <w:rFonts w:ascii="仿宋_GB2312" w:eastAsia="仿宋_GB2312" w:hAnsi="仿宋" w:hint="eastAsia"/>
                <w:bCs/>
                <w:color w:val="000000"/>
                <w:szCs w:val="21"/>
              </w:rPr>
              <w:t>4.本公告自2021年1月1日起实施。</w:t>
            </w:r>
          </w:p>
        </w:tc>
      </w:tr>
    </w:tbl>
    <w:p w14:paraId="3E6C5AC1" w14:textId="77777777" w:rsidR="00014C8C" w:rsidRDefault="00014C8C">
      <w:pPr>
        <w:pStyle w:val="2"/>
        <w:ind w:leftChars="0" w:left="0" w:firstLineChars="0" w:firstLine="0"/>
      </w:pPr>
    </w:p>
    <w:sectPr w:rsidR="00014C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3F0E" w14:textId="77777777" w:rsidR="00B246BC" w:rsidRDefault="00B246BC">
      <w:pPr>
        <w:spacing w:after="0" w:line="240" w:lineRule="auto"/>
      </w:pPr>
      <w:r>
        <w:separator/>
      </w:r>
    </w:p>
  </w:endnote>
  <w:endnote w:type="continuationSeparator" w:id="0">
    <w:p w14:paraId="507C58C0" w14:textId="77777777" w:rsidR="00B246BC" w:rsidRDefault="00B2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01ACF" w14:textId="77777777" w:rsidR="00014C8C" w:rsidRDefault="00000000">
    <w:pPr>
      <w:pStyle w:val="a8"/>
    </w:pPr>
    <w:r>
      <w:rPr>
        <w:noProof/>
      </w:rPr>
      <mc:AlternateContent>
        <mc:Choice Requires="wps">
          <w:drawing>
            <wp:anchor distT="0" distB="0" distL="114300" distR="114300" simplePos="0" relativeHeight="251658240" behindDoc="0" locked="0" layoutInCell="1" allowOverlap="1" wp14:anchorId="4A5E7511" wp14:editId="24BDF90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63717" w14:textId="77777777" w:rsidR="00014C8C" w:rsidRDefault="00000000">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5E7511"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063717" w14:textId="77777777" w:rsidR="00014C8C" w:rsidRDefault="00000000">
                    <w:pPr>
                      <w:pStyle w:val="a8"/>
                      <w:rPr>
                        <w:rFonts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B99CF" w14:textId="77777777" w:rsidR="00B246BC" w:rsidRDefault="00B246BC">
      <w:pPr>
        <w:spacing w:after="0" w:line="240" w:lineRule="auto"/>
      </w:pPr>
      <w:r>
        <w:separator/>
      </w:r>
    </w:p>
  </w:footnote>
  <w:footnote w:type="continuationSeparator" w:id="0">
    <w:p w14:paraId="4B7FD5B1" w14:textId="77777777" w:rsidR="00B246BC" w:rsidRDefault="00B246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21"/>
    <w:rsid w:val="0001092D"/>
    <w:rsid w:val="00012E38"/>
    <w:rsid w:val="00014C8C"/>
    <w:rsid w:val="00024B23"/>
    <w:rsid w:val="00025449"/>
    <w:rsid w:val="00071299"/>
    <w:rsid w:val="00081C8D"/>
    <w:rsid w:val="000D33EE"/>
    <w:rsid w:val="00110C9E"/>
    <w:rsid w:val="00141E37"/>
    <w:rsid w:val="001D4EC9"/>
    <w:rsid w:val="002512A7"/>
    <w:rsid w:val="002A5B75"/>
    <w:rsid w:val="002E4DB7"/>
    <w:rsid w:val="00301021"/>
    <w:rsid w:val="00315E23"/>
    <w:rsid w:val="00350277"/>
    <w:rsid w:val="0036279D"/>
    <w:rsid w:val="003A25AD"/>
    <w:rsid w:val="003B559F"/>
    <w:rsid w:val="004113CC"/>
    <w:rsid w:val="0045799E"/>
    <w:rsid w:val="004C688C"/>
    <w:rsid w:val="004F1C7F"/>
    <w:rsid w:val="005153EB"/>
    <w:rsid w:val="00517C01"/>
    <w:rsid w:val="0054267C"/>
    <w:rsid w:val="00560DFE"/>
    <w:rsid w:val="00564185"/>
    <w:rsid w:val="005702DA"/>
    <w:rsid w:val="005C18F3"/>
    <w:rsid w:val="005D2404"/>
    <w:rsid w:val="005D2572"/>
    <w:rsid w:val="005E7284"/>
    <w:rsid w:val="00603F52"/>
    <w:rsid w:val="00605DC8"/>
    <w:rsid w:val="00612D6B"/>
    <w:rsid w:val="0068701F"/>
    <w:rsid w:val="006941C1"/>
    <w:rsid w:val="006C1124"/>
    <w:rsid w:val="006E4570"/>
    <w:rsid w:val="006F1740"/>
    <w:rsid w:val="00757E09"/>
    <w:rsid w:val="00764279"/>
    <w:rsid w:val="00787418"/>
    <w:rsid w:val="007B1C12"/>
    <w:rsid w:val="007B498A"/>
    <w:rsid w:val="007C392C"/>
    <w:rsid w:val="007E4828"/>
    <w:rsid w:val="00831EB1"/>
    <w:rsid w:val="008A3380"/>
    <w:rsid w:val="008F597F"/>
    <w:rsid w:val="00961964"/>
    <w:rsid w:val="00963B6B"/>
    <w:rsid w:val="00A514B8"/>
    <w:rsid w:val="00A66EFB"/>
    <w:rsid w:val="00AB6B99"/>
    <w:rsid w:val="00AC2BC8"/>
    <w:rsid w:val="00B106B3"/>
    <w:rsid w:val="00B246BC"/>
    <w:rsid w:val="00BE660A"/>
    <w:rsid w:val="00C545D8"/>
    <w:rsid w:val="00C97F05"/>
    <w:rsid w:val="00CA33C7"/>
    <w:rsid w:val="00D132EA"/>
    <w:rsid w:val="00D91923"/>
    <w:rsid w:val="00E215C8"/>
    <w:rsid w:val="00E5056E"/>
    <w:rsid w:val="00E71EDC"/>
    <w:rsid w:val="00E770FB"/>
    <w:rsid w:val="00E8441C"/>
    <w:rsid w:val="00E97EEA"/>
    <w:rsid w:val="00EA67FF"/>
    <w:rsid w:val="00F11CE7"/>
    <w:rsid w:val="00FA1C20"/>
    <w:rsid w:val="00FB3775"/>
    <w:rsid w:val="00FC351D"/>
    <w:rsid w:val="00FC437E"/>
    <w:rsid w:val="00FC4497"/>
    <w:rsid w:val="0BC1013B"/>
    <w:rsid w:val="0BE430C0"/>
    <w:rsid w:val="0E0804EF"/>
    <w:rsid w:val="16CD2278"/>
    <w:rsid w:val="175E7968"/>
    <w:rsid w:val="189F2389"/>
    <w:rsid w:val="1A4B0C1E"/>
    <w:rsid w:val="1C0B60EE"/>
    <w:rsid w:val="30B35628"/>
    <w:rsid w:val="34B353CE"/>
    <w:rsid w:val="36427387"/>
    <w:rsid w:val="3A1543F4"/>
    <w:rsid w:val="4B880EDC"/>
    <w:rsid w:val="4FC172FD"/>
    <w:rsid w:val="55E47F6D"/>
    <w:rsid w:val="565527FD"/>
    <w:rsid w:val="5E867787"/>
    <w:rsid w:val="61D301F8"/>
    <w:rsid w:val="692E7907"/>
    <w:rsid w:val="69A94F4C"/>
    <w:rsid w:val="6FE03674"/>
    <w:rsid w:val="72B96180"/>
    <w:rsid w:val="74D51F06"/>
    <w:rsid w:val="768F0AD3"/>
    <w:rsid w:val="769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7D41"/>
  <w15:docId w15:val="{1CB7E050-9386-428D-8F74-E895AC06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spacing w:line="400" w:lineRule="exact"/>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tLeast"/>
      <w:outlineLvl w:val="0"/>
    </w:pPr>
    <w:rPr>
      <w:b/>
      <w:bCs/>
      <w:kern w:val="44"/>
      <w:sz w:val="44"/>
      <w:szCs w:val="44"/>
    </w:rPr>
  </w:style>
  <w:style w:type="paragraph" w:styleId="20">
    <w:name w:val="heading 2"/>
    <w:basedOn w:val="a"/>
    <w:next w:val="a"/>
    <w:link w:val="21"/>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pPr>
      <w:keepNext/>
      <w:keepLines/>
      <w:overflowPunct w:val="0"/>
      <w:topLinePunct/>
      <w:spacing w:before="260" w:after="260" w:line="416" w:lineRule="auto"/>
      <w:outlineLvl w:val="2"/>
    </w:pPr>
    <w:rPr>
      <w:rFonts w:ascii="Times New Roman" w:eastAsia="方正仿宋_GBK" w:hAnsi="Times New Roman"/>
      <w:b/>
      <w:bCs/>
      <w:sz w:val="32"/>
      <w:szCs w:val="32"/>
    </w:rPr>
  </w:style>
  <w:style w:type="paragraph" w:styleId="5">
    <w:name w:val="heading 5"/>
    <w:basedOn w:val="a"/>
    <w:next w:val="a0"/>
    <w:link w:val="50"/>
    <w:qFormat/>
    <w:pPr>
      <w:keepNext/>
      <w:keepLines/>
      <w:widowControl/>
      <w:overflowPunct w:val="0"/>
      <w:topLinePunct/>
      <w:spacing w:before="280" w:after="290" w:line="376" w:lineRule="auto"/>
      <w:ind w:left="1008" w:hanging="1008"/>
      <w:outlineLvl w:val="4"/>
    </w:pPr>
    <w:rPr>
      <w:rFonts w:ascii="Times New Roman" w:eastAsia="方正仿宋_GBK"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unhideWhenUsed/>
    <w:qFormat/>
    <w:pPr>
      <w:ind w:firstLineChars="200" w:firstLine="420"/>
    </w:pPr>
  </w:style>
  <w:style w:type="paragraph" w:styleId="a4">
    <w:name w:val="Body Text Indent"/>
    <w:basedOn w:val="a"/>
    <w:link w:val="a5"/>
    <w:uiPriority w:val="99"/>
    <w:unhideWhenUsed/>
    <w:qFormat/>
    <w:pPr>
      <w:spacing w:after="120"/>
      <w:ind w:leftChars="200" w:left="420"/>
    </w:pPr>
  </w:style>
  <w:style w:type="paragraph" w:styleId="a0">
    <w:name w:val="Normal Indent"/>
    <w:basedOn w:val="a"/>
    <w:next w:val="a"/>
    <w:qFormat/>
    <w:pPr>
      <w:widowControl/>
      <w:overflowPunct w:val="0"/>
      <w:topLinePunct/>
      <w:spacing w:line="240" w:lineRule="auto"/>
      <w:ind w:firstLineChars="200" w:firstLine="420"/>
    </w:pPr>
    <w:rPr>
      <w:rFonts w:ascii="Times New Roman" w:eastAsia="方正仿宋_GBK" w:hAnsi="Times New Roman"/>
      <w:sz w:val="20"/>
      <w:szCs w:val="20"/>
    </w:r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overflowPunct w:val="0"/>
      <w:topLinePunct/>
      <w:snapToGrid w:val="0"/>
      <w:spacing w:line="240" w:lineRule="auto"/>
      <w:jc w:val="left"/>
    </w:pPr>
    <w:rPr>
      <w:rFonts w:ascii="Times New Roman" w:eastAsia="方正仿宋_GBK" w:hAnsi="Times New Roman"/>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overflowPunct w:val="0"/>
      <w:topLinePunct/>
      <w:snapToGrid w:val="0"/>
      <w:spacing w:line="240" w:lineRule="auto"/>
      <w:jc w:val="center"/>
    </w:pPr>
    <w:rPr>
      <w:rFonts w:ascii="Times New Roman" w:eastAsia="方正仿宋_GBK" w:hAnsi="Times New Roman"/>
      <w:sz w:val="18"/>
      <w:szCs w:val="18"/>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rPr>
  </w:style>
  <w:style w:type="paragraph" w:styleId="ad">
    <w:name w:val="Title"/>
    <w:basedOn w:val="a"/>
    <w:next w:val="a"/>
    <w:link w:val="ae"/>
    <w:uiPriority w:val="99"/>
    <w:qFormat/>
    <w:pPr>
      <w:overflowPunct w:val="0"/>
      <w:topLinePunct/>
      <w:spacing w:before="240" w:after="60" w:line="240" w:lineRule="auto"/>
      <w:jc w:val="center"/>
      <w:outlineLvl w:val="0"/>
    </w:pPr>
    <w:rPr>
      <w:rFonts w:asciiTheme="majorHAnsi" w:eastAsiaTheme="majorEastAsia" w:hAnsiTheme="majorHAnsi" w:cstheme="majorBidi"/>
      <w:b/>
      <w:bCs/>
      <w:sz w:val="32"/>
      <w:szCs w:val="32"/>
    </w:rPr>
  </w:style>
  <w:style w:type="character" w:styleId="af">
    <w:name w:val="Strong"/>
    <w:basedOn w:val="a1"/>
    <w:qFormat/>
    <w:rPr>
      <w:b/>
    </w:rPr>
  </w:style>
  <w:style w:type="character" w:styleId="af0">
    <w:name w:val="FollowedHyperlink"/>
    <w:basedOn w:val="a1"/>
    <w:uiPriority w:val="99"/>
    <w:semiHidden/>
    <w:unhideWhenUsed/>
    <w:qFormat/>
    <w:rPr>
      <w:color w:val="333333"/>
      <w:u w:val="none"/>
    </w:rPr>
  </w:style>
  <w:style w:type="character" w:styleId="af1">
    <w:name w:val="Hyperlink"/>
    <w:basedOn w:val="a1"/>
    <w:uiPriority w:val="99"/>
    <w:semiHidden/>
    <w:unhideWhenUsed/>
    <w:qFormat/>
    <w:rPr>
      <w:color w:val="0563C1" w:themeColor="hyperlink"/>
      <w:u w:val="single"/>
    </w:rPr>
  </w:style>
  <w:style w:type="character" w:customStyle="1" w:styleId="30">
    <w:name w:val="标题 3 字符"/>
    <w:basedOn w:val="a1"/>
    <w:link w:val="3"/>
    <w:semiHidden/>
    <w:qFormat/>
    <w:rPr>
      <w:rFonts w:eastAsia="方正仿宋_GBK"/>
      <w:b/>
      <w:bCs/>
      <w:kern w:val="2"/>
      <w:sz w:val="32"/>
      <w:szCs w:val="32"/>
    </w:rPr>
  </w:style>
  <w:style w:type="character" w:customStyle="1" w:styleId="50">
    <w:name w:val="标题 5 字符"/>
    <w:basedOn w:val="a1"/>
    <w:link w:val="5"/>
    <w:qFormat/>
    <w:rPr>
      <w:rFonts w:eastAsia="方正仿宋_GBK"/>
      <w:b/>
      <w:bCs/>
      <w:kern w:val="2"/>
      <w:sz w:val="28"/>
      <w:szCs w:val="28"/>
    </w:rPr>
  </w:style>
  <w:style w:type="character" w:customStyle="1" w:styleId="ab">
    <w:name w:val="页眉 字符"/>
    <w:basedOn w:val="a1"/>
    <w:link w:val="aa"/>
    <w:uiPriority w:val="99"/>
    <w:qFormat/>
    <w:rPr>
      <w:rFonts w:eastAsia="方正仿宋_GBK"/>
      <w:kern w:val="2"/>
      <w:sz w:val="18"/>
      <w:szCs w:val="18"/>
    </w:rPr>
  </w:style>
  <w:style w:type="character" w:customStyle="1" w:styleId="a9">
    <w:name w:val="页脚 字符"/>
    <w:basedOn w:val="a1"/>
    <w:link w:val="a8"/>
    <w:uiPriority w:val="99"/>
    <w:qFormat/>
    <w:rPr>
      <w:rFonts w:eastAsia="方正仿宋_GBK"/>
      <w:kern w:val="2"/>
      <w:sz w:val="18"/>
      <w:szCs w:val="18"/>
    </w:rPr>
  </w:style>
  <w:style w:type="character" w:customStyle="1" w:styleId="a5">
    <w:name w:val="正文文本缩进 字符"/>
    <w:basedOn w:val="a1"/>
    <w:link w:val="a4"/>
    <w:uiPriority w:val="99"/>
    <w:semiHidden/>
    <w:qFormat/>
    <w:rPr>
      <w:rFonts w:ascii="Calibri" w:hAnsi="Calibri"/>
      <w:kern w:val="2"/>
      <w:sz w:val="21"/>
      <w:szCs w:val="24"/>
    </w:rPr>
  </w:style>
  <w:style w:type="character" w:customStyle="1" w:styleId="22">
    <w:name w:val="正文文本首行缩进 2 字符"/>
    <w:basedOn w:val="a5"/>
    <w:link w:val="2"/>
    <w:uiPriority w:val="99"/>
    <w:qFormat/>
    <w:rPr>
      <w:rFonts w:ascii="Calibri" w:hAnsi="Calibri"/>
      <w:kern w:val="2"/>
      <w:sz w:val="21"/>
      <w:szCs w:val="24"/>
    </w:rPr>
  </w:style>
  <w:style w:type="character" w:customStyle="1" w:styleId="10">
    <w:name w:val="标题 1 字符"/>
    <w:basedOn w:val="a1"/>
    <w:link w:val="1"/>
    <w:qFormat/>
    <w:rPr>
      <w:rFonts w:ascii="Calibri" w:hAnsi="Calibri"/>
      <w:b/>
      <w:bCs/>
      <w:kern w:val="44"/>
      <w:sz w:val="44"/>
      <w:szCs w:val="44"/>
    </w:rPr>
  </w:style>
  <w:style w:type="character" w:customStyle="1" w:styleId="21">
    <w:name w:val="标题 2 字符"/>
    <w:basedOn w:val="a1"/>
    <w:link w:val="20"/>
    <w:qFormat/>
    <w:rPr>
      <w:rFonts w:asciiTheme="majorHAnsi" w:eastAsiaTheme="majorEastAsia" w:hAnsiTheme="majorHAnsi" w:cstheme="majorBidi"/>
      <w:b/>
      <w:bCs/>
      <w:kern w:val="2"/>
      <w:sz w:val="32"/>
      <w:szCs w:val="32"/>
    </w:rPr>
  </w:style>
  <w:style w:type="character" w:customStyle="1" w:styleId="ae">
    <w:name w:val="标题 字符"/>
    <w:basedOn w:val="a1"/>
    <w:link w:val="ad"/>
    <w:uiPriority w:val="99"/>
    <w:qFormat/>
    <w:rPr>
      <w:rFonts w:asciiTheme="majorHAnsi" w:eastAsiaTheme="majorEastAsia" w:hAnsiTheme="majorHAnsi" w:cstheme="majorBidi"/>
      <w:b/>
      <w:bCs/>
      <w:kern w:val="2"/>
      <w:sz w:val="32"/>
      <w:szCs w:val="32"/>
    </w:rPr>
  </w:style>
  <w:style w:type="character" w:customStyle="1" w:styleId="dhgao">
    <w:name w:val="dhgao"/>
    <w:basedOn w:val="a1"/>
    <w:qFormat/>
  </w:style>
  <w:style w:type="character" w:customStyle="1" w:styleId="a7">
    <w:name w:val="日期 字符"/>
    <w:basedOn w:val="a1"/>
    <w:link w:val="a6"/>
    <w:uiPriority w:val="99"/>
    <w:semiHidden/>
    <w:qFormat/>
    <w:rPr>
      <w:rFonts w:ascii="Calibri" w:hAnsi="Calibri"/>
      <w:kern w:val="2"/>
      <w:sz w:val="21"/>
      <w:szCs w:val="24"/>
    </w:rPr>
  </w:style>
  <w:style w:type="paragraph" w:customStyle="1" w:styleId="Style10">
    <w:name w:val="_Style 10"/>
    <w:basedOn w:val="a"/>
    <w:next w:val="af2"/>
    <w:uiPriority w:val="34"/>
    <w:qFormat/>
    <w:pPr>
      <w:autoSpaceDE w:val="0"/>
      <w:autoSpaceDN w:val="0"/>
      <w:adjustRightInd w:val="0"/>
      <w:snapToGrid w:val="0"/>
      <w:spacing w:line="588" w:lineRule="atLeast"/>
      <w:ind w:firstLineChars="200" w:firstLine="420"/>
    </w:pPr>
    <w:rPr>
      <w:rFonts w:ascii="宋体" w:eastAsia="仿宋_GB2312" w:hAnsi="宋体"/>
      <w:spacing w:val="-2"/>
      <w:sz w:val="32"/>
    </w:rPr>
  </w:style>
  <w:style w:type="paragraph" w:styleId="af2">
    <w:name w:val="List Paragraph"/>
    <w:basedOn w:val="a"/>
    <w:uiPriority w:val="34"/>
    <w:qFormat/>
    <w:pPr>
      <w:autoSpaceDE w:val="0"/>
      <w:autoSpaceDN w:val="0"/>
      <w:adjustRightInd w:val="0"/>
      <w:snapToGrid w:val="0"/>
      <w:spacing w:line="588" w:lineRule="atLeast"/>
      <w:ind w:firstLineChars="200" w:firstLine="420"/>
    </w:pPr>
    <w:rPr>
      <w:rFonts w:ascii="宋体" w:eastAsia="仿宋_GB2312" w:hAnsi="宋体"/>
      <w:spacing w:val="-2"/>
      <w:sz w:val="32"/>
    </w:r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rPr>
  </w:style>
  <w:style w:type="character" w:customStyle="1" w:styleId="hao1">
    <w:name w:val="hao1"/>
    <w:basedOn w:val="a1"/>
    <w:qFormat/>
    <w:rPr>
      <w:b/>
      <w:bCs/>
    </w:rPr>
  </w:style>
  <w:style w:type="character" w:customStyle="1" w:styleId="wz">
    <w:name w:val="wz"/>
    <w:basedOn w:val="a1"/>
    <w:qFormat/>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Ruihua Li</dc:creator>
  <cp:lastModifiedBy>surface</cp:lastModifiedBy>
  <cp:revision>39</cp:revision>
  <dcterms:created xsi:type="dcterms:W3CDTF">2022-03-02T10:37:00Z</dcterms:created>
  <dcterms:modified xsi:type="dcterms:W3CDTF">2025-05-29T03:11:00Z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EB3E2DCE8E1D40A3A58FFC1F10353530</vt:lpwstr>
  </property>
</Properties>
</file>