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8"/>
          <w:szCs w:val="28"/>
        </w:rPr>
      </w:pPr>
      <w:bookmarkStart w:id="1" w:name="_GoBack"/>
      <w:r>
        <w:rPr>
          <w:rFonts w:hint="eastAsia" w:ascii="黑体" w:eastAsia="黑体"/>
          <w:sz w:val="28"/>
          <w:szCs w:val="28"/>
        </w:rPr>
        <w:t>附件</w:t>
      </w:r>
    </w:p>
    <w:p>
      <w:pPr>
        <w:spacing w:after="240" w:afterLines="100"/>
        <w:jc w:val="center"/>
        <w:rPr>
          <w:rFonts w:ascii="方正小标宋简体" w:eastAsia="方正小标宋简体"/>
          <w:sz w:val="36"/>
          <w:szCs w:val="36"/>
        </w:rPr>
      </w:pPr>
      <w:bookmarkStart w:id="0" w:name="_Hlk26354268"/>
      <w:r>
        <w:rPr>
          <w:rFonts w:hint="eastAsia" w:ascii="方正小标宋简体" w:eastAsia="方正小标宋简体"/>
          <w:sz w:val="36"/>
          <w:szCs w:val="36"/>
        </w:rPr>
        <w:t>发布的</w:t>
      </w:r>
      <w:r>
        <w:rPr>
          <w:rFonts w:ascii="方正小标宋简体" w:eastAsia="方正小标宋简体"/>
          <w:sz w:val="36"/>
          <w:szCs w:val="36"/>
        </w:rPr>
        <w:t>1</w:t>
      </w:r>
      <w:r>
        <w:rPr>
          <w:rFonts w:hint="eastAsia" w:ascii="方正小标宋简体" w:eastAsia="方正小标宋简体"/>
          <w:sz w:val="36"/>
          <w:szCs w:val="36"/>
        </w:rPr>
        <w:t>8项交通运输行业标准</w:t>
      </w:r>
      <w:bookmarkEnd w:id="0"/>
      <w:r>
        <w:rPr>
          <w:rFonts w:hint="eastAsia" w:ascii="方正小标宋简体" w:eastAsia="方正小标宋简体"/>
          <w:sz w:val="36"/>
          <w:szCs w:val="36"/>
        </w:rPr>
        <w:t>的编号、名称、主要内容等一览表</w:t>
      </w:r>
      <w:bookmarkEnd w:id="1"/>
    </w:p>
    <w:tbl>
      <w:tblPr>
        <w:tblStyle w:val="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907"/>
        <w:gridCol w:w="2145"/>
        <w:gridCol w:w="3201"/>
        <w:gridCol w:w="4920"/>
        <w:gridCol w:w="173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54" w:hRule="atLeast"/>
          <w:tblHeader/>
        </w:trPr>
        <w:tc>
          <w:tcPr>
            <w:tcW w:w="323" w:type="pct"/>
            <w:noWrap w:val="0"/>
            <w:vAlign w:val="center"/>
          </w:tcPr>
          <w:p>
            <w:pPr>
              <w:jc w:val="center"/>
              <w:rPr>
                <w:rFonts w:ascii="Times New Roman" w:hAnsi="Times New Roman"/>
                <w:b/>
                <w:bCs/>
                <w:szCs w:val="21"/>
              </w:rPr>
            </w:pPr>
            <w:r>
              <w:rPr>
                <w:rFonts w:ascii="Times New Roman" w:hAnsi="Times New Roman"/>
                <w:b/>
                <w:bCs/>
                <w:szCs w:val="21"/>
              </w:rPr>
              <w:t>序号</w:t>
            </w:r>
          </w:p>
        </w:tc>
        <w:tc>
          <w:tcPr>
            <w:tcW w:w="764" w:type="pct"/>
            <w:noWrap w:val="0"/>
            <w:vAlign w:val="center"/>
          </w:tcPr>
          <w:p>
            <w:pPr>
              <w:jc w:val="center"/>
              <w:rPr>
                <w:rFonts w:ascii="Times New Roman" w:hAnsi="Times New Roman"/>
                <w:b/>
                <w:bCs/>
                <w:szCs w:val="21"/>
              </w:rPr>
            </w:pPr>
            <w:r>
              <w:rPr>
                <w:rFonts w:ascii="Times New Roman" w:hAnsi="Times New Roman"/>
                <w:b/>
                <w:bCs/>
                <w:szCs w:val="21"/>
              </w:rPr>
              <w:t>标准编号</w:t>
            </w:r>
          </w:p>
        </w:tc>
        <w:tc>
          <w:tcPr>
            <w:tcW w:w="1140" w:type="pct"/>
            <w:noWrap w:val="0"/>
            <w:vAlign w:val="center"/>
          </w:tcPr>
          <w:p>
            <w:pPr>
              <w:jc w:val="center"/>
              <w:rPr>
                <w:rFonts w:ascii="Times New Roman" w:hAnsi="Times New Roman"/>
                <w:b/>
                <w:bCs/>
                <w:szCs w:val="21"/>
              </w:rPr>
            </w:pPr>
            <w:r>
              <w:rPr>
                <w:rFonts w:ascii="Times New Roman" w:hAnsi="Times New Roman"/>
                <w:b/>
                <w:bCs/>
                <w:szCs w:val="21"/>
              </w:rPr>
              <w:t>标准名称</w:t>
            </w:r>
          </w:p>
        </w:tc>
        <w:tc>
          <w:tcPr>
            <w:tcW w:w="1752" w:type="pct"/>
            <w:noWrap w:val="0"/>
            <w:vAlign w:val="center"/>
          </w:tcPr>
          <w:p>
            <w:pPr>
              <w:spacing w:line="276" w:lineRule="auto"/>
              <w:jc w:val="center"/>
              <w:rPr>
                <w:rFonts w:ascii="Times New Roman" w:hAnsi="Times New Roman"/>
                <w:szCs w:val="21"/>
              </w:rPr>
            </w:pPr>
            <w:r>
              <w:rPr>
                <w:rFonts w:ascii="Times New Roman" w:hAnsi="Times New Roman"/>
                <w:b/>
                <w:bCs/>
                <w:szCs w:val="21"/>
              </w:rPr>
              <w:t>主要内容</w:t>
            </w:r>
          </w:p>
        </w:tc>
        <w:tc>
          <w:tcPr>
            <w:tcW w:w="618" w:type="pct"/>
            <w:noWrap w:val="0"/>
            <w:vAlign w:val="center"/>
          </w:tcPr>
          <w:p>
            <w:pPr>
              <w:jc w:val="center"/>
              <w:rPr>
                <w:rFonts w:ascii="Times New Roman" w:hAnsi="Times New Roman"/>
                <w:b/>
                <w:bCs/>
                <w:szCs w:val="21"/>
              </w:rPr>
            </w:pPr>
            <w:r>
              <w:rPr>
                <w:rFonts w:ascii="Times New Roman" w:hAnsi="Times New Roman"/>
                <w:b/>
                <w:bCs/>
                <w:szCs w:val="21"/>
              </w:rPr>
              <w:t>代替标准编号</w:t>
            </w:r>
          </w:p>
        </w:tc>
        <w:tc>
          <w:tcPr>
            <w:tcW w:w="403" w:type="pct"/>
            <w:noWrap w:val="0"/>
            <w:vAlign w:val="center"/>
          </w:tcPr>
          <w:p>
            <w:pPr>
              <w:jc w:val="center"/>
              <w:rPr>
                <w:rFonts w:ascii="Times New Roman" w:hAnsi="Times New Roman"/>
                <w:b/>
                <w:bCs/>
                <w:szCs w:val="21"/>
              </w:rPr>
            </w:pPr>
            <w:r>
              <w:rPr>
                <w:rFonts w:ascii="Times New Roman" w:hAnsi="Times New Roman"/>
                <w:b/>
                <w:bCs/>
                <w:szCs w:val="21"/>
              </w:rPr>
              <w:t>实施</w:t>
            </w:r>
            <w:r>
              <w:rPr>
                <w:rFonts w:hint="eastAsia" w:ascii="Times New Roman" w:hAnsi="Times New Roman"/>
                <w:b/>
                <w:bCs/>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1282" w:hRule="atLeast"/>
        </w:trPr>
        <w:tc>
          <w:tcPr>
            <w:tcW w:w="323" w:type="pct"/>
            <w:noWrap w:val="0"/>
            <w:vAlign w:val="center"/>
          </w:tcPr>
          <w:p>
            <w:pPr>
              <w:numPr>
                <w:ilvl w:val="0"/>
                <w:numId w:val="1"/>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szCs w:val="21"/>
              </w:rPr>
              <w:t>JT/T 1479—2023</w:t>
            </w:r>
          </w:p>
        </w:tc>
        <w:tc>
          <w:tcPr>
            <w:tcW w:w="1140" w:type="pct"/>
            <w:noWrap w:val="0"/>
            <w:vAlign w:val="center"/>
          </w:tcPr>
          <w:p>
            <w:pPr>
              <w:rPr>
                <w:rFonts w:hint="eastAsia" w:ascii="Times New Roman" w:hAnsi="Times New Roman"/>
                <w:szCs w:val="21"/>
              </w:rPr>
            </w:pPr>
            <w:r>
              <w:rPr>
                <w:rFonts w:hint="eastAsia" w:ascii="Times New Roman" w:hAnsi="Times New Roman"/>
                <w:szCs w:val="21"/>
              </w:rPr>
              <w:t>综合货运枢纽设计规范</w:t>
            </w:r>
          </w:p>
        </w:tc>
        <w:tc>
          <w:tcPr>
            <w:tcW w:w="1752" w:type="pct"/>
            <w:noWrap w:val="0"/>
            <w:vAlign w:val="center"/>
          </w:tcPr>
          <w:p>
            <w:pPr>
              <w:pStyle w:val="5"/>
              <w:ind w:firstLine="0" w:firstLineChars="0"/>
              <w:rPr>
                <w:rFonts w:hint="eastAsia" w:ascii="Times New Roman" w:hAnsi="Times New Roman" w:eastAsia="宋体"/>
                <w:szCs w:val="21"/>
              </w:rPr>
            </w:pPr>
            <w:r>
              <w:rPr>
                <w:rFonts w:hint="eastAsia" w:ascii="Times New Roman" w:hAnsi="Times New Roman" w:eastAsia="宋体"/>
                <w:szCs w:val="21"/>
              </w:rPr>
              <w:t>本标准规定了综合货运枢纽的基本规定，以及总体设计、换装工艺设计、换装作业区布置、枢纽集疏运设施与内部交通、生产辅助及管理服务设施和信息化系统的要求。</w:t>
            </w:r>
          </w:p>
          <w:p>
            <w:pPr>
              <w:pStyle w:val="5"/>
              <w:ind w:firstLine="0" w:firstLineChars="0"/>
              <w:rPr>
                <w:rFonts w:ascii="Times New Roman" w:hAnsi="Times New Roman" w:eastAsia="宋体"/>
                <w:szCs w:val="21"/>
              </w:rPr>
            </w:pPr>
            <w:r>
              <w:rPr>
                <w:rFonts w:hint="eastAsia" w:ascii="Times New Roman" w:hAnsi="Times New Roman" w:eastAsia="宋体"/>
                <w:szCs w:val="21"/>
              </w:rPr>
              <w:t>本标准适用于新建、扩建和改建的综合货运枢纽空间布局、换装作业、内外交通衔接及配套设施等的设计。</w:t>
            </w:r>
          </w:p>
        </w:tc>
        <w:tc>
          <w:tcPr>
            <w:tcW w:w="618" w:type="pct"/>
            <w:noWrap w:val="0"/>
            <w:vAlign w:val="center"/>
          </w:tcPr>
          <w:p>
            <w:pPr>
              <w:widowControl/>
              <w:jc w:val="left"/>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1"/>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kern w:val="0"/>
                <w:szCs w:val="21"/>
              </w:rPr>
              <w:t>JT/T</w:t>
            </w:r>
            <w:r>
              <w:rPr>
                <w:rFonts w:ascii="Times New Roman" w:hAnsi="Times New Roman"/>
                <w:szCs w:val="21"/>
              </w:rPr>
              <w:t xml:space="preserve"> 1480</w:t>
            </w:r>
            <w:r>
              <w:rPr>
                <w:rFonts w:ascii="Times New Roman" w:hAnsi="Times New Roman"/>
                <w:kern w:val="0"/>
                <w:szCs w:val="21"/>
              </w:rPr>
              <w:t>—2023</w:t>
            </w:r>
          </w:p>
        </w:tc>
        <w:tc>
          <w:tcPr>
            <w:tcW w:w="1140" w:type="pct"/>
            <w:noWrap w:val="0"/>
            <w:vAlign w:val="center"/>
          </w:tcPr>
          <w:p>
            <w:pPr>
              <w:rPr>
                <w:rFonts w:ascii="Times New Roman" w:hAnsi="Times New Roman"/>
                <w:szCs w:val="21"/>
              </w:rPr>
            </w:pPr>
            <w:r>
              <w:rPr>
                <w:rFonts w:ascii="Times New Roman" w:hAnsi="Times New Roman"/>
                <w:szCs w:val="21"/>
              </w:rPr>
              <w:t>交通运输数据脱敏指南</w:t>
            </w:r>
          </w:p>
        </w:tc>
        <w:tc>
          <w:tcPr>
            <w:tcW w:w="1752" w:type="pct"/>
            <w:noWrap w:val="0"/>
            <w:vAlign w:val="center"/>
          </w:tcPr>
          <w:p>
            <w:pPr>
              <w:autoSpaceDE w:val="0"/>
              <w:autoSpaceDN w:val="0"/>
              <w:adjustRightInd w:val="0"/>
              <w:jc w:val="left"/>
              <w:rPr>
                <w:rFonts w:ascii="Times New Roman" w:hAnsi="Times New Roman"/>
                <w:szCs w:val="21"/>
                <w:shd w:val="clear" w:color="auto" w:fill="FFFFFF"/>
              </w:rPr>
            </w:pPr>
            <w:r>
              <w:rPr>
                <w:rFonts w:ascii="Times New Roman" w:hAnsi="Times New Roman"/>
                <w:szCs w:val="21"/>
                <w:shd w:val="clear" w:color="auto" w:fill="FFFFFF"/>
              </w:rPr>
              <w:t>本标准提供了交通运输数据脱敏的指导和建议，并</w:t>
            </w:r>
            <w:r>
              <w:rPr>
                <w:rFonts w:hint="eastAsia" w:ascii="Times New Roman" w:hAnsi="Times New Roman"/>
                <w:szCs w:val="21"/>
                <w:shd w:val="clear" w:color="auto" w:fill="FFFFFF"/>
              </w:rPr>
              <w:t>提</w:t>
            </w:r>
            <w:r>
              <w:rPr>
                <w:rFonts w:ascii="Times New Roman" w:hAnsi="Times New Roman"/>
                <w:szCs w:val="21"/>
                <w:shd w:val="clear" w:color="auto" w:fill="FFFFFF"/>
              </w:rPr>
              <w:t>出了交通运输数据脱敏的总则、流程和管理措施。</w:t>
            </w:r>
          </w:p>
          <w:p>
            <w:pPr>
              <w:autoSpaceDE w:val="0"/>
              <w:autoSpaceDN w:val="0"/>
              <w:adjustRightInd w:val="0"/>
              <w:jc w:val="left"/>
              <w:rPr>
                <w:rFonts w:ascii="Times New Roman" w:hAnsi="Times New Roman"/>
                <w:szCs w:val="21"/>
              </w:rPr>
            </w:pPr>
            <w:r>
              <w:rPr>
                <w:rFonts w:ascii="Times New Roman" w:hAnsi="Times New Roman"/>
                <w:szCs w:val="21"/>
                <w:shd w:val="clear" w:color="auto" w:fill="FFFFFF"/>
              </w:rPr>
              <w:t>本标准适用于交通运输数据脱敏工作的实施和管理。</w:t>
            </w:r>
          </w:p>
        </w:tc>
        <w:tc>
          <w:tcPr>
            <w:tcW w:w="618" w:type="pct"/>
            <w:noWrap w:val="0"/>
            <w:vAlign w:val="center"/>
          </w:tcPr>
          <w:p>
            <w:pPr>
              <w:widowControl/>
              <w:jc w:val="left"/>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1"/>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kern w:val="0"/>
                <w:szCs w:val="21"/>
              </w:rPr>
              <w:t>JT/T</w:t>
            </w:r>
            <w:r>
              <w:rPr>
                <w:rFonts w:ascii="Times New Roman" w:hAnsi="Times New Roman"/>
                <w:szCs w:val="21"/>
              </w:rPr>
              <w:t xml:space="preserve"> 1481</w:t>
            </w:r>
            <w:r>
              <w:rPr>
                <w:rFonts w:ascii="Times New Roman" w:hAnsi="Times New Roman"/>
                <w:kern w:val="0"/>
                <w:szCs w:val="21"/>
              </w:rPr>
              <w:t>—2023</w:t>
            </w:r>
          </w:p>
        </w:tc>
        <w:tc>
          <w:tcPr>
            <w:tcW w:w="1140" w:type="pct"/>
            <w:noWrap w:val="0"/>
            <w:vAlign w:val="center"/>
          </w:tcPr>
          <w:p>
            <w:pPr>
              <w:rPr>
                <w:rFonts w:ascii="Times New Roman" w:hAnsi="Times New Roman"/>
                <w:szCs w:val="21"/>
              </w:rPr>
            </w:pPr>
            <w:r>
              <w:rPr>
                <w:rFonts w:ascii="Times New Roman" w:hAnsi="Times New Roman"/>
                <w:szCs w:val="21"/>
                <w:shd w:val="clear" w:color="auto" w:fill="FFFFFF"/>
              </w:rPr>
              <w:t>国际邮轮登船凭证</w:t>
            </w:r>
          </w:p>
        </w:tc>
        <w:tc>
          <w:tcPr>
            <w:tcW w:w="1752" w:type="pct"/>
            <w:noWrap w:val="0"/>
            <w:vAlign w:val="center"/>
          </w:tcPr>
          <w:p>
            <w:pPr>
              <w:rPr>
                <w:rFonts w:ascii="Times New Roman" w:hAnsi="Times New Roman"/>
                <w:szCs w:val="21"/>
              </w:rPr>
            </w:pPr>
            <w:r>
              <w:rPr>
                <w:rFonts w:ascii="Times New Roman" w:hAnsi="Times New Roman"/>
                <w:szCs w:val="21"/>
              </w:rPr>
              <w:t>本标准规定了</w:t>
            </w:r>
            <w:r>
              <w:rPr>
                <w:rFonts w:ascii="Times New Roman" w:hAnsi="Times New Roman"/>
                <w:kern w:val="0"/>
                <w:szCs w:val="21"/>
              </w:rPr>
              <w:t>国际邮轮登船凭证的一般要求、票面信息及票样等要求</w:t>
            </w:r>
            <w:r>
              <w:rPr>
                <w:rFonts w:ascii="Times New Roman" w:hAnsi="Times New Roman"/>
                <w:szCs w:val="21"/>
              </w:rPr>
              <w:t>。</w:t>
            </w:r>
          </w:p>
          <w:p>
            <w:pPr>
              <w:rPr>
                <w:rFonts w:ascii="Times New Roman" w:hAnsi="Times New Roman"/>
                <w:szCs w:val="21"/>
              </w:rPr>
            </w:pPr>
            <w:r>
              <w:rPr>
                <w:rFonts w:ascii="Times New Roman" w:hAnsi="Times New Roman"/>
                <w:szCs w:val="21"/>
              </w:rPr>
              <w:t>本标准适用于</w:t>
            </w:r>
            <w:r>
              <w:rPr>
                <w:rFonts w:ascii="Times New Roman" w:hAnsi="Times New Roman"/>
                <w:kern w:val="0"/>
                <w:szCs w:val="21"/>
              </w:rPr>
              <w:t>中华人民共和国境内港口始发的出入境国际邮轮登船凭证的设计与应用</w:t>
            </w:r>
            <w:r>
              <w:rPr>
                <w:rFonts w:ascii="Times New Roman" w:hAnsi="Times New Roman"/>
                <w:szCs w:val="21"/>
              </w:rPr>
              <w:t>。</w:t>
            </w:r>
          </w:p>
        </w:tc>
        <w:tc>
          <w:tcPr>
            <w:tcW w:w="618" w:type="pct"/>
            <w:noWrap w:val="0"/>
            <w:vAlign w:val="center"/>
          </w:tcPr>
          <w:p>
            <w:pPr>
              <w:widowControl/>
              <w:jc w:val="left"/>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1"/>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kern w:val="0"/>
                <w:szCs w:val="21"/>
              </w:rPr>
              <w:t>JT/T</w:t>
            </w:r>
            <w:r>
              <w:rPr>
                <w:rFonts w:ascii="Times New Roman" w:hAnsi="Times New Roman"/>
                <w:szCs w:val="21"/>
              </w:rPr>
              <w:t xml:space="preserve"> 1482</w:t>
            </w:r>
            <w:r>
              <w:rPr>
                <w:rFonts w:ascii="Times New Roman" w:hAnsi="Times New Roman"/>
                <w:kern w:val="0"/>
                <w:szCs w:val="21"/>
              </w:rPr>
              <w:t>—2023</w:t>
            </w:r>
          </w:p>
        </w:tc>
        <w:tc>
          <w:tcPr>
            <w:tcW w:w="1140" w:type="pct"/>
            <w:noWrap w:val="0"/>
            <w:vAlign w:val="center"/>
          </w:tcPr>
          <w:p>
            <w:pPr>
              <w:rPr>
                <w:rFonts w:ascii="Times New Roman" w:hAnsi="Times New Roman"/>
                <w:szCs w:val="21"/>
              </w:rPr>
            </w:pPr>
            <w:r>
              <w:rPr>
                <w:rFonts w:ascii="Times New Roman" w:hAnsi="Times New Roman"/>
                <w:szCs w:val="21"/>
              </w:rPr>
              <w:t>道路运输安全监督检查规范</w:t>
            </w:r>
          </w:p>
        </w:tc>
        <w:tc>
          <w:tcPr>
            <w:tcW w:w="1752" w:type="pct"/>
            <w:noWrap w:val="0"/>
            <w:vAlign w:val="center"/>
          </w:tcPr>
          <w:p>
            <w:pPr>
              <w:pStyle w:val="5"/>
              <w:ind w:firstLine="0" w:firstLineChars="0"/>
              <w:rPr>
                <w:rFonts w:ascii="Times New Roman" w:hAnsi="Times New Roman" w:eastAsia="宋体"/>
                <w:szCs w:val="21"/>
              </w:rPr>
            </w:pPr>
            <w:r>
              <w:rPr>
                <w:rFonts w:ascii="Times New Roman" w:hAnsi="Times New Roman" w:eastAsia="宋体"/>
                <w:szCs w:val="21"/>
              </w:rPr>
              <w:t>本标准规定了道路运输安全监督检查的一般要求、通用检查内容及要求，道路旅客运输企业、道路危险货物运输企业和汽车客运站检查内容及要求，以及检查记录。</w:t>
            </w:r>
          </w:p>
          <w:p>
            <w:pPr>
              <w:pStyle w:val="5"/>
              <w:ind w:firstLine="0" w:firstLineChars="0"/>
              <w:rPr>
                <w:rFonts w:ascii="Times New Roman" w:hAnsi="Times New Roman" w:eastAsia="宋体"/>
                <w:szCs w:val="21"/>
              </w:rPr>
            </w:pPr>
            <w:r>
              <w:rPr>
                <w:rFonts w:ascii="Times New Roman" w:hAnsi="Times New Roman" w:eastAsia="宋体"/>
                <w:szCs w:val="21"/>
              </w:rPr>
              <w:t>本标准适用于承担道路运输安全生产监督管理职责的部门对道路旅客运输企业、道路危险货物运输企业、汽车客运站实施的安全生产监督检查。</w:t>
            </w:r>
          </w:p>
        </w:tc>
        <w:tc>
          <w:tcPr>
            <w:tcW w:w="618" w:type="pct"/>
            <w:noWrap w:val="0"/>
            <w:vAlign w:val="center"/>
          </w:tcPr>
          <w:p>
            <w:pPr>
              <w:widowControl/>
              <w:jc w:val="left"/>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1"/>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szCs w:val="21"/>
              </w:rPr>
              <w:t>JT/T 1483—2023</w:t>
            </w:r>
          </w:p>
        </w:tc>
        <w:tc>
          <w:tcPr>
            <w:tcW w:w="1140" w:type="pct"/>
            <w:noWrap w:val="0"/>
            <w:vAlign w:val="center"/>
          </w:tcPr>
          <w:p>
            <w:pPr>
              <w:rPr>
                <w:rFonts w:ascii="Times New Roman" w:hAnsi="Times New Roman"/>
                <w:szCs w:val="21"/>
              </w:rPr>
            </w:pPr>
            <w:r>
              <w:rPr>
                <w:rFonts w:ascii="Times New Roman" w:hAnsi="Times New Roman"/>
                <w:szCs w:val="21"/>
                <w:shd w:val="clear" w:color="auto" w:fill="FFFFFF"/>
              </w:rPr>
              <w:t>公共汽车易燃挥发物监测及报警装置</w:t>
            </w:r>
          </w:p>
        </w:tc>
        <w:tc>
          <w:tcPr>
            <w:tcW w:w="1752" w:type="pct"/>
            <w:noWrap w:val="0"/>
            <w:vAlign w:val="center"/>
          </w:tcPr>
          <w:p>
            <w:pPr>
              <w:rPr>
                <w:rFonts w:ascii="Times New Roman" w:hAnsi="Times New Roman"/>
                <w:szCs w:val="21"/>
              </w:rPr>
            </w:pPr>
            <w:r>
              <w:rPr>
                <w:rFonts w:ascii="Times New Roman" w:hAnsi="Times New Roman"/>
                <w:szCs w:val="21"/>
              </w:rPr>
              <w:t>本标准规定了公共汽车易燃挥发物监测及报警装置的产品型号和结构组成</w:t>
            </w:r>
            <w:r>
              <w:rPr>
                <w:rFonts w:hint="eastAsia" w:ascii="Times New Roman" w:hAnsi="Times New Roman"/>
                <w:szCs w:val="21"/>
              </w:rPr>
              <w:t>、</w:t>
            </w:r>
            <w:r>
              <w:rPr>
                <w:rFonts w:ascii="Times New Roman" w:hAnsi="Times New Roman"/>
                <w:szCs w:val="21"/>
              </w:rPr>
              <w:t>技术要求</w:t>
            </w:r>
            <w:r>
              <w:rPr>
                <w:rFonts w:hint="eastAsia" w:ascii="Times New Roman" w:hAnsi="Times New Roman"/>
                <w:szCs w:val="21"/>
              </w:rPr>
              <w:t>、</w:t>
            </w:r>
            <w:r>
              <w:rPr>
                <w:rFonts w:ascii="Times New Roman" w:hAnsi="Times New Roman"/>
                <w:szCs w:val="21"/>
              </w:rPr>
              <w:t>试验方法</w:t>
            </w:r>
            <w:r>
              <w:rPr>
                <w:rFonts w:hint="eastAsia" w:ascii="Times New Roman" w:hAnsi="Times New Roman"/>
                <w:szCs w:val="21"/>
              </w:rPr>
              <w:t>、</w:t>
            </w:r>
            <w:r>
              <w:rPr>
                <w:rFonts w:ascii="Times New Roman" w:hAnsi="Times New Roman"/>
                <w:szCs w:val="21"/>
              </w:rPr>
              <w:t>检验规则</w:t>
            </w:r>
            <w:r>
              <w:rPr>
                <w:rFonts w:hint="eastAsia" w:ascii="Times New Roman" w:hAnsi="Times New Roman"/>
                <w:szCs w:val="21"/>
              </w:rPr>
              <w:t>、</w:t>
            </w:r>
            <w:r>
              <w:rPr>
                <w:rFonts w:ascii="Times New Roman" w:hAnsi="Times New Roman"/>
                <w:szCs w:val="21"/>
              </w:rPr>
              <w:t>安装</w:t>
            </w:r>
            <w:r>
              <w:rPr>
                <w:rFonts w:hint="eastAsia" w:ascii="Times New Roman" w:hAnsi="Times New Roman"/>
                <w:szCs w:val="21"/>
              </w:rPr>
              <w:t>要求，</w:t>
            </w:r>
            <w:r>
              <w:rPr>
                <w:rFonts w:ascii="Times New Roman" w:hAnsi="Times New Roman"/>
                <w:szCs w:val="21"/>
              </w:rPr>
              <w:t>以及标志、包装、运输和储存要求。</w:t>
            </w:r>
          </w:p>
          <w:p>
            <w:pPr>
              <w:rPr>
                <w:rFonts w:ascii="Times New Roman" w:hAnsi="Times New Roman"/>
                <w:szCs w:val="21"/>
              </w:rPr>
            </w:pPr>
            <w:r>
              <w:rPr>
                <w:rFonts w:ascii="Times New Roman" w:hAnsi="Times New Roman"/>
                <w:szCs w:val="21"/>
              </w:rPr>
              <w:t>本标准适用于公共汽车易燃挥发物监测及报警装置的生产和安装。</w:t>
            </w:r>
          </w:p>
        </w:tc>
        <w:tc>
          <w:tcPr>
            <w:tcW w:w="618" w:type="pct"/>
            <w:noWrap w:val="0"/>
            <w:vAlign w:val="center"/>
          </w:tcPr>
          <w:p>
            <w:pPr>
              <w:widowControl/>
              <w:jc w:val="left"/>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1"/>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szCs w:val="21"/>
              </w:rPr>
              <w:t>JT/T 1484—2023</w:t>
            </w:r>
          </w:p>
        </w:tc>
        <w:tc>
          <w:tcPr>
            <w:tcW w:w="1140" w:type="pct"/>
            <w:noWrap w:val="0"/>
            <w:vAlign w:val="center"/>
          </w:tcPr>
          <w:p>
            <w:pPr>
              <w:rPr>
                <w:rFonts w:ascii="Times New Roman" w:hAnsi="Times New Roman"/>
                <w:szCs w:val="21"/>
              </w:rPr>
            </w:pPr>
            <w:r>
              <w:rPr>
                <w:rFonts w:ascii="Times New Roman" w:hAnsi="Times New Roman"/>
                <w:szCs w:val="21"/>
                <w:shd w:val="clear" w:color="auto" w:fill="FFFFFF"/>
              </w:rPr>
              <w:t>无线电指向标-差分劳兰系统播发数据格式</w:t>
            </w:r>
          </w:p>
        </w:tc>
        <w:tc>
          <w:tcPr>
            <w:tcW w:w="1752" w:type="pct"/>
            <w:noWrap w:val="0"/>
            <w:vAlign w:val="center"/>
          </w:tcPr>
          <w:p>
            <w:pPr>
              <w:autoSpaceDE w:val="0"/>
              <w:autoSpaceDN w:val="0"/>
              <w:jc w:val="left"/>
              <w:rPr>
                <w:rFonts w:ascii="Times New Roman" w:hAnsi="Times New Roman"/>
                <w:szCs w:val="21"/>
              </w:rPr>
            </w:pPr>
            <w:r>
              <w:rPr>
                <w:rFonts w:ascii="Times New Roman" w:hAnsi="Times New Roman"/>
                <w:szCs w:val="21"/>
              </w:rPr>
              <w:t>本标准规定了无线电指向标-差分劳兰系统的基本要求、系统参数、电文等要求。</w:t>
            </w:r>
          </w:p>
          <w:p>
            <w:pPr>
              <w:autoSpaceDE w:val="0"/>
              <w:autoSpaceDN w:val="0"/>
              <w:jc w:val="left"/>
              <w:rPr>
                <w:rFonts w:ascii="Times New Roman" w:hAnsi="Times New Roman"/>
                <w:szCs w:val="21"/>
              </w:rPr>
            </w:pPr>
            <w:r>
              <w:rPr>
                <w:rFonts w:ascii="Times New Roman" w:hAnsi="Times New Roman"/>
                <w:szCs w:val="21"/>
              </w:rPr>
              <w:t>本标准适用于无线电指向标-差分劳兰系统的规划、建设和使用。</w:t>
            </w:r>
          </w:p>
        </w:tc>
        <w:tc>
          <w:tcPr>
            <w:tcW w:w="618" w:type="pct"/>
            <w:noWrap w:val="0"/>
            <w:vAlign w:val="center"/>
          </w:tcPr>
          <w:p>
            <w:pPr>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szCs w:val="21"/>
              </w:rPr>
              <w:t>JT/T 1485.</w:t>
            </w:r>
            <w:r>
              <w:rPr>
                <w:rFonts w:hint="eastAsia" w:ascii="Times New Roman" w:hAnsi="Times New Roman"/>
                <w:szCs w:val="21"/>
              </w:rPr>
              <w:t>1</w:t>
            </w:r>
            <w:r>
              <w:rPr>
                <w:rFonts w:ascii="Times New Roman" w:hAnsi="Times New Roman"/>
                <w:szCs w:val="21"/>
              </w:rPr>
              <w:t>—2023</w:t>
            </w:r>
          </w:p>
        </w:tc>
        <w:tc>
          <w:tcPr>
            <w:tcW w:w="1140" w:type="pct"/>
            <w:noWrap w:val="0"/>
            <w:vAlign w:val="center"/>
          </w:tcPr>
          <w:p>
            <w:pPr>
              <w:rPr>
                <w:rFonts w:ascii="Times New Roman" w:hAnsi="Times New Roman"/>
                <w:szCs w:val="21"/>
                <w:shd w:val="clear" w:color="auto" w:fill="FFFFFF"/>
              </w:rPr>
            </w:pPr>
            <w:r>
              <w:rPr>
                <w:rFonts w:ascii="Times New Roman" w:hAnsi="Times New Roman"/>
                <w:szCs w:val="21"/>
                <w:shd w:val="clear" w:color="auto" w:fill="FFFFFF"/>
              </w:rPr>
              <w:t>自动化集装箱起重机远程操控安全作业规程 第1部分：岸边集装箱起重机</w:t>
            </w:r>
          </w:p>
        </w:tc>
        <w:tc>
          <w:tcPr>
            <w:tcW w:w="1752" w:type="pct"/>
            <w:noWrap w:val="0"/>
            <w:vAlign w:val="center"/>
          </w:tcPr>
          <w:p>
            <w:pPr>
              <w:rPr>
                <w:rFonts w:ascii="Times New Roman" w:hAnsi="Times New Roman"/>
                <w:szCs w:val="21"/>
              </w:rPr>
            </w:pPr>
            <w:r>
              <w:rPr>
                <w:rFonts w:ascii="Times New Roman" w:hAnsi="Times New Roman"/>
                <w:szCs w:val="21"/>
              </w:rPr>
              <w:t>JT/T 1485的本部分规定了自动化岸边集装箱起重机远程操控作业的一般要求，以及作业前、作业中、作业后的安全作业要求。</w:t>
            </w:r>
          </w:p>
          <w:p>
            <w:pPr>
              <w:rPr>
                <w:rFonts w:ascii="Times New Roman" w:hAnsi="Times New Roman"/>
                <w:szCs w:val="21"/>
              </w:rPr>
            </w:pPr>
            <w:r>
              <w:rPr>
                <w:rFonts w:ascii="Times New Roman" w:hAnsi="Times New Roman"/>
                <w:szCs w:val="21"/>
              </w:rPr>
              <w:t>本部分适用于自动化岸边集装箱起重机的远程操控作业。</w:t>
            </w:r>
          </w:p>
        </w:tc>
        <w:tc>
          <w:tcPr>
            <w:tcW w:w="618" w:type="pct"/>
            <w:noWrap w:val="0"/>
            <w:vAlign w:val="center"/>
          </w:tcPr>
          <w:p>
            <w:pPr>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szCs w:val="21"/>
              </w:rPr>
              <w:t>JT/T 1485</w:t>
            </w:r>
            <w:r>
              <w:rPr>
                <w:rFonts w:hint="eastAsia" w:ascii="Times New Roman" w:hAnsi="Times New Roman"/>
                <w:szCs w:val="21"/>
              </w:rPr>
              <w:t>.</w:t>
            </w:r>
            <w:r>
              <w:rPr>
                <w:rFonts w:ascii="Times New Roman" w:hAnsi="Times New Roman"/>
                <w:szCs w:val="21"/>
              </w:rPr>
              <w:t>2—2023</w:t>
            </w:r>
          </w:p>
        </w:tc>
        <w:tc>
          <w:tcPr>
            <w:tcW w:w="1140" w:type="pct"/>
            <w:noWrap w:val="0"/>
            <w:vAlign w:val="center"/>
          </w:tcPr>
          <w:p>
            <w:pPr>
              <w:rPr>
                <w:rFonts w:ascii="Times New Roman" w:hAnsi="Times New Roman"/>
                <w:szCs w:val="21"/>
                <w:shd w:val="clear" w:color="auto" w:fill="FFFFFF"/>
              </w:rPr>
            </w:pPr>
            <w:r>
              <w:rPr>
                <w:rFonts w:ascii="Times New Roman" w:hAnsi="Times New Roman"/>
                <w:szCs w:val="21"/>
                <w:shd w:val="clear" w:color="auto" w:fill="FFFFFF"/>
              </w:rPr>
              <w:t>自动化集装箱起重机远程操控安全作业规程 第2部分：集装箱门式起重机</w:t>
            </w:r>
          </w:p>
        </w:tc>
        <w:tc>
          <w:tcPr>
            <w:tcW w:w="1752" w:type="pct"/>
            <w:noWrap w:val="0"/>
            <w:vAlign w:val="center"/>
          </w:tcPr>
          <w:p>
            <w:pPr>
              <w:rPr>
                <w:rFonts w:ascii="Times New Roman" w:hAnsi="Times New Roman"/>
                <w:szCs w:val="21"/>
              </w:rPr>
            </w:pPr>
            <w:r>
              <w:rPr>
                <w:rFonts w:ascii="Times New Roman" w:hAnsi="Times New Roman"/>
                <w:szCs w:val="21"/>
              </w:rPr>
              <w:t>JT/T 1485的本部分规定了自动化集装箱门式起重机远程操控作业的一般要求</w:t>
            </w:r>
            <w:r>
              <w:rPr>
                <w:rFonts w:hint="eastAsia" w:ascii="Times New Roman" w:hAnsi="Times New Roman"/>
                <w:szCs w:val="21"/>
              </w:rPr>
              <w:t>，</w:t>
            </w:r>
            <w:r>
              <w:rPr>
                <w:rFonts w:ascii="Times New Roman" w:hAnsi="Times New Roman"/>
                <w:szCs w:val="21"/>
              </w:rPr>
              <w:t>以及作业前、作业中、作业后的安全作业要求。</w:t>
            </w:r>
          </w:p>
          <w:p>
            <w:pPr>
              <w:rPr>
                <w:rFonts w:ascii="Times New Roman" w:hAnsi="Times New Roman"/>
                <w:szCs w:val="21"/>
              </w:rPr>
            </w:pPr>
            <w:r>
              <w:rPr>
                <w:rFonts w:ascii="Times New Roman" w:hAnsi="Times New Roman"/>
                <w:szCs w:val="21"/>
              </w:rPr>
              <w:t>本部分适用于自动化集装箱门式起重机远程操控作业，包括自动化轨道式集装箱门式起重机和自动化轮胎式集装箱门式起重机。</w:t>
            </w:r>
          </w:p>
          <w:p>
            <w:pPr>
              <w:rPr>
                <w:rFonts w:ascii="Times New Roman" w:hAnsi="Times New Roman"/>
                <w:szCs w:val="21"/>
              </w:rPr>
            </w:pPr>
            <w:r>
              <w:rPr>
                <w:rFonts w:ascii="Times New Roman" w:hAnsi="Times New Roman"/>
                <w:szCs w:val="21"/>
              </w:rPr>
              <w:t>本部分不适用于危险货物集装箱和重大件货物的装卸作业。</w:t>
            </w:r>
          </w:p>
        </w:tc>
        <w:tc>
          <w:tcPr>
            <w:tcW w:w="618" w:type="pct"/>
            <w:noWrap w:val="0"/>
            <w:vAlign w:val="center"/>
          </w:tcPr>
          <w:p>
            <w:pPr>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szCs w:val="21"/>
              </w:rPr>
              <w:t>JT/T 148</w:t>
            </w:r>
            <w:r>
              <w:rPr>
                <w:rFonts w:hint="eastAsia" w:ascii="Times New Roman" w:hAnsi="Times New Roman"/>
                <w:szCs w:val="21"/>
              </w:rPr>
              <w:t>6</w:t>
            </w:r>
            <w:r>
              <w:rPr>
                <w:rFonts w:ascii="Times New Roman" w:hAnsi="Times New Roman"/>
                <w:szCs w:val="21"/>
              </w:rPr>
              <w:t>—2023</w:t>
            </w:r>
          </w:p>
        </w:tc>
        <w:tc>
          <w:tcPr>
            <w:tcW w:w="1140" w:type="pct"/>
            <w:noWrap w:val="0"/>
            <w:vAlign w:val="center"/>
          </w:tcPr>
          <w:p>
            <w:pPr>
              <w:autoSpaceDE w:val="0"/>
              <w:autoSpaceDN w:val="0"/>
              <w:jc w:val="left"/>
              <w:rPr>
                <w:rFonts w:ascii="Times New Roman" w:hAnsi="Times New Roman"/>
                <w:szCs w:val="21"/>
              </w:rPr>
            </w:pPr>
            <w:r>
              <w:rPr>
                <w:rFonts w:hint="eastAsia" w:ascii="Times New Roman" w:hAnsi="Times New Roman"/>
                <w:szCs w:val="21"/>
              </w:rPr>
              <w:t>城市公共交通规划编制技术导则</w:t>
            </w:r>
          </w:p>
        </w:tc>
        <w:tc>
          <w:tcPr>
            <w:tcW w:w="1752" w:type="pct"/>
            <w:noWrap w:val="0"/>
            <w:vAlign w:val="center"/>
          </w:tcPr>
          <w:p>
            <w:pPr>
              <w:autoSpaceDE w:val="0"/>
              <w:autoSpaceDN w:val="0"/>
              <w:adjustRightInd w:val="0"/>
              <w:jc w:val="left"/>
            </w:pPr>
            <w:r>
              <w:rPr>
                <w:rFonts w:hint="eastAsia"/>
              </w:rPr>
              <w:t>本标准规定了城市公共交通规划编制的总体要求，以及城市公共交通与城市发展、城市公共交通体系、城市公共</w:t>
            </w:r>
            <w:r>
              <w:rPr>
                <w:rFonts w:hint="eastAsia" w:ascii="Times New Roman" w:hAnsi="Times New Roman"/>
                <w:szCs w:val="21"/>
                <w:shd w:val="clear" w:color="auto" w:fill="FFFFFF"/>
              </w:rPr>
              <w:t>交通调查</w:t>
            </w:r>
            <w:r>
              <w:rPr>
                <w:rFonts w:hint="eastAsia"/>
              </w:rPr>
              <w:t>与需求分析、城市公共交通线网、城市公共交通枢纽与场站、城市公共汽电车专用道、城市公共交通一体化、城市公共交通智能化、规划评估与实施和配套政策体系等的规划编制技术要求。</w:t>
            </w:r>
          </w:p>
          <w:p>
            <w:pPr>
              <w:autoSpaceDE w:val="0"/>
              <w:autoSpaceDN w:val="0"/>
              <w:adjustRightInd w:val="0"/>
              <w:jc w:val="left"/>
              <w:rPr>
                <w:rFonts w:ascii="Times New Roman" w:hAnsi="Times New Roman"/>
                <w:szCs w:val="21"/>
              </w:rPr>
            </w:pPr>
            <w:r>
              <w:rPr>
                <w:rFonts w:hint="eastAsia"/>
              </w:rPr>
              <w:t>本标准适用于城市公共汽电车规划编制。</w:t>
            </w:r>
          </w:p>
        </w:tc>
        <w:tc>
          <w:tcPr>
            <w:tcW w:w="618" w:type="pct"/>
            <w:noWrap w:val="0"/>
            <w:vAlign w:val="center"/>
          </w:tcPr>
          <w:p>
            <w:pPr>
              <w:rPr>
                <w:rFonts w:ascii="Times New Roman" w:hAnsi="Times New Roman"/>
                <w:sz w:val="23"/>
                <w:szCs w:val="23"/>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kern w:val="0"/>
                <w:szCs w:val="21"/>
              </w:rPr>
            </w:pPr>
            <w:r>
              <w:rPr>
                <w:rFonts w:ascii="Times New Roman" w:hAnsi="Times New Roman"/>
                <w:kern w:val="0"/>
                <w:szCs w:val="21"/>
              </w:rPr>
              <w:t>JT/T</w:t>
            </w:r>
            <w:r>
              <w:rPr>
                <w:rFonts w:ascii="Times New Roman" w:hAnsi="Times New Roman"/>
                <w:szCs w:val="21"/>
              </w:rPr>
              <w:t xml:space="preserve"> 5</w:t>
            </w:r>
            <w:r>
              <w:rPr>
                <w:rFonts w:hint="eastAsia" w:ascii="Times New Roman" w:hAnsi="Times New Roman"/>
                <w:szCs w:val="21"/>
              </w:rPr>
              <w:t>5</w:t>
            </w:r>
            <w:r>
              <w:rPr>
                <w:rFonts w:ascii="Times New Roman" w:hAnsi="Times New Roman"/>
                <w:szCs w:val="21"/>
              </w:rPr>
              <w:t>7</w:t>
            </w:r>
            <w:r>
              <w:rPr>
                <w:rFonts w:ascii="Times New Roman" w:hAnsi="Times New Roman"/>
                <w:kern w:val="0"/>
                <w:szCs w:val="21"/>
              </w:rPr>
              <w:t>—2023</w:t>
            </w:r>
          </w:p>
        </w:tc>
        <w:tc>
          <w:tcPr>
            <w:tcW w:w="1140" w:type="pct"/>
            <w:noWrap w:val="0"/>
            <w:vAlign w:val="center"/>
          </w:tcPr>
          <w:p>
            <w:pPr>
              <w:autoSpaceDE w:val="0"/>
              <w:autoSpaceDN w:val="0"/>
              <w:jc w:val="left"/>
              <w:rPr>
                <w:rFonts w:ascii="Times New Roman" w:hAnsi="Times New Roman"/>
                <w:szCs w:val="21"/>
              </w:rPr>
            </w:pPr>
            <w:r>
              <w:rPr>
                <w:rFonts w:ascii="Times New Roman" w:hAnsi="Times New Roman"/>
                <w:szCs w:val="21"/>
              </w:rPr>
              <w:t>港口作业区域照明照度及测量方法</w:t>
            </w:r>
          </w:p>
        </w:tc>
        <w:tc>
          <w:tcPr>
            <w:tcW w:w="1752" w:type="pct"/>
            <w:noWrap w:val="0"/>
            <w:vAlign w:val="center"/>
          </w:tcPr>
          <w:p>
            <w:pPr>
              <w:autoSpaceDE w:val="0"/>
              <w:autoSpaceDN w:val="0"/>
              <w:adjustRightInd w:val="0"/>
              <w:jc w:val="left"/>
              <w:rPr>
                <w:rFonts w:ascii="Times New Roman" w:hAnsi="Times New Roman"/>
                <w:szCs w:val="21"/>
                <w:shd w:val="clear" w:color="auto" w:fill="FFFFFF"/>
              </w:rPr>
            </w:pPr>
            <w:r>
              <w:rPr>
                <w:rFonts w:ascii="Times New Roman" w:hAnsi="Times New Roman"/>
                <w:szCs w:val="21"/>
                <w:shd w:val="clear" w:color="auto" w:fill="FFFFFF"/>
              </w:rPr>
              <w:t>本标准规定了港口作业区域照明照度的技术要求及其测量方法。</w:t>
            </w:r>
          </w:p>
          <w:p>
            <w:pPr>
              <w:autoSpaceDE w:val="0"/>
              <w:autoSpaceDN w:val="0"/>
              <w:adjustRightInd w:val="0"/>
              <w:jc w:val="left"/>
              <w:rPr>
                <w:rFonts w:ascii="Times New Roman" w:hAnsi="Times New Roman"/>
                <w:szCs w:val="21"/>
                <w:shd w:val="clear" w:color="auto" w:fill="FFFFFF"/>
              </w:rPr>
            </w:pPr>
            <w:r>
              <w:rPr>
                <w:rFonts w:ascii="Times New Roman" w:hAnsi="Times New Roman"/>
                <w:szCs w:val="21"/>
                <w:shd w:val="clear" w:color="auto" w:fill="FFFFFF"/>
              </w:rPr>
              <w:t>本标准适用于港口的码头、堆场、仓库、道路、船舶停靠、离岸和外档作业区域、引桥、浮筒及旅客上下船等场所。</w:t>
            </w:r>
          </w:p>
        </w:tc>
        <w:tc>
          <w:tcPr>
            <w:tcW w:w="618" w:type="pct"/>
            <w:noWrap w:val="0"/>
            <w:vAlign w:val="center"/>
          </w:tcPr>
          <w:p>
            <w:pPr>
              <w:jc w:val="left"/>
              <w:rPr>
                <w:rFonts w:ascii="Times New Roman" w:hAnsi="Times New Roman"/>
                <w:sz w:val="23"/>
                <w:szCs w:val="23"/>
                <w:shd w:val="clear" w:color="auto" w:fill="FFFFFF"/>
              </w:rPr>
            </w:pPr>
            <w:r>
              <w:rPr>
                <w:rFonts w:ascii="Times New Roman" w:hAnsi="Times New Roman"/>
                <w:szCs w:val="21"/>
              </w:rPr>
              <w:t>JT/T 557</w:t>
            </w:r>
            <w:r>
              <w:rPr>
                <w:rFonts w:hint="eastAsia" w:ascii="Times New Roman" w:hAnsi="Times New Roman"/>
                <w:szCs w:val="21"/>
              </w:rPr>
              <w:t>—</w:t>
            </w:r>
            <w:r>
              <w:rPr>
                <w:rFonts w:ascii="Times New Roman" w:hAnsi="Times New Roman"/>
                <w:szCs w:val="21"/>
              </w:rPr>
              <w:t>2004</w:t>
            </w: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szCs w:val="21"/>
              </w:rPr>
              <w:t>JT/T 795—2023</w:t>
            </w:r>
          </w:p>
        </w:tc>
        <w:tc>
          <w:tcPr>
            <w:tcW w:w="1140" w:type="pct"/>
            <w:noWrap w:val="0"/>
            <w:vAlign w:val="center"/>
          </w:tcPr>
          <w:p>
            <w:pPr>
              <w:autoSpaceDE w:val="0"/>
              <w:autoSpaceDN w:val="0"/>
              <w:jc w:val="left"/>
              <w:rPr>
                <w:rFonts w:ascii="Times New Roman" w:hAnsi="Times New Roman"/>
                <w:szCs w:val="21"/>
              </w:rPr>
            </w:pPr>
            <w:r>
              <w:rPr>
                <w:rFonts w:ascii="Times New Roman" w:hAnsi="Times New Roman"/>
                <w:szCs w:val="21"/>
              </w:rPr>
              <w:t>事故汽车修复技术规范</w:t>
            </w:r>
          </w:p>
        </w:tc>
        <w:tc>
          <w:tcPr>
            <w:tcW w:w="1752" w:type="pct"/>
            <w:noWrap w:val="0"/>
            <w:vAlign w:val="center"/>
          </w:tcPr>
          <w:p>
            <w:pPr>
              <w:autoSpaceDE w:val="0"/>
              <w:autoSpaceDN w:val="0"/>
              <w:adjustRightInd w:val="0"/>
              <w:jc w:val="left"/>
              <w:rPr>
                <w:rFonts w:ascii="Times New Roman" w:hAnsi="Times New Roman"/>
                <w:szCs w:val="21"/>
              </w:rPr>
            </w:pPr>
            <w:r>
              <w:rPr>
                <w:rFonts w:ascii="Times New Roman" w:hAnsi="Times New Roman"/>
                <w:szCs w:val="21"/>
              </w:rPr>
              <w:t>本标准规定了事故汽车修复的作业流程、工艺要求、零部件修换原则、竣工出厂技术要求及检验方法和质量保证。</w:t>
            </w:r>
          </w:p>
          <w:p>
            <w:pPr>
              <w:autoSpaceDE w:val="0"/>
              <w:autoSpaceDN w:val="0"/>
              <w:jc w:val="left"/>
              <w:rPr>
                <w:rFonts w:ascii="Times New Roman" w:hAnsi="Times New Roman"/>
                <w:szCs w:val="21"/>
              </w:rPr>
            </w:pPr>
            <w:r>
              <w:rPr>
                <w:rFonts w:ascii="Times New Roman" w:hAnsi="Times New Roman"/>
                <w:szCs w:val="21"/>
              </w:rPr>
              <w:t>本标准适用于碰撞事故损伤汽车的修复，涉水和火灾事故汽车修复参照使用。</w:t>
            </w:r>
          </w:p>
        </w:tc>
        <w:tc>
          <w:tcPr>
            <w:tcW w:w="618" w:type="pct"/>
            <w:noWrap w:val="0"/>
            <w:vAlign w:val="center"/>
          </w:tcPr>
          <w:p>
            <w:pPr>
              <w:jc w:val="left"/>
              <w:rPr>
                <w:rFonts w:ascii="Times New Roman" w:hAnsi="Times New Roman"/>
                <w:szCs w:val="21"/>
              </w:rPr>
            </w:pPr>
            <w:r>
              <w:rPr>
                <w:rFonts w:ascii="Times New Roman" w:hAnsi="Times New Roman"/>
                <w:szCs w:val="21"/>
              </w:rPr>
              <w:t>JT/T 795—2011</w:t>
            </w: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szCs w:val="21"/>
              </w:rPr>
              <w:t>JT/T 900—2023</w:t>
            </w:r>
          </w:p>
        </w:tc>
        <w:tc>
          <w:tcPr>
            <w:tcW w:w="1140" w:type="pct"/>
            <w:noWrap w:val="0"/>
            <w:vAlign w:val="center"/>
          </w:tcPr>
          <w:p>
            <w:pPr>
              <w:rPr>
                <w:rFonts w:ascii="Times New Roman" w:hAnsi="Times New Roman"/>
                <w:szCs w:val="21"/>
              </w:rPr>
            </w:pPr>
            <w:r>
              <w:rPr>
                <w:rFonts w:ascii="Times New Roman" w:hAnsi="Times New Roman"/>
                <w:szCs w:val="21"/>
                <w:shd w:val="clear" w:color="auto" w:fill="FFFFFF"/>
              </w:rPr>
              <w:t>汽车售后维修服务客户满意度评价方法</w:t>
            </w:r>
          </w:p>
        </w:tc>
        <w:tc>
          <w:tcPr>
            <w:tcW w:w="1752" w:type="pct"/>
            <w:noWrap w:val="0"/>
            <w:vAlign w:val="center"/>
          </w:tcPr>
          <w:p>
            <w:pPr>
              <w:autoSpaceDE w:val="0"/>
              <w:autoSpaceDN w:val="0"/>
              <w:jc w:val="left"/>
              <w:rPr>
                <w:rFonts w:ascii="Times New Roman" w:hAnsi="Times New Roman"/>
                <w:szCs w:val="21"/>
              </w:rPr>
            </w:pPr>
            <w:r>
              <w:rPr>
                <w:rFonts w:ascii="Times New Roman" w:hAnsi="Times New Roman"/>
                <w:szCs w:val="21"/>
              </w:rPr>
              <w:t>本标准规定了汽车售后维修服务客户满意度评价指标、调查方法、评价计算方法和评价等级。</w:t>
            </w:r>
          </w:p>
          <w:p>
            <w:pPr>
              <w:autoSpaceDE w:val="0"/>
              <w:autoSpaceDN w:val="0"/>
              <w:jc w:val="left"/>
              <w:rPr>
                <w:rFonts w:ascii="Times New Roman" w:hAnsi="Times New Roman"/>
                <w:kern w:val="0"/>
                <w:szCs w:val="21"/>
              </w:rPr>
            </w:pPr>
            <w:r>
              <w:rPr>
                <w:rFonts w:ascii="Times New Roman" w:hAnsi="Times New Roman"/>
                <w:szCs w:val="21"/>
              </w:rPr>
              <w:t>本标准适用于取得汽车生产企业相应品牌售后维修服务授权的汽车维修企业及快修连锁企业，其他汽车维修企业参照使用。</w:t>
            </w:r>
          </w:p>
        </w:tc>
        <w:tc>
          <w:tcPr>
            <w:tcW w:w="618" w:type="pct"/>
            <w:noWrap w:val="0"/>
            <w:vAlign w:val="center"/>
          </w:tcPr>
          <w:p>
            <w:pPr>
              <w:jc w:val="left"/>
              <w:rPr>
                <w:rFonts w:ascii="Times New Roman" w:hAnsi="Times New Roman"/>
                <w:szCs w:val="21"/>
                <w:shd w:val="clear" w:color="auto" w:fill="FFFFFF"/>
              </w:rPr>
            </w:pPr>
            <w:r>
              <w:rPr>
                <w:rFonts w:ascii="Times New Roman" w:hAnsi="Times New Roman"/>
                <w:szCs w:val="21"/>
              </w:rPr>
              <w:t>JT/T 900—2014</w:t>
            </w: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kern w:val="0"/>
                <w:szCs w:val="21"/>
              </w:rPr>
            </w:pPr>
            <w:r>
              <w:rPr>
                <w:rFonts w:ascii="Times New Roman" w:hAnsi="Times New Roman"/>
                <w:kern w:val="0"/>
                <w:szCs w:val="21"/>
              </w:rPr>
              <w:t>JT/T</w:t>
            </w:r>
            <w:r>
              <w:rPr>
                <w:rFonts w:ascii="Times New Roman" w:hAnsi="Times New Roman"/>
                <w:szCs w:val="21"/>
              </w:rPr>
              <w:t xml:space="preserve"> 907</w:t>
            </w:r>
            <w:r>
              <w:rPr>
                <w:rFonts w:ascii="Times New Roman" w:hAnsi="Times New Roman"/>
                <w:kern w:val="0"/>
                <w:szCs w:val="21"/>
              </w:rPr>
              <w:t>—2023</w:t>
            </w:r>
          </w:p>
        </w:tc>
        <w:tc>
          <w:tcPr>
            <w:tcW w:w="1140" w:type="pct"/>
            <w:noWrap w:val="0"/>
            <w:vAlign w:val="center"/>
          </w:tcPr>
          <w:p>
            <w:pPr>
              <w:jc w:val="left"/>
              <w:rPr>
                <w:rFonts w:ascii="Times New Roman" w:hAnsi="Times New Roman"/>
                <w:szCs w:val="21"/>
              </w:rPr>
            </w:pPr>
            <w:r>
              <w:rPr>
                <w:rFonts w:ascii="Times New Roman" w:hAnsi="Times New Roman"/>
                <w:szCs w:val="21"/>
              </w:rPr>
              <w:t>交通运输行业政府网站建设规范</w:t>
            </w:r>
          </w:p>
        </w:tc>
        <w:tc>
          <w:tcPr>
            <w:tcW w:w="1752" w:type="pct"/>
            <w:noWrap w:val="0"/>
            <w:vAlign w:val="center"/>
          </w:tcPr>
          <w:p>
            <w:pPr>
              <w:autoSpaceDE w:val="0"/>
              <w:autoSpaceDN w:val="0"/>
              <w:adjustRightInd w:val="0"/>
              <w:jc w:val="left"/>
              <w:rPr>
                <w:rFonts w:ascii="Times New Roman" w:hAnsi="Times New Roman"/>
                <w:szCs w:val="21"/>
                <w:shd w:val="clear" w:color="auto" w:fill="FFFFFF"/>
              </w:rPr>
            </w:pPr>
            <w:r>
              <w:rPr>
                <w:rFonts w:ascii="Times New Roman" w:hAnsi="Times New Roman"/>
                <w:szCs w:val="21"/>
                <w:shd w:val="clear" w:color="auto" w:fill="FFFFFF"/>
              </w:rPr>
              <w:t>本标准规定了交通运输行业政府网站的定位、建设管理原则，以及内容、功能、设计、技术管理和运维管理的要求。</w:t>
            </w:r>
          </w:p>
          <w:p>
            <w:pPr>
              <w:autoSpaceDE w:val="0"/>
              <w:autoSpaceDN w:val="0"/>
              <w:adjustRightInd w:val="0"/>
              <w:jc w:val="left"/>
              <w:rPr>
                <w:rFonts w:ascii="Times New Roman" w:hAnsi="Times New Roman"/>
                <w:kern w:val="0"/>
                <w:szCs w:val="21"/>
              </w:rPr>
            </w:pPr>
            <w:r>
              <w:rPr>
                <w:rFonts w:ascii="Times New Roman" w:hAnsi="Times New Roman"/>
                <w:szCs w:val="21"/>
                <w:shd w:val="clear" w:color="auto" w:fill="FFFFFF"/>
              </w:rPr>
              <w:t>本标准适用于各级交通运输主管部门、派出机构和承担行政职能事业单位的政府网站建设与管理。</w:t>
            </w:r>
          </w:p>
        </w:tc>
        <w:tc>
          <w:tcPr>
            <w:tcW w:w="618" w:type="pct"/>
            <w:noWrap w:val="0"/>
            <w:vAlign w:val="center"/>
          </w:tcPr>
          <w:p>
            <w:pPr>
              <w:jc w:val="left"/>
              <w:rPr>
                <w:rFonts w:ascii="Times New Roman" w:hAnsi="Times New Roman"/>
                <w:szCs w:val="21"/>
              </w:rPr>
            </w:pPr>
            <w:r>
              <w:rPr>
                <w:rFonts w:ascii="Times New Roman" w:hAnsi="Times New Roman"/>
                <w:szCs w:val="21"/>
              </w:rPr>
              <w:t>JT/T 907—2014</w:t>
            </w: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szCs w:val="21"/>
              </w:rPr>
              <w:t>JT/T 1161.3—2023</w:t>
            </w:r>
          </w:p>
        </w:tc>
        <w:tc>
          <w:tcPr>
            <w:tcW w:w="1140" w:type="pct"/>
            <w:noWrap w:val="0"/>
            <w:vAlign w:val="center"/>
          </w:tcPr>
          <w:p>
            <w:pPr>
              <w:rPr>
                <w:rFonts w:ascii="Times New Roman" w:hAnsi="Times New Roman"/>
                <w:szCs w:val="21"/>
                <w:shd w:val="clear" w:color="auto" w:fill="FFFFFF"/>
              </w:rPr>
            </w:pPr>
            <w:r>
              <w:rPr>
                <w:rFonts w:ascii="Times New Roman" w:hAnsi="Times New Roman"/>
                <w:szCs w:val="21"/>
                <w:shd w:val="clear" w:color="auto" w:fill="FFFFFF"/>
              </w:rPr>
              <w:t>沿海港口航道基础地理信息要素 第3部分：图示表达</w:t>
            </w:r>
          </w:p>
        </w:tc>
        <w:tc>
          <w:tcPr>
            <w:tcW w:w="1752" w:type="pct"/>
            <w:noWrap w:val="0"/>
            <w:vAlign w:val="center"/>
          </w:tcPr>
          <w:p>
            <w:pPr>
              <w:autoSpaceDE w:val="0"/>
              <w:autoSpaceDN w:val="0"/>
              <w:jc w:val="left"/>
              <w:rPr>
                <w:rFonts w:ascii="Times New Roman" w:hAnsi="Times New Roman"/>
                <w:szCs w:val="21"/>
              </w:rPr>
            </w:pPr>
            <w:r>
              <w:rPr>
                <w:rFonts w:ascii="Times New Roman" w:hAnsi="Times New Roman"/>
                <w:szCs w:val="21"/>
              </w:rPr>
              <w:t>JT/T 1161的本部分规定了沿海港口航道基础地理信息要素的图示表达机制、颜色库与符号库定义方法及扩展与存储规则。</w:t>
            </w:r>
          </w:p>
          <w:p>
            <w:pPr>
              <w:autoSpaceDE w:val="0"/>
              <w:autoSpaceDN w:val="0"/>
              <w:jc w:val="left"/>
              <w:rPr>
                <w:rFonts w:ascii="Times New Roman" w:hAnsi="Times New Roman"/>
                <w:kern w:val="0"/>
                <w:szCs w:val="21"/>
              </w:rPr>
            </w:pPr>
            <w:r>
              <w:rPr>
                <w:rFonts w:ascii="Times New Roman" w:hAnsi="Times New Roman"/>
                <w:szCs w:val="21"/>
              </w:rPr>
              <w:t>本部分适用于沿海港口航道基础地理信息制图、可视化及应用系统的设计和开发，标准航海图编绘参照使用。</w:t>
            </w:r>
          </w:p>
        </w:tc>
        <w:tc>
          <w:tcPr>
            <w:tcW w:w="618" w:type="pct"/>
            <w:noWrap w:val="0"/>
            <w:vAlign w:val="center"/>
          </w:tcPr>
          <w:p>
            <w:pPr>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szCs w:val="21"/>
              </w:rPr>
            </w:pPr>
            <w:r>
              <w:rPr>
                <w:rFonts w:ascii="Times New Roman" w:hAnsi="Times New Roman"/>
                <w:kern w:val="0"/>
                <w:szCs w:val="21"/>
              </w:rPr>
              <w:t>JT/T</w:t>
            </w:r>
            <w:r>
              <w:rPr>
                <w:rFonts w:ascii="Times New Roman" w:hAnsi="Times New Roman"/>
                <w:szCs w:val="21"/>
              </w:rPr>
              <w:t xml:space="preserve"> 1172.2</w:t>
            </w:r>
            <w:r>
              <w:rPr>
                <w:rFonts w:ascii="Times New Roman" w:hAnsi="Times New Roman"/>
                <w:kern w:val="0"/>
                <w:szCs w:val="21"/>
              </w:rPr>
              <w:t>—2023</w:t>
            </w:r>
          </w:p>
        </w:tc>
        <w:tc>
          <w:tcPr>
            <w:tcW w:w="1140" w:type="pct"/>
            <w:noWrap w:val="0"/>
            <w:vAlign w:val="center"/>
          </w:tcPr>
          <w:p>
            <w:pPr>
              <w:rPr>
                <w:rFonts w:ascii="Times New Roman" w:hAnsi="Times New Roman"/>
                <w:szCs w:val="21"/>
              </w:rPr>
            </w:pPr>
            <w:r>
              <w:rPr>
                <w:rFonts w:ascii="Times New Roman" w:hAnsi="Times New Roman"/>
                <w:szCs w:val="21"/>
              </w:rPr>
              <w:t>系列2集装箱 技术要求和试验方法 第2部分：保温集装箱</w:t>
            </w:r>
          </w:p>
        </w:tc>
        <w:tc>
          <w:tcPr>
            <w:tcW w:w="1752" w:type="pct"/>
            <w:noWrap w:val="0"/>
            <w:vAlign w:val="center"/>
          </w:tcPr>
          <w:p>
            <w:pPr>
              <w:pStyle w:val="5"/>
              <w:ind w:firstLine="0" w:firstLineChars="0"/>
              <w:rPr>
                <w:rFonts w:ascii="Times New Roman" w:hAnsi="Times New Roman" w:eastAsia="宋体"/>
                <w:szCs w:val="21"/>
              </w:rPr>
            </w:pPr>
            <w:r>
              <w:rPr>
                <w:rFonts w:ascii="Times New Roman" w:hAnsi="Times New Roman" w:eastAsia="宋体"/>
                <w:szCs w:val="21"/>
              </w:rPr>
              <w:t>JT/T 1172的本部分规定了系列2保温集装箱的技术要求和试验方法。</w:t>
            </w:r>
          </w:p>
          <w:p>
            <w:pPr>
              <w:pStyle w:val="5"/>
              <w:ind w:firstLine="0" w:firstLineChars="0"/>
              <w:rPr>
                <w:rFonts w:ascii="Times New Roman" w:hAnsi="Times New Roman" w:eastAsia="宋体"/>
                <w:szCs w:val="21"/>
              </w:rPr>
            </w:pPr>
            <w:r>
              <w:rPr>
                <w:rFonts w:ascii="Times New Roman" w:hAnsi="Times New Roman" w:eastAsia="宋体"/>
                <w:szCs w:val="21"/>
              </w:rPr>
              <w:t>本部分适用于系列2保温集装箱的设计、生产、检验和使用。</w:t>
            </w:r>
          </w:p>
        </w:tc>
        <w:tc>
          <w:tcPr>
            <w:tcW w:w="618" w:type="pct"/>
            <w:noWrap w:val="0"/>
            <w:vAlign w:val="center"/>
          </w:tcPr>
          <w:p>
            <w:pPr>
              <w:widowControl/>
              <w:jc w:val="left"/>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kern w:val="0"/>
                <w:szCs w:val="21"/>
              </w:rPr>
            </w:pPr>
            <w:r>
              <w:rPr>
                <w:rFonts w:ascii="Times New Roman" w:hAnsi="Times New Roman"/>
                <w:kern w:val="0"/>
                <w:szCs w:val="21"/>
              </w:rPr>
              <w:t>JT/T 1172.3—2023</w:t>
            </w:r>
          </w:p>
        </w:tc>
        <w:tc>
          <w:tcPr>
            <w:tcW w:w="1140" w:type="pct"/>
            <w:noWrap w:val="0"/>
            <w:vAlign w:val="center"/>
          </w:tcPr>
          <w:p>
            <w:pPr>
              <w:rPr>
                <w:rFonts w:ascii="Times New Roman" w:hAnsi="Times New Roman"/>
                <w:szCs w:val="21"/>
              </w:rPr>
            </w:pPr>
            <w:r>
              <w:rPr>
                <w:rFonts w:ascii="Times New Roman" w:hAnsi="Times New Roman"/>
                <w:szCs w:val="21"/>
              </w:rPr>
              <w:t>系列2集装箱 技术要求和试验方法 第3部分：液体、气体及加压干散货罐式集装箱</w:t>
            </w:r>
          </w:p>
        </w:tc>
        <w:tc>
          <w:tcPr>
            <w:tcW w:w="1752" w:type="pct"/>
            <w:noWrap w:val="0"/>
            <w:vAlign w:val="center"/>
          </w:tcPr>
          <w:p>
            <w:pPr>
              <w:pStyle w:val="5"/>
              <w:ind w:firstLine="0" w:firstLineChars="0"/>
              <w:rPr>
                <w:rFonts w:ascii="Times New Roman" w:hAnsi="Times New Roman" w:eastAsia="宋体"/>
                <w:szCs w:val="21"/>
              </w:rPr>
            </w:pPr>
            <w:r>
              <w:rPr>
                <w:rFonts w:ascii="Times New Roman" w:hAnsi="Times New Roman" w:eastAsia="宋体"/>
                <w:szCs w:val="21"/>
              </w:rPr>
              <w:t>JT/T 1172的本部分规定了系列2液体、气体及加压干散货罐式集装箱的技术要求、试验方法以及识别与标记。</w:t>
            </w:r>
          </w:p>
          <w:p>
            <w:pPr>
              <w:pStyle w:val="5"/>
              <w:ind w:firstLine="0" w:firstLineChars="0"/>
              <w:rPr>
                <w:rFonts w:ascii="Times New Roman" w:hAnsi="Times New Roman" w:eastAsia="宋体"/>
                <w:szCs w:val="21"/>
              </w:rPr>
            </w:pPr>
            <w:r>
              <w:rPr>
                <w:rFonts w:ascii="Times New Roman" w:hAnsi="Times New Roman" w:eastAsia="宋体"/>
                <w:szCs w:val="21"/>
              </w:rPr>
              <w:t>本部分适用于系列2液体、气体及加压干散货罐式集装箱的设计、生产、检验和使用。</w:t>
            </w:r>
          </w:p>
          <w:p>
            <w:pPr>
              <w:pStyle w:val="5"/>
              <w:ind w:firstLine="0" w:firstLineChars="0"/>
              <w:rPr>
                <w:rFonts w:ascii="Times New Roman" w:hAnsi="Times New Roman" w:eastAsia="宋体"/>
                <w:szCs w:val="21"/>
              </w:rPr>
            </w:pPr>
            <w:r>
              <w:rPr>
                <w:rFonts w:ascii="Times New Roman" w:hAnsi="Times New Roman" w:eastAsia="宋体"/>
                <w:szCs w:val="21"/>
              </w:rPr>
              <w:t>本部分不适用于运输危险货物的系列2液体、气体及加压干散货罐式集装箱。</w:t>
            </w:r>
          </w:p>
        </w:tc>
        <w:tc>
          <w:tcPr>
            <w:tcW w:w="618" w:type="pct"/>
            <w:noWrap w:val="0"/>
            <w:vAlign w:val="center"/>
          </w:tcPr>
          <w:p>
            <w:pPr>
              <w:widowControl/>
              <w:jc w:val="left"/>
              <w:rPr>
                <w:rFonts w:ascii="Times New Roman" w:hAnsi="Times New Roman"/>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kern w:val="0"/>
                <w:szCs w:val="21"/>
              </w:rPr>
            </w:pPr>
            <w:r>
              <w:rPr>
                <w:rFonts w:ascii="Times New Roman" w:hAnsi="Times New Roman"/>
                <w:kern w:val="0"/>
                <w:szCs w:val="21"/>
              </w:rPr>
              <w:t>JT/T</w:t>
            </w:r>
            <w:r>
              <w:rPr>
                <w:rFonts w:ascii="Times New Roman" w:hAnsi="Times New Roman"/>
                <w:szCs w:val="21"/>
              </w:rPr>
              <w:t xml:space="preserve"> 1172.4</w:t>
            </w:r>
            <w:r>
              <w:rPr>
                <w:rFonts w:ascii="Times New Roman" w:hAnsi="Times New Roman"/>
                <w:kern w:val="0"/>
                <w:szCs w:val="21"/>
              </w:rPr>
              <w:t>—2023</w:t>
            </w:r>
          </w:p>
        </w:tc>
        <w:tc>
          <w:tcPr>
            <w:tcW w:w="1140" w:type="pct"/>
            <w:noWrap w:val="0"/>
            <w:vAlign w:val="center"/>
          </w:tcPr>
          <w:p>
            <w:pPr>
              <w:rPr>
                <w:rFonts w:ascii="Times New Roman" w:hAnsi="Times New Roman"/>
                <w:szCs w:val="21"/>
              </w:rPr>
            </w:pPr>
            <w:r>
              <w:rPr>
                <w:rFonts w:ascii="Times New Roman" w:hAnsi="Times New Roman"/>
                <w:szCs w:val="21"/>
              </w:rPr>
              <w:t>系列2集装箱 技术要求和试验方法 第4部分：无压干散货集装箱</w:t>
            </w:r>
          </w:p>
        </w:tc>
        <w:tc>
          <w:tcPr>
            <w:tcW w:w="1752" w:type="pct"/>
            <w:noWrap w:val="0"/>
            <w:vAlign w:val="center"/>
          </w:tcPr>
          <w:p>
            <w:pPr>
              <w:rPr>
                <w:rFonts w:ascii="Times New Roman" w:hAnsi="Times New Roman"/>
                <w:szCs w:val="21"/>
              </w:rPr>
            </w:pPr>
            <w:r>
              <w:rPr>
                <w:rFonts w:ascii="Times New Roman" w:hAnsi="Times New Roman"/>
                <w:szCs w:val="21"/>
              </w:rPr>
              <w:t>JT/T 1172的本部分规定了系列2无压干散货集装箱的类型、尺寸和额定质量、技术要求和试验方法。</w:t>
            </w:r>
          </w:p>
          <w:p>
            <w:pPr>
              <w:rPr>
                <w:rFonts w:ascii="Times New Roman" w:hAnsi="Times New Roman"/>
                <w:szCs w:val="21"/>
              </w:rPr>
            </w:pPr>
            <w:r>
              <w:rPr>
                <w:rFonts w:ascii="Times New Roman" w:hAnsi="Times New Roman"/>
                <w:szCs w:val="21"/>
              </w:rPr>
              <w:t>本部分适用于系列2无压干散货集装箱的设计、生产、检验和使用。</w:t>
            </w:r>
          </w:p>
        </w:tc>
        <w:tc>
          <w:tcPr>
            <w:tcW w:w="618" w:type="pct"/>
            <w:noWrap w:val="0"/>
            <w:vAlign w:val="center"/>
          </w:tcPr>
          <w:p>
            <w:pPr>
              <w:jc w:val="left"/>
              <w:rPr>
                <w:rFonts w:ascii="Times New Roman" w:hAnsi="Times New Roman"/>
                <w:kern w:val="0"/>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323" w:type="pct"/>
            <w:noWrap w:val="0"/>
            <w:vAlign w:val="center"/>
          </w:tcPr>
          <w:p>
            <w:pPr>
              <w:numPr>
                <w:ilvl w:val="0"/>
                <w:numId w:val="2"/>
              </w:numPr>
              <w:jc w:val="center"/>
              <w:rPr>
                <w:rFonts w:ascii="Times New Roman" w:hAnsi="Times New Roman"/>
                <w:szCs w:val="21"/>
              </w:rPr>
            </w:pPr>
          </w:p>
        </w:tc>
        <w:tc>
          <w:tcPr>
            <w:tcW w:w="764" w:type="pct"/>
            <w:noWrap w:val="0"/>
            <w:vAlign w:val="center"/>
          </w:tcPr>
          <w:p>
            <w:pPr>
              <w:jc w:val="left"/>
              <w:rPr>
                <w:rFonts w:ascii="Times New Roman" w:hAnsi="Times New Roman"/>
                <w:kern w:val="0"/>
                <w:szCs w:val="21"/>
              </w:rPr>
            </w:pPr>
            <w:r>
              <w:rPr>
                <w:rFonts w:ascii="Times New Roman" w:hAnsi="Times New Roman"/>
                <w:kern w:val="0"/>
                <w:szCs w:val="21"/>
              </w:rPr>
              <w:t>JT/T</w:t>
            </w:r>
            <w:r>
              <w:rPr>
                <w:rFonts w:ascii="Times New Roman" w:hAnsi="Times New Roman"/>
                <w:szCs w:val="21"/>
              </w:rPr>
              <w:t xml:space="preserve"> 1172.5</w:t>
            </w:r>
            <w:r>
              <w:rPr>
                <w:rFonts w:ascii="Times New Roman" w:hAnsi="Times New Roman"/>
                <w:kern w:val="0"/>
                <w:szCs w:val="21"/>
              </w:rPr>
              <w:t>—2023</w:t>
            </w:r>
          </w:p>
        </w:tc>
        <w:tc>
          <w:tcPr>
            <w:tcW w:w="1140" w:type="pct"/>
            <w:noWrap w:val="0"/>
            <w:vAlign w:val="center"/>
          </w:tcPr>
          <w:p>
            <w:pPr>
              <w:rPr>
                <w:rFonts w:ascii="Times New Roman" w:hAnsi="Times New Roman"/>
                <w:szCs w:val="21"/>
              </w:rPr>
            </w:pPr>
            <w:r>
              <w:rPr>
                <w:rFonts w:ascii="Times New Roman" w:hAnsi="Times New Roman"/>
                <w:szCs w:val="21"/>
              </w:rPr>
              <w:t>系列2集装箱 技术要求和试验方法 第5部分：平台和台架式集装箱</w:t>
            </w:r>
          </w:p>
        </w:tc>
        <w:tc>
          <w:tcPr>
            <w:tcW w:w="1752" w:type="pct"/>
            <w:noWrap w:val="0"/>
            <w:vAlign w:val="center"/>
          </w:tcPr>
          <w:p>
            <w:pPr>
              <w:rPr>
                <w:rFonts w:ascii="Times New Roman" w:hAnsi="Times New Roman"/>
                <w:szCs w:val="21"/>
              </w:rPr>
            </w:pPr>
            <w:r>
              <w:rPr>
                <w:rFonts w:ascii="Times New Roman" w:hAnsi="Times New Roman"/>
                <w:szCs w:val="21"/>
              </w:rPr>
              <w:t>JT/T 1172的本部分规定了系列2平台和台架式集装箱的类型、尺寸和额定质量，技术要求和试验方法。</w:t>
            </w:r>
          </w:p>
          <w:p>
            <w:pPr>
              <w:rPr>
                <w:rFonts w:ascii="Times New Roman" w:hAnsi="Times New Roman"/>
                <w:szCs w:val="21"/>
              </w:rPr>
            </w:pPr>
            <w:r>
              <w:rPr>
                <w:rFonts w:ascii="Times New Roman" w:hAnsi="Times New Roman"/>
                <w:szCs w:val="21"/>
              </w:rPr>
              <w:t>本部分适用于系列2平台和台架式集装箱的设计、生产、检验和使用。</w:t>
            </w:r>
          </w:p>
        </w:tc>
        <w:tc>
          <w:tcPr>
            <w:tcW w:w="618" w:type="pct"/>
            <w:noWrap w:val="0"/>
            <w:vAlign w:val="center"/>
          </w:tcPr>
          <w:p>
            <w:pPr>
              <w:jc w:val="left"/>
              <w:rPr>
                <w:rFonts w:ascii="Times New Roman" w:hAnsi="Times New Roman"/>
                <w:kern w:val="0"/>
                <w:szCs w:val="21"/>
              </w:rPr>
            </w:pPr>
          </w:p>
        </w:tc>
        <w:tc>
          <w:tcPr>
            <w:tcW w:w="403" w:type="pct"/>
            <w:noWrap w:val="0"/>
            <w:vAlign w:val="center"/>
          </w:tcPr>
          <w:p>
            <w:pPr>
              <w:jc w:val="center"/>
              <w:rPr>
                <w:rFonts w:ascii="Times New Roman" w:hAnsi="Times New Roman"/>
                <w:szCs w:val="21"/>
              </w:rPr>
            </w:pPr>
            <w:r>
              <w:rPr>
                <w:rFonts w:hint="eastAsia" w:ascii="Times New Roman" w:hAnsi="Times New Roman"/>
                <w:szCs w:val="21"/>
              </w:rPr>
              <w:t>2024-03-01</w:t>
            </w:r>
          </w:p>
        </w:tc>
      </w:tr>
    </w:tbl>
    <w:p>
      <w:pPr>
        <w:rPr>
          <w:rFonts w:hint="eastAsia"/>
        </w:rPr>
      </w:pPr>
    </w:p>
    <w:p>
      <w:pPr>
        <w:pStyle w:val="2"/>
        <w:rPr>
          <w:rFonts w:hint="eastAsia"/>
        </w:rPr>
      </w:pPr>
    </w:p>
    <w:p/>
    <w:sectPr>
      <w:pgSz w:w="16838" w:h="11906" w:orient="landscape"/>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2F11FF"/>
    <w:multiLevelType w:val="multilevel"/>
    <w:tmpl w:val="6C2F11FF"/>
    <w:lvl w:ilvl="0" w:tentative="0">
      <w:start w:val="1"/>
      <w:numFmt w:val="decimal"/>
      <w:lvlText w:val="%1"/>
      <w:lvlJc w:val="left"/>
      <w:pPr>
        <w:ind w:left="704" w:hanging="420"/>
      </w:pPr>
      <w:rPr>
        <w:rFonts w:hint="eastAsia"/>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6D737554"/>
    <w:rsid w:val="6D73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0"/>
      <w:szCs w:val="20"/>
    </w:r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宋体" w:eastAsia="Times New Roman"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2023-12-07T07:53:00Z</dcterms:created>
  <dc:creator> </dc:creator>
  <cp:lastModifiedBy> </cp:lastModifiedBy>
  <dcterms:modified xsi:type="dcterms:W3CDTF">2023-12-07T07:54:14Z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BE09EB305A134E1995E5997BB42549DD_11</vt:lpwstr>
  </property>
</Properties>
</file>