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20643" w14:textId="77777777" w:rsidR="00C66BBC" w:rsidRDefault="00C66BBC" w:rsidP="00C66BBC">
      <w:pPr>
        <w:snapToGrid w:val="0"/>
        <w:rPr>
          <w:rFonts w:ascii="黑体" w:eastAsia="黑体"/>
          <w:sz w:val="28"/>
          <w:szCs w:val="28"/>
        </w:rPr>
      </w:pPr>
      <w:r>
        <w:rPr>
          <w:rFonts w:ascii="黑体" w:eastAsia="黑体" w:hint="eastAsia"/>
          <w:sz w:val="28"/>
          <w:szCs w:val="28"/>
        </w:rPr>
        <w:t>附件</w:t>
      </w:r>
    </w:p>
    <w:p w14:paraId="4500203F" w14:textId="77777777" w:rsidR="00C66BBC" w:rsidRPr="00C66BBC" w:rsidRDefault="00C66BBC" w:rsidP="00C66BBC">
      <w:pPr>
        <w:snapToGrid w:val="0"/>
        <w:jc w:val="center"/>
        <w:rPr>
          <w:rFonts w:ascii="方正小标宋_GBK" w:eastAsia="方正小标宋_GBK"/>
          <w:sz w:val="40"/>
          <w:szCs w:val="40"/>
        </w:rPr>
      </w:pPr>
      <w:bookmarkStart w:id="0" w:name="_Hlk26354268"/>
      <w:r w:rsidRPr="00C66BBC">
        <w:rPr>
          <w:rFonts w:ascii="方正小标宋_GBK" w:eastAsia="方正小标宋_GBK" w:hint="eastAsia"/>
          <w:sz w:val="40"/>
          <w:szCs w:val="40"/>
        </w:rPr>
        <w:t>发布的14项交通运输行业标准</w:t>
      </w:r>
      <w:bookmarkEnd w:id="0"/>
      <w:r w:rsidRPr="00C66BBC">
        <w:rPr>
          <w:rFonts w:ascii="方正小标宋_GBK" w:eastAsia="方正小标宋_GBK" w:hint="eastAsia"/>
          <w:sz w:val="40"/>
          <w:szCs w:val="40"/>
        </w:rPr>
        <w:t>编号、名称、</w:t>
      </w:r>
    </w:p>
    <w:p w14:paraId="0886FC9A" w14:textId="32320BEC" w:rsidR="00C66BBC" w:rsidRPr="00C66BBC" w:rsidRDefault="00C66BBC" w:rsidP="00C66BBC">
      <w:pPr>
        <w:snapToGrid w:val="0"/>
        <w:jc w:val="center"/>
        <w:rPr>
          <w:rFonts w:ascii="方正小标宋_GBK" w:eastAsia="方正小标宋_GBK"/>
          <w:sz w:val="40"/>
          <w:szCs w:val="40"/>
        </w:rPr>
      </w:pPr>
      <w:r w:rsidRPr="00C66BBC">
        <w:rPr>
          <w:rFonts w:ascii="方正小标宋_GBK" w:eastAsia="方正小标宋_GBK" w:hint="eastAsia"/>
          <w:sz w:val="40"/>
          <w:szCs w:val="40"/>
        </w:rPr>
        <w:t>主要内容等一览表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00" w:firstRow="0" w:lastRow="0" w:firstColumn="0" w:lastColumn="0" w:noHBand="0" w:noVBand="0"/>
      </w:tblPr>
      <w:tblGrid>
        <w:gridCol w:w="669"/>
        <w:gridCol w:w="1453"/>
        <w:gridCol w:w="2835"/>
        <w:gridCol w:w="6095"/>
        <w:gridCol w:w="1639"/>
        <w:gridCol w:w="1249"/>
      </w:tblGrid>
      <w:tr w:rsidR="00C66BBC" w14:paraId="22A44A42" w14:textId="77777777" w:rsidTr="0085452F">
        <w:trPr>
          <w:cantSplit/>
          <w:trHeight w:val="454"/>
          <w:tblHeader/>
        </w:trPr>
        <w:tc>
          <w:tcPr>
            <w:tcW w:w="240" w:type="pct"/>
            <w:vAlign w:val="center"/>
          </w:tcPr>
          <w:p w14:paraId="3D9565A2" w14:textId="77777777" w:rsidR="00C66BBC" w:rsidRDefault="00C66BBC" w:rsidP="00200F68">
            <w:pPr>
              <w:jc w:val="center"/>
              <w:rPr>
                <w:rFonts w:ascii="Times New Roman" w:hAnsi="Times New Roman"/>
                <w:b/>
                <w:bCs/>
                <w:szCs w:val="21"/>
              </w:rPr>
            </w:pPr>
            <w:r>
              <w:rPr>
                <w:rFonts w:ascii="Times New Roman" w:hAnsi="Times New Roman"/>
                <w:b/>
                <w:bCs/>
                <w:szCs w:val="21"/>
              </w:rPr>
              <w:t>序号</w:t>
            </w:r>
          </w:p>
        </w:tc>
        <w:tc>
          <w:tcPr>
            <w:tcW w:w="521" w:type="pct"/>
            <w:vAlign w:val="center"/>
          </w:tcPr>
          <w:p w14:paraId="2768BF7A" w14:textId="77777777" w:rsidR="00C66BBC" w:rsidRDefault="00C66BBC" w:rsidP="00C66BBC">
            <w:pPr>
              <w:jc w:val="center"/>
              <w:rPr>
                <w:rFonts w:ascii="Times New Roman" w:hAnsi="Times New Roman"/>
                <w:b/>
                <w:bCs/>
                <w:szCs w:val="21"/>
              </w:rPr>
            </w:pPr>
            <w:r>
              <w:rPr>
                <w:rFonts w:ascii="Times New Roman" w:hAnsi="Times New Roman"/>
                <w:b/>
                <w:bCs/>
                <w:szCs w:val="21"/>
              </w:rPr>
              <w:t>标准编号</w:t>
            </w:r>
          </w:p>
        </w:tc>
        <w:tc>
          <w:tcPr>
            <w:tcW w:w="1017" w:type="pct"/>
            <w:vAlign w:val="center"/>
          </w:tcPr>
          <w:p w14:paraId="78866862" w14:textId="67BA373D" w:rsidR="00C66BBC" w:rsidRDefault="00C66BBC" w:rsidP="00200F68">
            <w:pPr>
              <w:jc w:val="center"/>
              <w:rPr>
                <w:rFonts w:ascii="Times New Roman" w:hAnsi="Times New Roman"/>
                <w:b/>
                <w:bCs/>
                <w:szCs w:val="21"/>
              </w:rPr>
            </w:pPr>
            <w:r>
              <w:rPr>
                <w:rFonts w:ascii="Times New Roman" w:hAnsi="Times New Roman"/>
                <w:b/>
                <w:bCs/>
                <w:szCs w:val="21"/>
              </w:rPr>
              <w:t>标</w:t>
            </w:r>
            <w:r>
              <w:rPr>
                <w:rFonts w:ascii="Times New Roman" w:hAnsi="Times New Roman" w:hint="eastAsia"/>
                <w:b/>
                <w:bCs/>
                <w:szCs w:val="21"/>
              </w:rPr>
              <w:t xml:space="preserve"> </w:t>
            </w:r>
            <w:r>
              <w:rPr>
                <w:rFonts w:ascii="Times New Roman" w:hAnsi="Times New Roman"/>
                <w:b/>
                <w:bCs/>
                <w:szCs w:val="21"/>
              </w:rPr>
              <w:t>准</w:t>
            </w:r>
            <w:r>
              <w:rPr>
                <w:rFonts w:ascii="Times New Roman" w:hAnsi="Times New Roman" w:hint="eastAsia"/>
                <w:b/>
                <w:bCs/>
                <w:szCs w:val="21"/>
              </w:rPr>
              <w:t xml:space="preserve"> </w:t>
            </w:r>
            <w:r>
              <w:rPr>
                <w:rFonts w:ascii="Times New Roman" w:hAnsi="Times New Roman"/>
                <w:b/>
                <w:bCs/>
                <w:szCs w:val="21"/>
              </w:rPr>
              <w:t>名</w:t>
            </w:r>
            <w:r>
              <w:rPr>
                <w:rFonts w:ascii="Times New Roman" w:hAnsi="Times New Roman" w:hint="eastAsia"/>
                <w:b/>
                <w:bCs/>
                <w:szCs w:val="21"/>
              </w:rPr>
              <w:t xml:space="preserve"> </w:t>
            </w:r>
            <w:r>
              <w:rPr>
                <w:rFonts w:ascii="Times New Roman" w:hAnsi="Times New Roman"/>
                <w:b/>
                <w:bCs/>
                <w:szCs w:val="21"/>
              </w:rPr>
              <w:t>称</w:t>
            </w:r>
          </w:p>
        </w:tc>
        <w:tc>
          <w:tcPr>
            <w:tcW w:w="2186" w:type="pct"/>
            <w:vAlign w:val="center"/>
          </w:tcPr>
          <w:p w14:paraId="575F793A" w14:textId="114B37CD" w:rsidR="00C66BBC" w:rsidRDefault="00C66BBC" w:rsidP="00200F68">
            <w:pPr>
              <w:spacing w:line="276" w:lineRule="auto"/>
              <w:jc w:val="center"/>
              <w:rPr>
                <w:rFonts w:ascii="Times New Roman" w:hAnsi="Times New Roman"/>
                <w:szCs w:val="21"/>
              </w:rPr>
            </w:pPr>
            <w:r>
              <w:rPr>
                <w:rFonts w:ascii="Times New Roman" w:hAnsi="Times New Roman"/>
                <w:b/>
                <w:bCs/>
                <w:szCs w:val="21"/>
              </w:rPr>
              <w:t>主</w:t>
            </w:r>
            <w:r>
              <w:rPr>
                <w:rFonts w:ascii="Times New Roman" w:hAnsi="Times New Roman" w:hint="eastAsia"/>
                <w:b/>
                <w:bCs/>
                <w:szCs w:val="21"/>
              </w:rPr>
              <w:t xml:space="preserve">  </w:t>
            </w:r>
            <w:r>
              <w:rPr>
                <w:rFonts w:ascii="Times New Roman" w:hAnsi="Times New Roman"/>
                <w:b/>
                <w:bCs/>
                <w:szCs w:val="21"/>
              </w:rPr>
              <w:t>要</w:t>
            </w:r>
            <w:r>
              <w:rPr>
                <w:rFonts w:ascii="Times New Roman" w:hAnsi="Times New Roman" w:hint="eastAsia"/>
                <w:b/>
                <w:bCs/>
                <w:szCs w:val="21"/>
              </w:rPr>
              <w:t xml:space="preserve">  </w:t>
            </w:r>
            <w:r>
              <w:rPr>
                <w:rFonts w:ascii="Times New Roman" w:hAnsi="Times New Roman"/>
                <w:b/>
                <w:bCs/>
                <w:szCs w:val="21"/>
              </w:rPr>
              <w:t>内</w:t>
            </w:r>
            <w:r>
              <w:rPr>
                <w:rFonts w:ascii="Times New Roman" w:hAnsi="Times New Roman" w:hint="eastAsia"/>
                <w:b/>
                <w:bCs/>
                <w:szCs w:val="21"/>
              </w:rPr>
              <w:t xml:space="preserve">  </w:t>
            </w:r>
            <w:r>
              <w:rPr>
                <w:rFonts w:ascii="Times New Roman" w:hAnsi="Times New Roman"/>
                <w:b/>
                <w:bCs/>
                <w:szCs w:val="21"/>
              </w:rPr>
              <w:t>容</w:t>
            </w:r>
          </w:p>
        </w:tc>
        <w:tc>
          <w:tcPr>
            <w:tcW w:w="588" w:type="pct"/>
            <w:vAlign w:val="center"/>
          </w:tcPr>
          <w:p w14:paraId="04BA8934" w14:textId="77777777" w:rsidR="00C66BBC" w:rsidRDefault="00C66BBC" w:rsidP="00C66BBC">
            <w:pPr>
              <w:jc w:val="center"/>
              <w:rPr>
                <w:rFonts w:ascii="Times New Roman" w:hAnsi="Times New Roman"/>
                <w:b/>
                <w:bCs/>
                <w:szCs w:val="21"/>
              </w:rPr>
            </w:pPr>
            <w:r>
              <w:rPr>
                <w:rFonts w:ascii="Times New Roman" w:hAnsi="Times New Roman"/>
                <w:b/>
                <w:bCs/>
                <w:szCs w:val="21"/>
              </w:rPr>
              <w:t>代替标准编号</w:t>
            </w:r>
          </w:p>
        </w:tc>
        <w:tc>
          <w:tcPr>
            <w:tcW w:w="448" w:type="pct"/>
            <w:vAlign w:val="center"/>
          </w:tcPr>
          <w:p w14:paraId="032E4F49" w14:textId="77777777" w:rsidR="00C66BBC" w:rsidRDefault="00C66BBC" w:rsidP="00200F68">
            <w:pPr>
              <w:jc w:val="center"/>
              <w:rPr>
                <w:rFonts w:ascii="Times New Roman" w:hAnsi="Times New Roman"/>
                <w:b/>
                <w:bCs/>
                <w:szCs w:val="21"/>
              </w:rPr>
            </w:pPr>
            <w:r>
              <w:rPr>
                <w:rFonts w:ascii="Times New Roman" w:hAnsi="Times New Roman"/>
                <w:b/>
                <w:bCs/>
                <w:szCs w:val="21"/>
              </w:rPr>
              <w:t>实施</w:t>
            </w:r>
            <w:r>
              <w:rPr>
                <w:rFonts w:ascii="Times New Roman" w:hAnsi="Times New Roman" w:hint="eastAsia"/>
                <w:b/>
                <w:bCs/>
                <w:szCs w:val="21"/>
              </w:rPr>
              <w:t>日</w:t>
            </w:r>
            <w:r>
              <w:rPr>
                <w:rFonts w:ascii="Times New Roman" w:hAnsi="Times New Roman"/>
                <w:b/>
                <w:bCs/>
                <w:szCs w:val="21"/>
              </w:rPr>
              <w:t>期</w:t>
            </w:r>
          </w:p>
        </w:tc>
      </w:tr>
      <w:tr w:rsidR="00C66BBC" w14:paraId="6CA57895" w14:textId="77777777" w:rsidTr="0085452F">
        <w:trPr>
          <w:cantSplit/>
          <w:trHeight w:val="989"/>
        </w:trPr>
        <w:tc>
          <w:tcPr>
            <w:tcW w:w="240" w:type="pct"/>
            <w:vAlign w:val="center"/>
          </w:tcPr>
          <w:p w14:paraId="13C19C4D"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3D4675AE" w14:textId="71A1262D" w:rsidR="00C66BBC" w:rsidRDefault="00C66BBC" w:rsidP="00C66BBC">
            <w:pPr>
              <w:jc w:val="center"/>
              <w:rPr>
                <w:rFonts w:ascii="Times New Roman" w:hAnsi="Times New Roman"/>
                <w:szCs w:val="21"/>
              </w:rPr>
            </w:pPr>
            <w:r w:rsidRPr="00942D86">
              <w:rPr>
                <w:rFonts w:ascii="Times New Roman" w:hAnsi="Times New Roman"/>
                <w:szCs w:val="21"/>
              </w:rPr>
              <w:t>JT/T</w:t>
            </w:r>
          </w:p>
          <w:p w14:paraId="0595E3AF" w14:textId="2F251940" w:rsidR="00C66BBC" w:rsidRPr="00942D86" w:rsidRDefault="00C66BBC" w:rsidP="00C66BBC">
            <w:pPr>
              <w:jc w:val="center"/>
              <w:rPr>
                <w:rFonts w:ascii="Times New Roman" w:hAnsi="Times New Roman"/>
                <w:szCs w:val="21"/>
              </w:rPr>
            </w:pPr>
            <w:r w:rsidRPr="00942D86">
              <w:rPr>
                <w:rFonts w:ascii="Times New Roman" w:hAnsi="Times New Roman"/>
                <w:szCs w:val="21"/>
              </w:rPr>
              <w:t>1</w:t>
            </w:r>
            <w:r w:rsidRPr="00942D86">
              <w:rPr>
                <w:rFonts w:ascii="Times New Roman" w:hAnsi="Times New Roman" w:hint="eastAsia"/>
                <w:szCs w:val="21"/>
              </w:rPr>
              <w:t>521</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624C5C68" w14:textId="77777777" w:rsidR="00C66BBC" w:rsidRPr="00E276E9" w:rsidRDefault="00C66BBC" w:rsidP="00200F68">
            <w:pPr>
              <w:rPr>
                <w:rFonts w:ascii="Tahoma" w:hAnsi="Tahoma" w:cs="Tahoma"/>
                <w:color w:val="333333"/>
                <w:szCs w:val="21"/>
                <w:shd w:val="clear" w:color="auto" w:fill="FFFFFF"/>
              </w:rPr>
            </w:pPr>
            <w:r w:rsidRPr="00086381">
              <w:rPr>
                <w:rFonts w:ascii="Tahoma" w:hAnsi="Tahoma" w:cs="Tahoma" w:hint="eastAsia"/>
                <w:color w:val="333333"/>
                <w:szCs w:val="21"/>
                <w:shd w:val="clear" w:color="auto" w:fill="FFFFFF"/>
              </w:rPr>
              <w:t>邮轮运输服务指南</w:t>
            </w:r>
          </w:p>
        </w:tc>
        <w:tc>
          <w:tcPr>
            <w:tcW w:w="2186" w:type="pct"/>
            <w:vAlign w:val="center"/>
          </w:tcPr>
          <w:p w14:paraId="2681E596" w14:textId="77777777" w:rsidR="00C66BBC" w:rsidRPr="00C801FB" w:rsidRDefault="00C66BBC" w:rsidP="00200F68">
            <w:pPr>
              <w:autoSpaceDE w:val="0"/>
              <w:autoSpaceDN w:val="0"/>
              <w:adjustRightInd w:val="0"/>
              <w:jc w:val="left"/>
              <w:rPr>
                <w:rFonts w:ascii="Tahoma" w:hAnsi="Tahoma" w:cs="Tahoma"/>
                <w:color w:val="333333"/>
                <w:kern w:val="0"/>
                <w:szCs w:val="21"/>
                <w:shd w:val="clear" w:color="auto" w:fill="FFFFFF"/>
              </w:rPr>
            </w:pPr>
            <w:r w:rsidRPr="00C801FB">
              <w:rPr>
                <w:rFonts w:ascii="Tahoma" w:hAnsi="Tahoma" w:cs="Tahoma" w:hint="eastAsia"/>
                <w:color w:val="333333"/>
                <w:kern w:val="0"/>
                <w:szCs w:val="21"/>
                <w:shd w:val="clear" w:color="auto" w:fill="FFFFFF"/>
              </w:rPr>
              <w:t>本</w:t>
            </w:r>
            <w:r w:rsidRPr="00C801FB">
              <w:rPr>
                <w:rFonts w:ascii="Tahoma" w:hAnsi="Tahoma" w:cs="Tahoma"/>
                <w:color w:val="333333"/>
                <w:kern w:val="0"/>
                <w:szCs w:val="21"/>
                <w:shd w:val="clear" w:color="auto" w:fill="FFFFFF"/>
              </w:rPr>
              <w:t>标准</w:t>
            </w:r>
            <w:r w:rsidRPr="00C801FB">
              <w:rPr>
                <w:rFonts w:ascii="FZSSK--GBK1-0" w:eastAsia="FZSSK--GBK1-0" w:hAnsi="Times New Roman" w:cs="FZSSK--GBK1-0" w:hint="eastAsia"/>
                <w:kern w:val="0"/>
                <w:szCs w:val="21"/>
              </w:rPr>
              <w:t>提供了邮轮运输服务的总则、服务能力保障和服务提供等方面的指南</w:t>
            </w:r>
            <w:r w:rsidRPr="00C801FB">
              <w:rPr>
                <w:rFonts w:ascii="Tahoma" w:hAnsi="Tahoma" w:cs="Tahoma" w:hint="eastAsia"/>
                <w:color w:val="333333"/>
                <w:kern w:val="0"/>
                <w:szCs w:val="21"/>
                <w:shd w:val="clear" w:color="auto" w:fill="FFFFFF"/>
              </w:rPr>
              <w:t>。</w:t>
            </w:r>
          </w:p>
          <w:p w14:paraId="6051833B" w14:textId="77777777" w:rsidR="00C66BBC" w:rsidRPr="00C801FB" w:rsidRDefault="00C66BBC" w:rsidP="00200F68">
            <w:pPr>
              <w:autoSpaceDE w:val="0"/>
              <w:autoSpaceDN w:val="0"/>
              <w:adjustRightInd w:val="0"/>
              <w:jc w:val="left"/>
              <w:rPr>
                <w:rFonts w:ascii="FZSSK--GBK1-0" w:eastAsia="FZSSK--GBK1-0" w:hAnsi="Times New Roman" w:cs="FZSSK--GBK1-0"/>
                <w:kern w:val="0"/>
                <w:szCs w:val="21"/>
              </w:rPr>
            </w:pPr>
            <w:r w:rsidRPr="00C801FB">
              <w:rPr>
                <w:rFonts w:ascii="Tahoma" w:hAnsi="Tahoma" w:cs="Tahoma" w:hint="eastAsia"/>
                <w:color w:val="333333"/>
                <w:kern w:val="0"/>
                <w:szCs w:val="21"/>
                <w:shd w:val="clear" w:color="auto" w:fill="FFFFFF"/>
              </w:rPr>
              <w:t>本</w:t>
            </w:r>
            <w:r w:rsidRPr="00C801FB">
              <w:rPr>
                <w:rFonts w:ascii="Tahoma" w:hAnsi="Tahoma" w:cs="Tahoma"/>
                <w:color w:val="333333"/>
                <w:kern w:val="0"/>
                <w:szCs w:val="21"/>
                <w:shd w:val="clear" w:color="auto" w:fill="FFFFFF"/>
              </w:rPr>
              <w:t>标准</w:t>
            </w:r>
            <w:r w:rsidRPr="00C801FB">
              <w:rPr>
                <w:rFonts w:ascii="Tahoma" w:hAnsi="Tahoma" w:cs="Tahoma" w:hint="eastAsia"/>
                <w:color w:val="333333"/>
                <w:kern w:val="0"/>
                <w:szCs w:val="21"/>
                <w:shd w:val="clear" w:color="auto" w:fill="FFFFFF"/>
              </w:rPr>
              <w:t>适用于</w:t>
            </w:r>
            <w:r w:rsidRPr="00C801FB">
              <w:rPr>
                <w:rFonts w:ascii="FZSSK--GBK1-0" w:eastAsia="FZSSK--GBK1-0" w:hAnsi="Times New Roman" w:cs="FZSSK--GBK1-0" w:hint="eastAsia"/>
                <w:kern w:val="0"/>
                <w:szCs w:val="21"/>
              </w:rPr>
              <w:t>中华人民共和国境内港口始发的邮轮提供的国际邮轮运输服务，中华人民共和国境内港口始发的邮轮提供的海上游邮轮运输服务参照使用</w:t>
            </w:r>
            <w:r w:rsidRPr="00C801FB">
              <w:rPr>
                <w:rFonts w:ascii="Tahoma" w:hAnsi="Tahoma" w:cs="Tahoma" w:hint="eastAsia"/>
                <w:color w:val="333333"/>
                <w:kern w:val="0"/>
                <w:szCs w:val="21"/>
                <w:shd w:val="clear" w:color="auto" w:fill="FFFFFF"/>
              </w:rPr>
              <w:t>。</w:t>
            </w:r>
          </w:p>
        </w:tc>
        <w:tc>
          <w:tcPr>
            <w:tcW w:w="588" w:type="pct"/>
            <w:vAlign w:val="center"/>
          </w:tcPr>
          <w:p w14:paraId="3224632C" w14:textId="77777777" w:rsidR="00C66BBC" w:rsidRDefault="00C66BBC" w:rsidP="00C66BBC">
            <w:pPr>
              <w:widowControl/>
              <w:jc w:val="center"/>
              <w:rPr>
                <w:rFonts w:ascii="Times New Roman" w:hAnsi="Times New Roman"/>
                <w:szCs w:val="21"/>
              </w:rPr>
            </w:pPr>
          </w:p>
        </w:tc>
        <w:tc>
          <w:tcPr>
            <w:tcW w:w="448" w:type="pct"/>
            <w:vAlign w:val="center"/>
          </w:tcPr>
          <w:p w14:paraId="38FD68AD" w14:textId="6371470D" w:rsidR="00C66BBC" w:rsidRDefault="00C66BBC" w:rsidP="00200F68">
            <w:pPr>
              <w:jc w:val="center"/>
              <w:rPr>
                <w:rFonts w:ascii="Times New Roman" w:hAnsi="Times New Roman"/>
                <w:szCs w:val="21"/>
              </w:rPr>
            </w:pPr>
            <w:r>
              <w:rPr>
                <w:rFonts w:ascii="Times New Roman" w:hAnsi="Times New Roman" w:hint="eastAsia"/>
                <w:szCs w:val="21"/>
              </w:rPr>
              <w:t>2025-03-01</w:t>
            </w:r>
          </w:p>
        </w:tc>
      </w:tr>
      <w:tr w:rsidR="00C66BBC" w14:paraId="45C5F2E8" w14:textId="77777777" w:rsidTr="0085452F">
        <w:trPr>
          <w:cantSplit/>
          <w:trHeight w:val="989"/>
        </w:trPr>
        <w:tc>
          <w:tcPr>
            <w:tcW w:w="240" w:type="pct"/>
            <w:vAlign w:val="center"/>
          </w:tcPr>
          <w:p w14:paraId="230FCDC3"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2B1F39E1" w14:textId="4E429325" w:rsidR="00C66BBC" w:rsidRDefault="00C66BBC" w:rsidP="00C66BBC">
            <w:pPr>
              <w:jc w:val="center"/>
              <w:rPr>
                <w:rFonts w:ascii="Times New Roman" w:hAnsi="Times New Roman"/>
                <w:szCs w:val="21"/>
              </w:rPr>
            </w:pPr>
            <w:r w:rsidRPr="00942D86">
              <w:rPr>
                <w:rFonts w:ascii="Times New Roman" w:hAnsi="Times New Roman"/>
                <w:szCs w:val="21"/>
              </w:rPr>
              <w:t>JT/T</w:t>
            </w:r>
          </w:p>
          <w:p w14:paraId="30557F64" w14:textId="531D6E59" w:rsidR="00C66BBC" w:rsidRPr="00BC5A11" w:rsidRDefault="00C66BBC" w:rsidP="00C66BBC">
            <w:pPr>
              <w:jc w:val="center"/>
              <w:rPr>
                <w:rFonts w:ascii="Times New Roman" w:hAnsi="Times New Roman"/>
                <w:szCs w:val="21"/>
                <w:highlight w:val="cyan"/>
              </w:rPr>
            </w:pPr>
            <w:r w:rsidRPr="00942D86">
              <w:rPr>
                <w:rFonts w:ascii="Times New Roman" w:hAnsi="Times New Roman"/>
                <w:szCs w:val="21"/>
              </w:rPr>
              <w:t>1</w:t>
            </w:r>
            <w:r w:rsidRPr="00942D86">
              <w:rPr>
                <w:rFonts w:ascii="Times New Roman" w:hAnsi="Times New Roman" w:hint="eastAsia"/>
                <w:szCs w:val="21"/>
              </w:rPr>
              <w:t>52</w:t>
            </w:r>
            <w:r>
              <w:rPr>
                <w:rFonts w:ascii="Times New Roman" w:hAnsi="Times New Roman" w:hint="eastAsia"/>
                <w:szCs w:val="21"/>
              </w:rPr>
              <w:t>2</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5B04F917" w14:textId="77777777" w:rsidR="00C66BBC" w:rsidRPr="00E276E9" w:rsidRDefault="00C66BBC" w:rsidP="00200F68">
            <w:pPr>
              <w:rPr>
                <w:rFonts w:ascii="Tahoma" w:hAnsi="Tahoma" w:cs="Tahoma"/>
                <w:color w:val="333333"/>
                <w:szCs w:val="21"/>
                <w:shd w:val="clear" w:color="auto" w:fill="FFFFFF"/>
              </w:rPr>
            </w:pPr>
            <w:bookmarkStart w:id="1" w:name="_Hlk174000582"/>
            <w:r>
              <w:rPr>
                <w:rFonts w:ascii="Tahoma" w:hAnsi="Tahoma" w:cs="Tahoma"/>
                <w:color w:val="333333"/>
                <w:szCs w:val="21"/>
                <w:shd w:val="clear" w:color="auto" w:fill="FFFFFF"/>
              </w:rPr>
              <w:t>交通运输数据安全分级和保护要求</w:t>
            </w:r>
            <w:bookmarkEnd w:id="1"/>
          </w:p>
        </w:tc>
        <w:tc>
          <w:tcPr>
            <w:tcW w:w="2186" w:type="pct"/>
            <w:vAlign w:val="center"/>
          </w:tcPr>
          <w:p w14:paraId="68D4D86C" w14:textId="77777777" w:rsidR="00C66BBC" w:rsidRPr="00E276E9" w:rsidRDefault="00C66BBC" w:rsidP="00200F68">
            <w:pPr>
              <w:autoSpaceDE w:val="0"/>
              <w:autoSpaceDN w:val="0"/>
              <w:adjustRightInd w:val="0"/>
              <w:jc w:val="left"/>
              <w:rPr>
                <w:rFonts w:ascii="Tahoma" w:hAnsi="Tahoma" w:cs="Tahoma"/>
                <w:color w:val="333333"/>
                <w:szCs w:val="21"/>
                <w:shd w:val="clear" w:color="auto" w:fill="FFFFFF"/>
              </w:rPr>
            </w:pPr>
            <w:r w:rsidRPr="00E276E9">
              <w:rPr>
                <w:rFonts w:ascii="Tahoma" w:hAnsi="Tahoma" w:cs="Tahoma" w:hint="eastAsia"/>
                <w:color w:val="333333"/>
                <w:szCs w:val="21"/>
                <w:shd w:val="clear" w:color="auto" w:fill="FFFFFF"/>
              </w:rPr>
              <w:t>本</w:t>
            </w:r>
            <w:r w:rsidRPr="00E276E9">
              <w:rPr>
                <w:rFonts w:ascii="Tahoma" w:hAnsi="Tahoma" w:cs="Tahoma"/>
                <w:color w:val="333333"/>
                <w:szCs w:val="21"/>
                <w:shd w:val="clear" w:color="auto" w:fill="FFFFFF"/>
              </w:rPr>
              <w:t>标准</w:t>
            </w:r>
            <w:r w:rsidRPr="00E276E9">
              <w:rPr>
                <w:rFonts w:ascii="Tahoma" w:hAnsi="Tahoma" w:cs="Tahoma" w:hint="eastAsia"/>
                <w:color w:val="333333"/>
                <w:szCs w:val="21"/>
                <w:shd w:val="clear" w:color="auto" w:fill="FFFFFF"/>
              </w:rPr>
              <w:t>规定了公路水路交通运输数据安全分级和数据保护的要求。</w:t>
            </w:r>
          </w:p>
          <w:p w14:paraId="487F84BF" w14:textId="77777777" w:rsidR="00C66BBC" w:rsidRPr="00E276E9" w:rsidRDefault="00C66BBC" w:rsidP="00200F68">
            <w:pPr>
              <w:autoSpaceDE w:val="0"/>
              <w:autoSpaceDN w:val="0"/>
              <w:adjustRightInd w:val="0"/>
              <w:jc w:val="left"/>
              <w:rPr>
                <w:rFonts w:ascii="Tahoma" w:hAnsi="Tahoma" w:cs="Tahoma"/>
                <w:color w:val="333333"/>
                <w:szCs w:val="21"/>
                <w:shd w:val="clear" w:color="auto" w:fill="FFFFFF"/>
              </w:rPr>
            </w:pPr>
            <w:r w:rsidRPr="00E276E9">
              <w:rPr>
                <w:rFonts w:ascii="Tahoma" w:hAnsi="Tahoma" w:cs="Tahoma" w:hint="eastAsia"/>
                <w:color w:val="333333"/>
                <w:szCs w:val="21"/>
                <w:shd w:val="clear" w:color="auto" w:fill="FFFFFF"/>
              </w:rPr>
              <w:t>本</w:t>
            </w:r>
            <w:r w:rsidRPr="00E276E9">
              <w:rPr>
                <w:rFonts w:ascii="Tahoma" w:hAnsi="Tahoma" w:cs="Tahoma"/>
                <w:color w:val="333333"/>
                <w:szCs w:val="21"/>
                <w:shd w:val="clear" w:color="auto" w:fill="FFFFFF"/>
              </w:rPr>
              <w:t>标准</w:t>
            </w:r>
            <w:r w:rsidRPr="00E276E9">
              <w:rPr>
                <w:rFonts w:ascii="Tahoma" w:hAnsi="Tahoma" w:cs="Tahoma" w:hint="eastAsia"/>
                <w:color w:val="333333"/>
                <w:szCs w:val="21"/>
                <w:shd w:val="clear" w:color="auto" w:fill="FFFFFF"/>
              </w:rPr>
              <w:t>适用于公路水路交通运输数据处理者开展非涉密数据的安全分级和保护。</w:t>
            </w:r>
          </w:p>
        </w:tc>
        <w:tc>
          <w:tcPr>
            <w:tcW w:w="588" w:type="pct"/>
            <w:vAlign w:val="center"/>
          </w:tcPr>
          <w:p w14:paraId="5F14613C" w14:textId="77777777" w:rsidR="00C66BBC" w:rsidRDefault="00C66BBC" w:rsidP="00C66BBC">
            <w:pPr>
              <w:widowControl/>
              <w:jc w:val="center"/>
              <w:rPr>
                <w:rFonts w:ascii="Times New Roman" w:hAnsi="Times New Roman"/>
                <w:szCs w:val="21"/>
              </w:rPr>
            </w:pPr>
          </w:p>
        </w:tc>
        <w:tc>
          <w:tcPr>
            <w:tcW w:w="448" w:type="pct"/>
            <w:vAlign w:val="center"/>
          </w:tcPr>
          <w:p w14:paraId="2BE33070" w14:textId="4324B0B8" w:rsidR="00C66BBC" w:rsidRDefault="00C66BBC" w:rsidP="00200F68">
            <w:pPr>
              <w:jc w:val="center"/>
              <w:rPr>
                <w:rFonts w:ascii="Times New Roman" w:hAnsi="Times New Roman"/>
                <w:szCs w:val="21"/>
              </w:rPr>
            </w:pPr>
            <w:r>
              <w:rPr>
                <w:rFonts w:ascii="Times New Roman" w:hAnsi="Times New Roman" w:hint="eastAsia"/>
                <w:szCs w:val="21"/>
              </w:rPr>
              <w:t>2025-03-01</w:t>
            </w:r>
          </w:p>
        </w:tc>
      </w:tr>
      <w:tr w:rsidR="00C66BBC" w14:paraId="100D6484" w14:textId="77777777" w:rsidTr="0085452F">
        <w:trPr>
          <w:cantSplit/>
          <w:trHeight w:val="989"/>
        </w:trPr>
        <w:tc>
          <w:tcPr>
            <w:tcW w:w="240" w:type="pct"/>
            <w:vAlign w:val="center"/>
          </w:tcPr>
          <w:p w14:paraId="56048D4A"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51A2CAAA" w14:textId="6B13C396" w:rsidR="00C66BBC" w:rsidRDefault="00C66BBC" w:rsidP="00C66BBC">
            <w:pPr>
              <w:jc w:val="center"/>
              <w:rPr>
                <w:rFonts w:ascii="Times New Roman" w:hAnsi="Times New Roman"/>
                <w:szCs w:val="21"/>
              </w:rPr>
            </w:pPr>
            <w:r w:rsidRPr="00942D86">
              <w:rPr>
                <w:rFonts w:ascii="Times New Roman" w:hAnsi="Times New Roman"/>
                <w:szCs w:val="21"/>
              </w:rPr>
              <w:t>JT/T</w:t>
            </w:r>
          </w:p>
          <w:p w14:paraId="07AD3604" w14:textId="67FC35A4" w:rsidR="00C66BBC" w:rsidRPr="005E445C" w:rsidRDefault="00C66BBC" w:rsidP="00C66BBC">
            <w:pPr>
              <w:jc w:val="center"/>
              <w:rPr>
                <w:rFonts w:ascii="Times New Roman" w:hAnsi="Times New Roman"/>
                <w:szCs w:val="21"/>
              </w:rPr>
            </w:pPr>
            <w:r w:rsidRPr="00942D86">
              <w:rPr>
                <w:rFonts w:ascii="Times New Roman" w:hAnsi="Times New Roman"/>
                <w:szCs w:val="21"/>
              </w:rPr>
              <w:t>1</w:t>
            </w:r>
            <w:r w:rsidRPr="00942D86">
              <w:rPr>
                <w:rFonts w:ascii="Times New Roman" w:hAnsi="Times New Roman" w:hint="eastAsia"/>
                <w:szCs w:val="21"/>
              </w:rPr>
              <w:t>52</w:t>
            </w:r>
            <w:r>
              <w:rPr>
                <w:rFonts w:ascii="Times New Roman" w:hAnsi="Times New Roman" w:hint="eastAsia"/>
                <w:szCs w:val="21"/>
              </w:rPr>
              <w:t>3</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1AFDDAAC" w14:textId="77777777" w:rsidR="00C66BBC" w:rsidRPr="00E276E9" w:rsidRDefault="00C66BBC" w:rsidP="00200F68">
            <w:pPr>
              <w:rPr>
                <w:rFonts w:ascii="Tahoma" w:hAnsi="Tahoma" w:cs="Tahoma"/>
                <w:color w:val="333333"/>
                <w:szCs w:val="21"/>
                <w:shd w:val="clear" w:color="auto" w:fill="FFFFFF"/>
              </w:rPr>
            </w:pPr>
            <w:r w:rsidRPr="00E276E9">
              <w:rPr>
                <w:rFonts w:ascii="Tahoma" w:hAnsi="Tahoma" w:cs="Tahoma"/>
                <w:color w:val="333333"/>
                <w:szCs w:val="21"/>
                <w:shd w:val="clear" w:color="auto" w:fill="FFFFFF"/>
              </w:rPr>
              <w:t>定制客运网络平台技术要求</w:t>
            </w:r>
          </w:p>
        </w:tc>
        <w:tc>
          <w:tcPr>
            <w:tcW w:w="2186" w:type="pct"/>
            <w:vAlign w:val="center"/>
          </w:tcPr>
          <w:p w14:paraId="17BABA33" w14:textId="77777777" w:rsidR="00C66BBC" w:rsidRPr="00E276E9" w:rsidRDefault="00C66BBC" w:rsidP="00200F68">
            <w:pPr>
              <w:autoSpaceDE w:val="0"/>
              <w:autoSpaceDN w:val="0"/>
              <w:adjustRightInd w:val="0"/>
              <w:jc w:val="left"/>
              <w:rPr>
                <w:rFonts w:ascii="Tahoma" w:hAnsi="Tahoma" w:cs="Tahoma"/>
                <w:color w:val="333333"/>
                <w:szCs w:val="21"/>
                <w:shd w:val="clear" w:color="auto" w:fill="FFFFFF"/>
              </w:rPr>
            </w:pPr>
            <w:r w:rsidRPr="00E276E9">
              <w:rPr>
                <w:rFonts w:ascii="Tahoma" w:hAnsi="Tahoma" w:cs="Tahoma" w:hint="eastAsia"/>
                <w:color w:val="333333"/>
                <w:szCs w:val="21"/>
                <w:shd w:val="clear" w:color="auto" w:fill="FFFFFF"/>
              </w:rPr>
              <w:t>本</w:t>
            </w:r>
            <w:r w:rsidRPr="00E276E9">
              <w:rPr>
                <w:rFonts w:ascii="Tahoma" w:hAnsi="Tahoma" w:cs="Tahoma"/>
                <w:color w:val="333333"/>
                <w:szCs w:val="21"/>
                <w:shd w:val="clear" w:color="auto" w:fill="FFFFFF"/>
              </w:rPr>
              <w:t>标准</w:t>
            </w:r>
            <w:r w:rsidRPr="00E276E9">
              <w:rPr>
                <w:rFonts w:ascii="Tahoma" w:hAnsi="Tahoma" w:cs="Tahoma" w:hint="eastAsia"/>
                <w:color w:val="333333"/>
                <w:szCs w:val="21"/>
                <w:shd w:val="clear" w:color="auto" w:fill="FFFFFF"/>
              </w:rPr>
              <w:t>规定了定制客运网络平台的总体要求以及功能、性能和安全要求。</w:t>
            </w:r>
          </w:p>
          <w:p w14:paraId="7185F577" w14:textId="77777777" w:rsidR="00C66BBC" w:rsidRPr="00E276E9" w:rsidRDefault="00C66BBC" w:rsidP="00200F68">
            <w:pPr>
              <w:autoSpaceDE w:val="0"/>
              <w:autoSpaceDN w:val="0"/>
              <w:adjustRightInd w:val="0"/>
              <w:jc w:val="left"/>
              <w:rPr>
                <w:rFonts w:ascii="Tahoma" w:hAnsi="Tahoma" w:cs="Tahoma"/>
                <w:color w:val="333333"/>
                <w:szCs w:val="21"/>
                <w:shd w:val="clear" w:color="auto" w:fill="FFFFFF"/>
              </w:rPr>
            </w:pPr>
            <w:r w:rsidRPr="00E276E9">
              <w:rPr>
                <w:rFonts w:ascii="Tahoma" w:hAnsi="Tahoma" w:cs="Tahoma" w:hint="eastAsia"/>
                <w:color w:val="333333"/>
                <w:szCs w:val="21"/>
                <w:shd w:val="clear" w:color="auto" w:fill="FFFFFF"/>
              </w:rPr>
              <w:t>本</w:t>
            </w:r>
            <w:r w:rsidRPr="00E276E9">
              <w:rPr>
                <w:rFonts w:ascii="Tahoma" w:hAnsi="Tahoma" w:cs="Tahoma"/>
                <w:color w:val="333333"/>
                <w:szCs w:val="21"/>
                <w:shd w:val="clear" w:color="auto" w:fill="FFFFFF"/>
              </w:rPr>
              <w:t>标准</w:t>
            </w:r>
            <w:r w:rsidRPr="00E276E9">
              <w:rPr>
                <w:rFonts w:ascii="Tahoma" w:hAnsi="Tahoma" w:cs="Tahoma" w:hint="eastAsia"/>
                <w:color w:val="333333"/>
                <w:szCs w:val="21"/>
                <w:shd w:val="clear" w:color="auto" w:fill="FFFFFF"/>
              </w:rPr>
              <w:t>适用于定制客运网络平台的设计、开发、运行维护及运营管理。</w:t>
            </w:r>
          </w:p>
        </w:tc>
        <w:tc>
          <w:tcPr>
            <w:tcW w:w="588" w:type="pct"/>
            <w:vAlign w:val="center"/>
          </w:tcPr>
          <w:p w14:paraId="3B26C640" w14:textId="77777777" w:rsidR="00C66BBC" w:rsidRDefault="00C66BBC" w:rsidP="00C66BBC">
            <w:pPr>
              <w:widowControl/>
              <w:jc w:val="center"/>
              <w:rPr>
                <w:rFonts w:ascii="Times New Roman" w:hAnsi="Times New Roman"/>
                <w:szCs w:val="21"/>
              </w:rPr>
            </w:pPr>
          </w:p>
        </w:tc>
        <w:tc>
          <w:tcPr>
            <w:tcW w:w="448" w:type="pct"/>
            <w:vAlign w:val="center"/>
          </w:tcPr>
          <w:p w14:paraId="59904E01" w14:textId="14FBAA00" w:rsidR="00C66BBC" w:rsidRDefault="00C66BBC" w:rsidP="00200F68">
            <w:pPr>
              <w:jc w:val="center"/>
              <w:rPr>
                <w:rFonts w:ascii="Times New Roman" w:hAnsi="Times New Roman"/>
                <w:szCs w:val="21"/>
              </w:rPr>
            </w:pPr>
            <w:r>
              <w:rPr>
                <w:rFonts w:ascii="Times New Roman" w:hAnsi="Times New Roman" w:hint="eastAsia"/>
                <w:szCs w:val="21"/>
              </w:rPr>
              <w:t>2025-03-01</w:t>
            </w:r>
          </w:p>
        </w:tc>
      </w:tr>
      <w:tr w:rsidR="00C66BBC" w14:paraId="388D4E83" w14:textId="77777777" w:rsidTr="0085452F">
        <w:trPr>
          <w:cantSplit/>
          <w:trHeight w:val="919"/>
        </w:trPr>
        <w:tc>
          <w:tcPr>
            <w:tcW w:w="240" w:type="pct"/>
            <w:vAlign w:val="center"/>
          </w:tcPr>
          <w:p w14:paraId="6CD5E1DC"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27DB6EAB" w14:textId="704346D4" w:rsidR="00C66BBC" w:rsidRDefault="00C66BBC" w:rsidP="00C66BBC">
            <w:pPr>
              <w:jc w:val="center"/>
              <w:rPr>
                <w:rFonts w:ascii="Times New Roman" w:hAnsi="Times New Roman"/>
                <w:szCs w:val="21"/>
              </w:rPr>
            </w:pPr>
            <w:r w:rsidRPr="00942D86">
              <w:rPr>
                <w:rFonts w:ascii="Times New Roman" w:hAnsi="Times New Roman"/>
                <w:szCs w:val="21"/>
              </w:rPr>
              <w:t>JT/T</w:t>
            </w:r>
          </w:p>
          <w:p w14:paraId="6446A0D1" w14:textId="6D45BFC9" w:rsidR="00C66BBC" w:rsidRPr="005E445C" w:rsidRDefault="00C66BBC" w:rsidP="00C66BBC">
            <w:pPr>
              <w:jc w:val="center"/>
              <w:rPr>
                <w:rFonts w:ascii="Times New Roman" w:hAnsi="Times New Roman"/>
                <w:szCs w:val="21"/>
              </w:rPr>
            </w:pPr>
            <w:r w:rsidRPr="00942D86">
              <w:rPr>
                <w:rFonts w:ascii="Times New Roman" w:hAnsi="Times New Roman"/>
                <w:szCs w:val="21"/>
              </w:rPr>
              <w:t>1</w:t>
            </w:r>
            <w:r>
              <w:rPr>
                <w:rFonts w:ascii="Times New Roman" w:hAnsi="Times New Roman" w:hint="eastAsia"/>
                <w:szCs w:val="21"/>
              </w:rPr>
              <w:t>524</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04946159" w14:textId="77777777" w:rsidR="00C66BBC" w:rsidRPr="00BC5A11" w:rsidRDefault="00C66BBC" w:rsidP="00200F68">
            <w:pPr>
              <w:rPr>
                <w:rFonts w:ascii="Tahoma" w:hAnsi="Tahoma" w:cs="Tahoma"/>
                <w:color w:val="333333"/>
                <w:szCs w:val="21"/>
                <w:highlight w:val="cyan"/>
                <w:shd w:val="clear" w:color="auto" w:fill="FFFFFF"/>
              </w:rPr>
            </w:pPr>
            <w:r>
              <w:rPr>
                <w:rFonts w:ascii="Tahoma" w:hAnsi="Tahoma" w:cs="Tahoma"/>
                <w:color w:val="333333"/>
                <w:szCs w:val="21"/>
                <w:shd w:val="clear" w:color="auto" w:fill="FFFFFF"/>
              </w:rPr>
              <w:t>营运车辆全景环视系统技术要求和试验方法</w:t>
            </w:r>
          </w:p>
        </w:tc>
        <w:tc>
          <w:tcPr>
            <w:tcW w:w="2186" w:type="pct"/>
            <w:vAlign w:val="center"/>
          </w:tcPr>
          <w:p w14:paraId="4B674AA1" w14:textId="77777777" w:rsidR="00C66BBC" w:rsidRPr="00217492" w:rsidRDefault="00C66BBC" w:rsidP="00200F68">
            <w:pPr>
              <w:autoSpaceDE w:val="0"/>
              <w:autoSpaceDN w:val="0"/>
              <w:adjustRightInd w:val="0"/>
              <w:jc w:val="left"/>
              <w:rPr>
                <w:rFonts w:ascii="Times New Roman" w:hAnsi="Times New Roman"/>
                <w:szCs w:val="21"/>
              </w:rPr>
            </w:pPr>
            <w:r w:rsidRPr="00217492">
              <w:rPr>
                <w:rFonts w:ascii="Times New Roman" w:hAnsi="Times New Roman" w:hint="eastAsia"/>
                <w:szCs w:val="21"/>
              </w:rPr>
              <w:t>本</w:t>
            </w:r>
            <w:r w:rsidRPr="003B789C">
              <w:rPr>
                <w:rFonts w:ascii="Times New Roman" w:hAnsi="Times New Roman"/>
                <w:szCs w:val="21"/>
              </w:rPr>
              <w:t>标准</w:t>
            </w:r>
            <w:r w:rsidRPr="00217492">
              <w:rPr>
                <w:rFonts w:ascii="Times New Roman" w:hAnsi="Times New Roman" w:hint="eastAsia"/>
                <w:szCs w:val="21"/>
              </w:rPr>
              <w:t>规定了营运车辆全景环视系统的功能要求、性能要求、安装要求和试验方法等。</w:t>
            </w:r>
          </w:p>
          <w:p w14:paraId="54A6DE46" w14:textId="77777777" w:rsidR="00C66BBC" w:rsidRPr="009250AA" w:rsidRDefault="00C66BBC" w:rsidP="00200F68">
            <w:pPr>
              <w:autoSpaceDE w:val="0"/>
              <w:autoSpaceDN w:val="0"/>
              <w:adjustRightInd w:val="0"/>
              <w:jc w:val="left"/>
              <w:rPr>
                <w:rFonts w:ascii="Times New Roman" w:hAnsi="Times New Roman"/>
                <w:szCs w:val="21"/>
              </w:rPr>
            </w:pPr>
            <w:r w:rsidRPr="00217492">
              <w:rPr>
                <w:rFonts w:ascii="Times New Roman" w:hAnsi="Times New Roman" w:hint="eastAsia"/>
                <w:szCs w:val="21"/>
              </w:rPr>
              <w:t>本</w:t>
            </w:r>
            <w:r w:rsidRPr="003B789C">
              <w:rPr>
                <w:rFonts w:ascii="Times New Roman" w:hAnsi="Times New Roman"/>
                <w:szCs w:val="21"/>
              </w:rPr>
              <w:t>标准</w:t>
            </w:r>
            <w:r w:rsidRPr="00217492">
              <w:rPr>
                <w:rFonts w:ascii="Times New Roman" w:hAnsi="Times New Roman" w:hint="eastAsia"/>
                <w:szCs w:val="21"/>
              </w:rPr>
              <w:t>适用于安装在营运车辆上的全景环视系统。</w:t>
            </w:r>
          </w:p>
        </w:tc>
        <w:tc>
          <w:tcPr>
            <w:tcW w:w="588" w:type="pct"/>
            <w:vAlign w:val="center"/>
          </w:tcPr>
          <w:p w14:paraId="20AA10D4" w14:textId="77777777" w:rsidR="00C66BBC" w:rsidRDefault="00C66BBC" w:rsidP="00C66BBC">
            <w:pPr>
              <w:widowControl/>
              <w:jc w:val="center"/>
              <w:rPr>
                <w:rFonts w:ascii="Times New Roman" w:hAnsi="Times New Roman"/>
                <w:szCs w:val="21"/>
              </w:rPr>
            </w:pPr>
          </w:p>
        </w:tc>
        <w:tc>
          <w:tcPr>
            <w:tcW w:w="448" w:type="pct"/>
            <w:vAlign w:val="center"/>
          </w:tcPr>
          <w:p w14:paraId="37544FFC" w14:textId="4E80B1DC" w:rsidR="00C66BBC" w:rsidRDefault="00C66BBC" w:rsidP="00200F68">
            <w:pPr>
              <w:jc w:val="center"/>
              <w:rPr>
                <w:rFonts w:ascii="Times New Roman" w:hAnsi="Times New Roman"/>
                <w:szCs w:val="21"/>
              </w:rPr>
            </w:pPr>
            <w:r>
              <w:rPr>
                <w:rFonts w:ascii="Times New Roman" w:hAnsi="Times New Roman" w:hint="eastAsia"/>
                <w:szCs w:val="21"/>
              </w:rPr>
              <w:t>2025-06-01</w:t>
            </w:r>
          </w:p>
        </w:tc>
      </w:tr>
      <w:tr w:rsidR="00C66BBC" w14:paraId="4FAF0A25" w14:textId="77777777" w:rsidTr="0085452F">
        <w:trPr>
          <w:cantSplit/>
          <w:trHeight w:val="1282"/>
        </w:trPr>
        <w:tc>
          <w:tcPr>
            <w:tcW w:w="240" w:type="pct"/>
            <w:vAlign w:val="center"/>
          </w:tcPr>
          <w:p w14:paraId="2009DADF"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0814AAE9" w14:textId="60011E3D" w:rsidR="00C66BBC" w:rsidRDefault="00C66BBC" w:rsidP="00C66BBC">
            <w:pPr>
              <w:jc w:val="center"/>
              <w:rPr>
                <w:rFonts w:ascii="Times New Roman" w:hAnsi="Times New Roman"/>
                <w:szCs w:val="21"/>
              </w:rPr>
            </w:pPr>
            <w:r w:rsidRPr="00942D86">
              <w:rPr>
                <w:rFonts w:ascii="Times New Roman" w:hAnsi="Times New Roman"/>
                <w:szCs w:val="21"/>
              </w:rPr>
              <w:t>JT/T</w:t>
            </w:r>
          </w:p>
          <w:p w14:paraId="351E6A57" w14:textId="28315849" w:rsidR="00C66BBC" w:rsidRPr="005E445C" w:rsidRDefault="00C66BBC" w:rsidP="00C66BBC">
            <w:pPr>
              <w:jc w:val="center"/>
              <w:rPr>
                <w:rFonts w:ascii="Times New Roman" w:hAnsi="Times New Roman"/>
                <w:szCs w:val="21"/>
              </w:rPr>
            </w:pPr>
            <w:r w:rsidRPr="00942D86">
              <w:rPr>
                <w:rFonts w:ascii="Times New Roman" w:hAnsi="Times New Roman"/>
                <w:szCs w:val="21"/>
              </w:rPr>
              <w:t>1</w:t>
            </w:r>
            <w:r>
              <w:rPr>
                <w:rFonts w:ascii="Times New Roman" w:hAnsi="Times New Roman" w:hint="eastAsia"/>
                <w:szCs w:val="21"/>
              </w:rPr>
              <w:t>525</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6AE25076" w14:textId="77777777" w:rsidR="00C66BBC" w:rsidRDefault="00C66BBC" w:rsidP="00200F68">
            <w:pPr>
              <w:rPr>
                <w:rFonts w:ascii="Tahoma" w:hAnsi="Tahoma" w:cs="Tahoma"/>
                <w:color w:val="333333"/>
                <w:szCs w:val="21"/>
                <w:shd w:val="clear" w:color="auto" w:fill="FFFFFF"/>
              </w:rPr>
            </w:pPr>
            <w:r>
              <w:rPr>
                <w:rFonts w:ascii="Tahoma" w:hAnsi="Tahoma" w:cs="Tahoma"/>
                <w:color w:val="333333"/>
                <w:szCs w:val="21"/>
                <w:shd w:val="clear" w:color="auto" w:fill="FFFFFF"/>
              </w:rPr>
              <w:t>汽车维修工时定额核定方法</w:t>
            </w:r>
          </w:p>
        </w:tc>
        <w:tc>
          <w:tcPr>
            <w:tcW w:w="2186" w:type="pct"/>
            <w:vAlign w:val="center"/>
          </w:tcPr>
          <w:p w14:paraId="0735BC4D" w14:textId="77777777" w:rsidR="00C66BBC" w:rsidRPr="006A6417" w:rsidRDefault="00C66BBC" w:rsidP="00200F68">
            <w:pPr>
              <w:autoSpaceDE w:val="0"/>
              <w:autoSpaceDN w:val="0"/>
              <w:adjustRightInd w:val="0"/>
              <w:jc w:val="left"/>
              <w:rPr>
                <w:rFonts w:ascii="Times New Roman" w:hAnsi="Times New Roman"/>
                <w:szCs w:val="21"/>
              </w:rPr>
            </w:pPr>
            <w:r w:rsidRPr="006A6417">
              <w:rPr>
                <w:rFonts w:ascii="Times New Roman" w:hAnsi="Times New Roman" w:hint="eastAsia"/>
                <w:szCs w:val="21"/>
              </w:rPr>
              <w:t>本标准规定了汽车维修工时定额核定的总则、车辆类别划分方法、基本条件</w:t>
            </w:r>
            <w:r w:rsidRPr="006A6417">
              <w:rPr>
                <w:rFonts w:ascii="Times New Roman" w:hAnsi="Times New Roman"/>
                <w:szCs w:val="21"/>
              </w:rPr>
              <w:t>,</w:t>
            </w:r>
            <w:r w:rsidRPr="006A6417">
              <w:rPr>
                <w:rFonts w:ascii="Times New Roman" w:hAnsi="Times New Roman" w:hint="eastAsia"/>
                <w:szCs w:val="21"/>
              </w:rPr>
              <w:t>以及汽车维修工时的构成、测算、定额核算和定额编制的要求。</w:t>
            </w:r>
          </w:p>
          <w:p w14:paraId="33858C26" w14:textId="77777777" w:rsidR="00C66BBC" w:rsidRPr="002F177F" w:rsidRDefault="00C66BBC" w:rsidP="00200F68">
            <w:pPr>
              <w:autoSpaceDE w:val="0"/>
              <w:autoSpaceDN w:val="0"/>
              <w:adjustRightInd w:val="0"/>
              <w:jc w:val="left"/>
              <w:rPr>
                <w:rFonts w:ascii="FZSSK--GBK1-0" w:eastAsia="FZSSK--GBK1-0" w:hAnsi="Times New Roman" w:cs="FZSSK--GBK1-0"/>
                <w:kern w:val="0"/>
                <w:szCs w:val="21"/>
              </w:rPr>
            </w:pPr>
            <w:r w:rsidRPr="006A6417">
              <w:rPr>
                <w:rFonts w:ascii="Times New Roman" w:hAnsi="Times New Roman" w:hint="eastAsia"/>
                <w:szCs w:val="21"/>
              </w:rPr>
              <w:t>本标准适用于指导汽车整车维修企业、综合小修及专项维修业户工时定额的核定与编制。维修企业</w:t>
            </w:r>
            <w:r w:rsidRPr="006A6417">
              <w:rPr>
                <w:rFonts w:ascii="Times New Roman" w:hAnsi="Times New Roman"/>
                <w:szCs w:val="21"/>
              </w:rPr>
              <w:t>(</w:t>
            </w:r>
            <w:r w:rsidRPr="006A6417">
              <w:rPr>
                <w:rFonts w:ascii="Times New Roman" w:hAnsi="Times New Roman" w:hint="eastAsia"/>
                <w:szCs w:val="21"/>
              </w:rPr>
              <w:t>业户</w:t>
            </w:r>
            <w:r w:rsidRPr="006A6417">
              <w:rPr>
                <w:rFonts w:ascii="Times New Roman" w:hAnsi="Times New Roman"/>
                <w:szCs w:val="21"/>
              </w:rPr>
              <w:t>)</w:t>
            </w:r>
            <w:r w:rsidRPr="006A6417">
              <w:rPr>
                <w:rFonts w:ascii="Times New Roman" w:hAnsi="Times New Roman" w:hint="eastAsia"/>
                <w:szCs w:val="21"/>
              </w:rPr>
              <w:t>对从业人员维修工作量的核算参照使用。</w:t>
            </w:r>
          </w:p>
        </w:tc>
        <w:tc>
          <w:tcPr>
            <w:tcW w:w="588" w:type="pct"/>
            <w:vAlign w:val="center"/>
          </w:tcPr>
          <w:p w14:paraId="255E4DCC" w14:textId="77777777" w:rsidR="00C66BBC" w:rsidRDefault="00C66BBC" w:rsidP="00C66BBC">
            <w:pPr>
              <w:widowControl/>
              <w:jc w:val="center"/>
              <w:rPr>
                <w:rFonts w:ascii="Times New Roman" w:hAnsi="Times New Roman"/>
                <w:szCs w:val="21"/>
              </w:rPr>
            </w:pPr>
          </w:p>
        </w:tc>
        <w:tc>
          <w:tcPr>
            <w:tcW w:w="448" w:type="pct"/>
            <w:vAlign w:val="center"/>
          </w:tcPr>
          <w:p w14:paraId="2DDB433B" w14:textId="7DA983B4" w:rsidR="00C66BBC" w:rsidRDefault="00C66BBC" w:rsidP="00200F68">
            <w:pPr>
              <w:jc w:val="center"/>
              <w:rPr>
                <w:rFonts w:ascii="Times New Roman" w:hAnsi="Times New Roman"/>
                <w:szCs w:val="21"/>
              </w:rPr>
            </w:pPr>
            <w:r>
              <w:rPr>
                <w:rFonts w:ascii="Times New Roman" w:hAnsi="Times New Roman" w:hint="eastAsia"/>
                <w:szCs w:val="21"/>
              </w:rPr>
              <w:t>2025-03-01</w:t>
            </w:r>
          </w:p>
        </w:tc>
      </w:tr>
      <w:tr w:rsidR="00C66BBC" w14:paraId="7C2350C2" w14:textId="77777777" w:rsidTr="0085452F">
        <w:trPr>
          <w:cantSplit/>
          <w:trHeight w:val="1282"/>
        </w:trPr>
        <w:tc>
          <w:tcPr>
            <w:tcW w:w="240" w:type="pct"/>
            <w:vAlign w:val="center"/>
          </w:tcPr>
          <w:p w14:paraId="092513DF"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7C2B9B54" w14:textId="25F1E14E" w:rsidR="00C66BBC" w:rsidRDefault="00C66BBC" w:rsidP="00C66BBC">
            <w:pPr>
              <w:jc w:val="center"/>
              <w:rPr>
                <w:rFonts w:ascii="Times New Roman" w:hAnsi="Times New Roman"/>
                <w:szCs w:val="21"/>
              </w:rPr>
            </w:pPr>
            <w:r w:rsidRPr="00942D86">
              <w:rPr>
                <w:rFonts w:ascii="Times New Roman" w:hAnsi="Times New Roman"/>
                <w:szCs w:val="21"/>
              </w:rPr>
              <w:t>JT/T</w:t>
            </w:r>
          </w:p>
          <w:p w14:paraId="6E781119" w14:textId="1BED5D93" w:rsidR="00C66BBC" w:rsidRPr="005E445C" w:rsidRDefault="00C66BBC" w:rsidP="00C66BBC">
            <w:pPr>
              <w:jc w:val="center"/>
              <w:rPr>
                <w:rFonts w:ascii="Times New Roman" w:hAnsi="Times New Roman"/>
                <w:szCs w:val="21"/>
              </w:rPr>
            </w:pPr>
            <w:r w:rsidRPr="00942D86">
              <w:rPr>
                <w:rFonts w:ascii="Times New Roman" w:hAnsi="Times New Roman" w:hint="eastAsia"/>
                <w:szCs w:val="21"/>
              </w:rPr>
              <w:t>4</w:t>
            </w:r>
            <w:r>
              <w:rPr>
                <w:rFonts w:ascii="Times New Roman" w:hAnsi="Times New Roman" w:hint="eastAsia"/>
                <w:szCs w:val="21"/>
              </w:rPr>
              <w:t>60</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0F34EA0A" w14:textId="77777777" w:rsidR="00C66BBC" w:rsidRDefault="00C66BBC" w:rsidP="00200F68">
            <w:pPr>
              <w:rPr>
                <w:rFonts w:ascii="Tahoma" w:hAnsi="Tahoma" w:cs="Tahoma"/>
                <w:color w:val="333333"/>
                <w:szCs w:val="21"/>
                <w:shd w:val="clear" w:color="auto" w:fill="FFFFFF"/>
              </w:rPr>
            </w:pPr>
            <w:r>
              <w:rPr>
                <w:rFonts w:ascii="Tahoma" w:hAnsi="Tahoma" w:cs="Tahoma"/>
                <w:color w:val="333333"/>
                <w:szCs w:val="21"/>
                <w:shd w:val="clear" w:color="auto" w:fill="FFFFFF"/>
              </w:rPr>
              <w:t>客车座椅靠背调节装置</w:t>
            </w:r>
          </w:p>
        </w:tc>
        <w:tc>
          <w:tcPr>
            <w:tcW w:w="2186" w:type="pct"/>
            <w:vAlign w:val="center"/>
          </w:tcPr>
          <w:p w14:paraId="7C034225" w14:textId="77777777" w:rsidR="00C66BBC" w:rsidRPr="00223DF0" w:rsidRDefault="00C66BBC" w:rsidP="00200F68">
            <w:pPr>
              <w:autoSpaceDE w:val="0"/>
              <w:autoSpaceDN w:val="0"/>
              <w:adjustRightInd w:val="0"/>
              <w:jc w:val="left"/>
              <w:rPr>
                <w:rFonts w:ascii="Times New Roman" w:hAnsi="Times New Roman"/>
                <w:szCs w:val="21"/>
              </w:rPr>
            </w:pPr>
            <w:r w:rsidRPr="00223DF0">
              <w:rPr>
                <w:rFonts w:ascii="Times New Roman" w:hAnsi="Times New Roman" w:hint="eastAsia"/>
                <w:szCs w:val="21"/>
              </w:rPr>
              <w:t>本</w:t>
            </w:r>
            <w:r w:rsidRPr="006A6417">
              <w:rPr>
                <w:rFonts w:ascii="Times New Roman" w:hAnsi="Times New Roman" w:hint="eastAsia"/>
                <w:szCs w:val="21"/>
              </w:rPr>
              <w:t>标准</w:t>
            </w:r>
            <w:r w:rsidRPr="00223DF0">
              <w:rPr>
                <w:rFonts w:ascii="Times New Roman" w:hAnsi="Times New Roman" w:hint="eastAsia"/>
                <w:szCs w:val="21"/>
              </w:rPr>
              <w:t>规定了客车座椅靠背调节装置的技术要求、试验方法、检验规则，以及标志、包装、运输和储存等要求。</w:t>
            </w:r>
          </w:p>
          <w:p w14:paraId="240D6E58" w14:textId="77777777" w:rsidR="00C66BBC" w:rsidRPr="006A6417" w:rsidRDefault="00C66BBC" w:rsidP="00200F68">
            <w:pPr>
              <w:autoSpaceDE w:val="0"/>
              <w:autoSpaceDN w:val="0"/>
              <w:adjustRightInd w:val="0"/>
              <w:jc w:val="left"/>
              <w:rPr>
                <w:rFonts w:ascii="Times New Roman" w:hAnsi="Times New Roman"/>
                <w:szCs w:val="21"/>
              </w:rPr>
            </w:pPr>
            <w:r w:rsidRPr="00223DF0">
              <w:rPr>
                <w:rFonts w:ascii="Times New Roman" w:hAnsi="Times New Roman" w:hint="eastAsia"/>
                <w:szCs w:val="21"/>
              </w:rPr>
              <w:t>本</w:t>
            </w:r>
            <w:r w:rsidRPr="006A6417">
              <w:rPr>
                <w:rFonts w:ascii="Times New Roman" w:hAnsi="Times New Roman" w:hint="eastAsia"/>
                <w:szCs w:val="21"/>
              </w:rPr>
              <w:t>标准</w:t>
            </w:r>
            <w:r w:rsidRPr="00223DF0">
              <w:rPr>
                <w:rFonts w:ascii="Times New Roman" w:hAnsi="Times New Roman" w:hint="eastAsia"/>
                <w:szCs w:val="21"/>
              </w:rPr>
              <w:t>适用于</w:t>
            </w:r>
            <w:r w:rsidRPr="00223DF0">
              <w:rPr>
                <w:rFonts w:ascii="Times New Roman" w:hAnsi="Times New Roman"/>
                <w:szCs w:val="21"/>
              </w:rPr>
              <w:t>M</w:t>
            </w:r>
            <w:r w:rsidRPr="001B34E2">
              <w:rPr>
                <w:rFonts w:ascii="Times New Roman" w:hAnsi="Times New Roman"/>
                <w:szCs w:val="21"/>
                <w:vertAlign w:val="subscript"/>
              </w:rPr>
              <w:t>2</w:t>
            </w:r>
            <w:r w:rsidRPr="00223DF0">
              <w:rPr>
                <w:rFonts w:ascii="Times New Roman" w:hAnsi="Times New Roman" w:hint="eastAsia"/>
                <w:szCs w:val="21"/>
              </w:rPr>
              <w:t>、</w:t>
            </w:r>
            <w:r w:rsidRPr="00223DF0">
              <w:rPr>
                <w:rFonts w:ascii="Times New Roman" w:hAnsi="Times New Roman"/>
                <w:szCs w:val="21"/>
              </w:rPr>
              <w:t>M</w:t>
            </w:r>
            <w:r w:rsidRPr="001B34E2">
              <w:rPr>
                <w:rFonts w:ascii="Times New Roman" w:hAnsi="Times New Roman"/>
                <w:szCs w:val="21"/>
                <w:vertAlign w:val="subscript"/>
              </w:rPr>
              <w:t>3</w:t>
            </w:r>
            <w:r w:rsidRPr="00223DF0">
              <w:rPr>
                <w:rFonts w:ascii="Times New Roman" w:hAnsi="Times New Roman" w:hint="eastAsia"/>
                <w:szCs w:val="21"/>
              </w:rPr>
              <w:t>类客车采用齿板调节机构限位、平面蜗卷弹簧自动回位方式和可锁定气弹簧调节装置的靠背调节装置座椅。</w:t>
            </w:r>
          </w:p>
        </w:tc>
        <w:tc>
          <w:tcPr>
            <w:tcW w:w="588" w:type="pct"/>
            <w:vAlign w:val="center"/>
          </w:tcPr>
          <w:p w14:paraId="61DCB878" w14:textId="77777777" w:rsidR="00C66BBC" w:rsidRDefault="00C66BBC" w:rsidP="00C66BBC">
            <w:pPr>
              <w:widowControl/>
              <w:jc w:val="center"/>
              <w:rPr>
                <w:rFonts w:ascii="Times New Roman" w:hAnsi="Times New Roman"/>
                <w:szCs w:val="21"/>
              </w:rPr>
            </w:pPr>
            <w:r w:rsidRPr="00223DF0">
              <w:rPr>
                <w:rFonts w:ascii="Times New Roman" w:hAnsi="Times New Roman"/>
                <w:szCs w:val="21"/>
              </w:rPr>
              <w:t>JT/T</w:t>
            </w:r>
          </w:p>
          <w:p w14:paraId="324EE4D6" w14:textId="7BC8CFE7" w:rsidR="00C66BBC" w:rsidRDefault="00C66BBC" w:rsidP="00C66BBC">
            <w:pPr>
              <w:widowControl/>
              <w:jc w:val="center"/>
              <w:rPr>
                <w:rFonts w:ascii="Times New Roman" w:hAnsi="Times New Roman"/>
                <w:szCs w:val="21"/>
              </w:rPr>
            </w:pPr>
            <w:r w:rsidRPr="00223DF0">
              <w:rPr>
                <w:rFonts w:ascii="Times New Roman" w:hAnsi="Times New Roman"/>
                <w:szCs w:val="21"/>
              </w:rPr>
              <w:t>460</w:t>
            </w:r>
            <w:r w:rsidRPr="00223DF0">
              <w:rPr>
                <w:rFonts w:ascii="Times New Roman" w:hAnsi="Times New Roman" w:hint="eastAsia"/>
                <w:szCs w:val="21"/>
              </w:rPr>
              <w:t>—</w:t>
            </w:r>
            <w:r w:rsidRPr="00223DF0">
              <w:rPr>
                <w:rFonts w:ascii="Times New Roman" w:hAnsi="Times New Roman"/>
                <w:szCs w:val="21"/>
              </w:rPr>
              <w:t>2001</w:t>
            </w:r>
          </w:p>
        </w:tc>
        <w:tc>
          <w:tcPr>
            <w:tcW w:w="448" w:type="pct"/>
            <w:vAlign w:val="center"/>
          </w:tcPr>
          <w:p w14:paraId="17ADA86E" w14:textId="714C6336" w:rsidR="00C66BBC" w:rsidRDefault="00C66BBC" w:rsidP="00200F68">
            <w:pPr>
              <w:jc w:val="center"/>
              <w:rPr>
                <w:rFonts w:ascii="Times New Roman" w:hAnsi="Times New Roman"/>
                <w:szCs w:val="21"/>
              </w:rPr>
            </w:pPr>
            <w:r>
              <w:rPr>
                <w:rFonts w:ascii="Times New Roman" w:hAnsi="Times New Roman" w:hint="eastAsia"/>
                <w:szCs w:val="21"/>
              </w:rPr>
              <w:t>2025-06-01</w:t>
            </w:r>
          </w:p>
        </w:tc>
      </w:tr>
      <w:tr w:rsidR="00C66BBC" w14:paraId="0695A3CF" w14:textId="77777777" w:rsidTr="0085452F">
        <w:trPr>
          <w:cantSplit/>
          <w:trHeight w:val="1282"/>
        </w:trPr>
        <w:tc>
          <w:tcPr>
            <w:tcW w:w="240" w:type="pct"/>
            <w:vAlign w:val="center"/>
          </w:tcPr>
          <w:p w14:paraId="71DE29A5"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1252AD64" w14:textId="4B5D2A54" w:rsidR="00C66BBC" w:rsidRDefault="00C66BBC" w:rsidP="00C66BBC">
            <w:pPr>
              <w:jc w:val="center"/>
              <w:rPr>
                <w:rFonts w:ascii="Times New Roman" w:hAnsi="Times New Roman"/>
                <w:szCs w:val="21"/>
              </w:rPr>
            </w:pPr>
            <w:r w:rsidRPr="00942D86">
              <w:rPr>
                <w:rFonts w:ascii="Times New Roman" w:hAnsi="Times New Roman"/>
                <w:szCs w:val="21"/>
              </w:rPr>
              <w:t>JT/T</w:t>
            </w:r>
          </w:p>
          <w:p w14:paraId="72F092DA" w14:textId="2FF2D7EF" w:rsidR="00C66BBC" w:rsidRPr="00942D86" w:rsidRDefault="00C66BBC" w:rsidP="00C66BBC">
            <w:pPr>
              <w:jc w:val="center"/>
              <w:rPr>
                <w:rFonts w:ascii="Times New Roman" w:hAnsi="Times New Roman"/>
                <w:szCs w:val="21"/>
              </w:rPr>
            </w:pPr>
            <w:r w:rsidRPr="00942D86">
              <w:rPr>
                <w:rFonts w:ascii="Times New Roman" w:hAnsi="Times New Roman" w:hint="eastAsia"/>
                <w:szCs w:val="21"/>
              </w:rPr>
              <w:t>504</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123EB567" w14:textId="77777777" w:rsidR="00C66BBC" w:rsidRPr="00942D86" w:rsidRDefault="00C66BBC" w:rsidP="00200F68">
            <w:pPr>
              <w:rPr>
                <w:rFonts w:ascii="Tahoma" w:hAnsi="Tahoma" w:cs="Tahoma"/>
                <w:color w:val="333333"/>
                <w:szCs w:val="21"/>
                <w:shd w:val="clear" w:color="auto" w:fill="FFFFFF"/>
              </w:rPr>
            </w:pPr>
            <w:r w:rsidRPr="00942D86">
              <w:rPr>
                <w:rFonts w:ascii="Tahoma" w:hAnsi="Tahoma" w:cs="Tahoma"/>
                <w:color w:val="333333"/>
                <w:szCs w:val="21"/>
                <w:shd w:val="clear" w:color="auto" w:fill="FFFFFF"/>
              </w:rPr>
              <w:t>车轮定位仪</w:t>
            </w:r>
          </w:p>
        </w:tc>
        <w:tc>
          <w:tcPr>
            <w:tcW w:w="2186" w:type="pct"/>
            <w:vAlign w:val="center"/>
          </w:tcPr>
          <w:p w14:paraId="0AC1DBCE" w14:textId="77777777" w:rsidR="00C66BBC" w:rsidRPr="00942D86" w:rsidRDefault="00C66BBC" w:rsidP="00200F68">
            <w:pPr>
              <w:autoSpaceDE w:val="0"/>
              <w:autoSpaceDN w:val="0"/>
              <w:adjustRightInd w:val="0"/>
              <w:jc w:val="left"/>
              <w:rPr>
                <w:rFonts w:ascii="Times New Roman" w:hAnsi="Times New Roman"/>
                <w:szCs w:val="21"/>
              </w:rPr>
            </w:pPr>
            <w:r w:rsidRPr="00942D86">
              <w:rPr>
                <w:rFonts w:ascii="Times New Roman" w:hAnsi="Times New Roman" w:hint="eastAsia"/>
                <w:szCs w:val="21"/>
              </w:rPr>
              <w:t>本</w:t>
            </w:r>
            <w:r w:rsidRPr="00942D86">
              <w:rPr>
                <w:rFonts w:ascii="Times New Roman" w:hAnsi="Times New Roman"/>
                <w:szCs w:val="21"/>
              </w:rPr>
              <w:t>标准</w:t>
            </w:r>
            <w:r w:rsidRPr="00942D86">
              <w:rPr>
                <w:rFonts w:ascii="Times New Roman" w:hAnsi="Times New Roman" w:hint="eastAsia"/>
                <w:szCs w:val="21"/>
              </w:rPr>
              <w:t>规定了车轮定位仪的分类与型号、技术要求、试验方法、检验规则，以及标志、包装、运输和储存等要求。</w:t>
            </w:r>
          </w:p>
          <w:p w14:paraId="4A1A27D5" w14:textId="77777777" w:rsidR="00C66BBC" w:rsidRPr="00942D86" w:rsidRDefault="00C66BBC" w:rsidP="00200F68">
            <w:pPr>
              <w:autoSpaceDE w:val="0"/>
              <w:autoSpaceDN w:val="0"/>
              <w:adjustRightInd w:val="0"/>
              <w:jc w:val="left"/>
              <w:rPr>
                <w:rFonts w:ascii="Times New Roman" w:hAnsi="Times New Roman"/>
                <w:szCs w:val="21"/>
              </w:rPr>
            </w:pPr>
            <w:r w:rsidRPr="00942D86">
              <w:rPr>
                <w:rFonts w:ascii="Times New Roman" w:hAnsi="Times New Roman" w:hint="eastAsia"/>
                <w:szCs w:val="21"/>
              </w:rPr>
              <w:t>本</w:t>
            </w:r>
            <w:r w:rsidRPr="00942D86">
              <w:rPr>
                <w:rFonts w:ascii="Times New Roman" w:hAnsi="Times New Roman"/>
                <w:szCs w:val="21"/>
              </w:rPr>
              <w:t>标准</w:t>
            </w:r>
            <w:r w:rsidRPr="00942D86">
              <w:rPr>
                <w:rFonts w:ascii="Times New Roman" w:hAnsi="Times New Roman" w:hint="eastAsia"/>
                <w:szCs w:val="21"/>
              </w:rPr>
              <w:t>适用于大、中型客车</w:t>
            </w:r>
            <w:r w:rsidRPr="00942D86">
              <w:rPr>
                <w:rFonts w:ascii="Times New Roman" w:hAnsi="Times New Roman"/>
                <w:szCs w:val="21"/>
              </w:rPr>
              <w:t>，</w:t>
            </w:r>
            <w:r w:rsidRPr="00942D86">
              <w:rPr>
                <w:rFonts w:ascii="Times New Roman" w:hAnsi="Times New Roman" w:hint="eastAsia"/>
                <w:szCs w:val="21"/>
              </w:rPr>
              <w:t>重、中型货车车轮定位仪的设计、生产、检验和使用，其他用途的车轮定位仪参照使用。</w:t>
            </w:r>
          </w:p>
        </w:tc>
        <w:tc>
          <w:tcPr>
            <w:tcW w:w="588" w:type="pct"/>
            <w:vAlign w:val="center"/>
          </w:tcPr>
          <w:p w14:paraId="1B414AEE" w14:textId="6405D09D" w:rsidR="00C66BBC" w:rsidRDefault="00C66BBC" w:rsidP="00C66BBC">
            <w:pPr>
              <w:jc w:val="center"/>
              <w:rPr>
                <w:rFonts w:ascii="Times New Roman" w:hAnsi="Times New Roman"/>
                <w:szCs w:val="21"/>
              </w:rPr>
            </w:pPr>
            <w:r w:rsidRPr="00942D86">
              <w:rPr>
                <w:rFonts w:ascii="Times New Roman" w:hAnsi="Times New Roman"/>
                <w:szCs w:val="21"/>
              </w:rPr>
              <w:t>JT/T</w:t>
            </w:r>
          </w:p>
          <w:p w14:paraId="6876E07B" w14:textId="6B9DAEA1" w:rsidR="00C66BBC" w:rsidRPr="00942D86" w:rsidRDefault="00C66BBC" w:rsidP="00C66BBC">
            <w:pPr>
              <w:jc w:val="center"/>
              <w:rPr>
                <w:rFonts w:ascii="Times New Roman" w:hAnsi="Times New Roman"/>
                <w:szCs w:val="21"/>
              </w:rPr>
            </w:pPr>
            <w:r w:rsidRPr="00942D86">
              <w:rPr>
                <w:rFonts w:ascii="Times New Roman" w:hAnsi="Times New Roman"/>
                <w:szCs w:val="21"/>
              </w:rPr>
              <w:t>504</w:t>
            </w:r>
            <w:r w:rsidRPr="00942D86">
              <w:rPr>
                <w:rFonts w:ascii="Times New Roman" w:hAnsi="Times New Roman" w:hint="eastAsia"/>
                <w:szCs w:val="21"/>
              </w:rPr>
              <w:t>—</w:t>
            </w:r>
            <w:r w:rsidRPr="00942D86">
              <w:rPr>
                <w:rFonts w:ascii="Times New Roman" w:hAnsi="Times New Roman"/>
                <w:szCs w:val="21"/>
              </w:rPr>
              <w:t>2004</w:t>
            </w:r>
          </w:p>
        </w:tc>
        <w:tc>
          <w:tcPr>
            <w:tcW w:w="448" w:type="pct"/>
            <w:vAlign w:val="center"/>
          </w:tcPr>
          <w:p w14:paraId="338EC12D" w14:textId="580ADCC2" w:rsidR="00C66BBC" w:rsidRPr="00942D86" w:rsidRDefault="00C66BBC" w:rsidP="00200F68">
            <w:pPr>
              <w:jc w:val="center"/>
              <w:rPr>
                <w:rFonts w:ascii="Times New Roman" w:hAnsi="Times New Roman"/>
                <w:szCs w:val="21"/>
              </w:rPr>
            </w:pPr>
            <w:r>
              <w:rPr>
                <w:rFonts w:ascii="Times New Roman" w:hAnsi="Times New Roman" w:hint="eastAsia"/>
                <w:szCs w:val="21"/>
              </w:rPr>
              <w:t>2025-03-01</w:t>
            </w:r>
          </w:p>
        </w:tc>
      </w:tr>
      <w:tr w:rsidR="00C66BBC" w14:paraId="791ECA4B" w14:textId="77777777" w:rsidTr="0085452F">
        <w:trPr>
          <w:cantSplit/>
          <w:trHeight w:val="1282"/>
        </w:trPr>
        <w:tc>
          <w:tcPr>
            <w:tcW w:w="240" w:type="pct"/>
            <w:vAlign w:val="center"/>
          </w:tcPr>
          <w:p w14:paraId="35B9E21D"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0F783CC7" w14:textId="502DACCF" w:rsidR="00C66BBC" w:rsidRDefault="00C66BBC" w:rsidP="00C66BBC">
            <w:pPr>
              <w:jc w:val="center"/>
              <w:rPr>
                <w:rFonts w:ascii="Times New Roman" w:hAnsi="Times New Roman"/>
                <w:szCs w:val="21"/>
              </w:rPr>
            </w:pPr>
            <w:r w:rsidRPr="009F4A5C">
              <w:rPr>
                <w:rFonts w:ascii="Times New Roman" w:hAnsi="Times New Roman"/>
                <w:szCs w:val="21"/>
              </w:rPr>
              <w:t>JT/T</w:t>
            </w:r>
          </w:p>
          <w:p w14:paraId="372448EE" w14:textId="08D28656" w:rsidR="00C66BBC" w:rsidRPr="009F4A5C" w:rsidRDefault="00C66BBC" w:rsidP="00C66BBC">
            <w:pPr>
              <w:jc w:val="center"/>
              <w:rPr>
                <w:rFonts w:ascii="Times New Roman" w:hAnsi="Times New Roman"/>
                <w:szCs w:val="21"/>
              </w:rPr>
            </w:pPr>
            <w:r>
              <w:rPr>
                <w:rFonts w:ascii="Times New Roman" w:hAnsi="Times New Roman" w:hint="eastAsia"/>
                <w:szCs w:val="21"/>
              </w:rPr>
              <w:t>6</w:t>
            </w:r>
            <w:r w:rsidRPr="009F4A5C">
              <w:rPr>
                <w:rFonts w:ascii="Times New Roman" w:hAnsi="Times New Roman" w:hint="eastAsia"/>
                <w:szCs w:val="21"/>
              </w:rPr>
              <w:t>0</w:t>
            </w:r>
            <w:r>
              <w:rPr>
                <w:rFonts w:ascii="Times New Roman" w:hAnsi="Times New Roman" w:hint="eastAsia"/>
                <w:szCs w:val="21"/>
              </w:rPr>
              <w:t>8</w:t>
            </w:r>
            <w:r w:rsidRPr="009F4A5C">
              <w:rPr>
                <w:rFonts w:ascii="Times New Roman" w:hAnsi="Times New Roman" w:hint="eastAsia"/>
                <w:szCs w:val="21"/>
              </w:rPr>
              <w:t>—</w:t>
            </w:r>
            <w:r w:rsidRPr="009F4A5C">
              <w:rPr>
                <w:rFonts w:ascii="Times New Roman" w:hAnsi="Times New Roman" w:hint="eastAsia"/>
                <w:szCs w:val="21"/>
              </w:rPr>
              <w:t>2024</w:t>
            </w:r>
          </w:p>
        </w:tc>
        <w:tc>
          <w:tcPr>
            <w:tcW w:w="1017" w:type="pct"/>
            <w:vAlign w:val="center"/>
          </w:tcPr>
          <w:p w14:paraId="060E9680" w14:textId="77777777" w:rsidR="00C66BBC" w:rsidRPr="00324D03" w:rsidRDefault="00C66BBC" w:rsidP="00200F68">
            <w:pPr>
              <w:rPr>
                <w:rFonts w:ascii="Tahoma" w:hAnsi="Tahoma" w:cs="Tahoma"/>
                <w:color w:val="333333"/>
                <w:szCs w:val="21"/>
                <w:shd w:val="clear" w:color="auto" w:fill="FFFFFF"/>
              </w:rPr>
            </w:pPr>
            <w:r w:rsidRPr="00324D03">
              <w:rPr>
                <w:rFonts w:ascii="Tahoma" w:hAnsi="Tahoma" w:cs="Tahoma"/>
                <w:color w:val="333333"/>
                <w:szCs w:val="21"/>
                <w:shd w:val="clear" w:color="auto" w:fill="FFFFFF"/>
              </w:rPr>
              <w:t>公路</w:t>
            </w:r>
            <w:r w:rsidRPr="008214DE">
              <w:rPr>
                <w:rFonts w:ascii="Tahoma" w:hAnsi="Tahoma" w:cs="Tahoma"/>
                <w:color w:val="333333"/>
                <w:szCs w:val="21"/>
                <w:shd w:val="clear" w:color="auto" w:fill="FFFFFF"/>
              </w:rPr>
              <w:t>隧道本地控制器</w:t>
            </w:r>
          </w:p>
        </w:tc>
        <w:tc>
          <w:tcPr>
            <w:tcW w:w="2186" w:type="pct"/>
            <w:vAlign w:val="center"/>
          </w:tcPr>
          <w:p w14:paraId="78B05D46" w14:textId="77777777" w:rsidR="00C66BBC" w:rsidRPr="00324D03" w:rsidRDefault="00C66BBC" w:rsidP="00200F68">
            <w:pPr>
              <w:autoSpaceDE w:val="0"/>
              <w:autoSpaceDN w:val="0"/>
              <w:adjustRightInd w:val="0"/>
              <w:jc w:val="left"/>
              <w:rPr>
                <w:rFonts w:ascii="Times New Roman" w:hAnsi="Times New Roman"/>
                <w:szCs w:val="21"/>
              </w:rPr>
            </w:pPr>
            <w:r w:rsidRPr="006D031F">
              <w:rPr>
                <w:rFonts w:ascii="Times New Roman" w:hAnsi="Times New Roman" w:hint="eastAsia"/>
                <w:szCs w:val="21"/>
              </w:rPr>
              <w:t>本</w:t>
            </w:r>
            <w:r w:rsidRPr="006D031F">
              <w:rPr>
                <w:rFonts w:ascii="Times New Roman" w:hAnsi="Times New Roman"/>
                <w:szCs w:val="21"/>
              </w:rPr>
              <w:t>标准</w:t>
            </w:r>
            <w:r w:rsidRPr="00324D03">
              <w:rPr>
                <w:rFonts w:ascii="Times New Roman" w:hAnsi="Times New Roman" w:hint="eastAsia"/>
                <w:szCs w:val="21"/>
              </w:rPr>
              <w:t>规定了公路隧道本地控制器的组成和分类、技术要求、试验方法、检验规则，以及标志、包装、运输与储存等要求。</w:t>
            </w:r>
          </w:p>
          <w:p w14:paraId="20F75026" w14:textId="77777777" w:rsidR="00C66BBC" w:rsidRPr="001B55B4" w:rsidRDefault="00C66BBC" w:rsidP="00200F68">
            <w:pPr>
              <w:autoSpaceDE w:val="0"/>
              <w:autoSpaceDN w:val="0"/>
              <w:adjustRightInd w:val="0"/>
              <w:jc w:val="left"/>
              <w:rPr>
                <w:rFonts w:ascii="Times New Roman" w:hAnsi="Times New Roman"/>
                <w:szCs w:val="21"/>
              </w:rPr>
            </w:pPr>
            <w:r w:rsidRPr="006D031F">
              <w:rPr>
                <w:rFonts w:ascii="Times New Roman" w:hAnsi="Times New Roman" w:hint="eastAsia"/>
                <w:szCs w:val="21"/>
              </w:rPr>
              <w:t>本</w:t>
            </w:r>
            <w:r w:rsidRPr="006D031F">
              <w:rPr>
                <w:rFonts w:ascii="Times New Roman" w:hAnsi="Times New Roman"/>
                <w:szCs w:val="21"/>
              </w:rPr>
              <w:t>标准</w:t>
            </w:r>
            <w:r w:rsidRPr="00324D03">
              <w:rPr>
                <w:rFonts w:ascii="Times New Roman" w:hAnsi="Times New Roman" w:hint="eastAsia"/>
                <w:szCs w:val="21"/>
              </w:rPr>
              <w:t>适用于公路隧道本地控制器的生产、检验和使用。</w:t>
            </w:r>
          </w:p>
        </w:tc>
        <w:tc>
          <w:tcPr>
            <w:tcW w:w="588" w:type="pct"/>
            <w:vAlign w:val="center"/>
          </w:tcPr>
          <w:p w14:paraId="7B0819C0" w14:textId="4E21022F" w:rsidR="00C66BBC" w:rsidRDefault="00C66BBC" w:rsidP="00C66BBC">
            <w:pPr>
              <w:jc w:val="center"/>
              <w:rPr>
                <w:rFonts w:ascii="Times New Roman" w:hAnsi="Times New Roman"/>
                <w:szCs w:val="21"/>
              </w:rPr>
            </w:pPr>
            <w:r w:rsidRPr="009F4A5C">
              <w:rPr>
                <w:rFonts w:ascii="Times New Roman" w:hAnsi="Times New Roman"/>
                <w:szCs w:val="21"/>
              </w:rPr>
              <w:t>JT/T</w:t>
            </w:r>
          </w:p>
          <w:p w14:paraId="4ACA9640" w14:textId="32E44A6E" w:rsidR="00C66BBC" w:rsidRPr="001B55B4" w:rsidRDefault="00C66BBC" w:rsidP="00C66BBC">
            <w:pPr>
              <w:jc w:val="center"/>
              <w:rPr>
                <w:rFonts w:ascii="Times New Roman" w:hAnsi="Times New Roman"/>
                <w:szCs w:val="21"/>
              </w:rPr>
            </w:pPr>
            <w:r>
              <w:rPr>
                <w:rFonts w:ascii="Times New Roman" w:hAnsi="Times New Roman" w:hint="eastAsia"/>
                <w:szCs w:val="21"/>
              </w:rPr>
              <w:t>6</w:t>
            </w:r>
            <w:r w:rsidRPr="009F4A5C">
              <w:rPr>
                <w:rFonts w:ascii="Times New Roman" w:hAnsi="Times New Roman" w:hint="eastAsia"/>
                <w:szCs w:val="21"/>
              </w:rPr>
              <w:t>0</w:t>
            </w:r>
            <w:r>
              <w:rPr>
                <w:rFonts w:ascii="Times New Roman" w:hAnsi="Times New Roman" w:hint="eastAsia"/>
                <w:szCs w:val="21"/>
              </w:rPr>
              <w:t>8</w:t>
            </w:r>
            <w:r w:rsidRPr="009F4A5C">
              <w:rPr>
                <w:rFonts w:ascii="Times New Roman" w:hAnsi="Times New Roman" w:hint="eastAsia"/>
                <w:szCs w:val="21"/>
              </w:rPr>
              <w:t>—</w:t>
            </w:r>
            <w:r>
              <w:rPr>
                <w:rFonts w:ascii="Times New Roman" w:hAnsi="Times New Roman" w:hint="eastAsia"/>
                <w:szCs w:val="21"/>
              </w:rPr>
              <w:t>200</w:t>
            </w:r>
            <w:r w:rsidRPr="009F4A5C">
              <w:rPr>
                <w:rFonts w:ascii="Times New Roman" w:hAnsi="Times New Roman" w:hint="eastAsia"/>
                <w:szCs w:val="21"/>
              </w:rPr>
              <w:t>4</w:t>
            </w:r>
          </w:p>
        </w:tc>
        <w:tc>
          <w:tcPr>
            <w:tcW w:w="448" w:type="pct"/>
            <w:vAlign w:val="center"/>
          </w:tcPr>
          <w:p w14:paraId="58F2E3EC" w14:textId="7DA17253" w:rsidR="00C66BBC" w:rsidRDefault="00C66BBC" w:rsidP="00200F68">
            <w:pPr>
              <w:jc w:val="center"/>
              <w:rPr>
                <w:rFonts w:ascii="Times New Roman" w:hAnsi="Times New Roman"/>
                <w:szCs w:val="21"/>
              </w:rPr>
            </w:pPr>
            <w:r>
              <w:rPr>
                <w:rFonts w:ascii="Times New Roman" w:hAnsi="Times New Roman" w:hint="eastAsia"/>
                <w:szCs w:val="21"/>
              </w:rPr>
              <w:t>2025-03-01</w:t>
            </w:r>
          </w:p>
        </w:tc>
      </w:tr>
      <w:tr w:rsidR="00C66BBC" w14:paraId="3201B812" w14:textId="77777777" w:rsidTr="0085452F">
        <w:trPr>
          <w:cantSplit/>
          <w:trHeight w:val="971"/>
        </w:trPr>
        <w:tc>
          <w:tcPr>
            <w:tcW w:w="240" w:type="pct"/>
            <w:vAlign w:val="center"/>
          </w:tcPr>
          <w:p w14:paraId="2D439F3A"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7A1E80EE" w14:textId="034B684E" w:rsidR="00C66BBC" w:rsidRDefault="00C66BBC" w:rsidP="00C66BBC">
            <w:pPr>
              <w:jc w:val="center"/>
              <w:rPr>
                <w:rFonts w:ascii="Times New Roman" w:hAnsi="Times New Roman"/>
                <w:szCs w:val="21"/>
              </w:rPr>
            </w:pPr>
            <w:r w:rsidRPr="009F4A5C">
              <w:rPr>
                <w:rFonts w:ascii="Times New Roman" w:hAnsi="Times New Roman"/>
                <w:szCs w:val="21"/>
              </w:rPr>
              <w:t>JT/T</w:t>
            </w:r>
          </w:p>
          <w:p w14:paraId="164030D7" w14:textId="12C0663A" w:rsidR="00C66BBC" w:rsidRPr="009F4A5C" w:rsidRDefault="00C66BBC" w:rsidP="00C66BBC">
            <w:pPr>
              <w:jc w:val="center"/>
              <w:rPr>
                <w:rFonts w:ascii="Times New Roman" w:hAnsi="Times New Roman"/>
                <w:szCs w:val="21"/>
              </w:rPr>
            </w:pPr>
            <w:r>
              <w:rPr>
                <w:rFonts w:ascii="Times New Roman" w:hAnsi="Times New Roman" w:hint="eastAsia"/>
                <w:szCs w:val="21"/>
              </w:rPr>
              <w:t>74</w:t>
            </w:r>
            <w:r w:rsidRPr="009F4A5C">
              <w:rPr>
                <w:rFonts w:ascii="Times New Roman" w:hAnsi="Times New Roman" w:hint="eastAsia"/>
                <w:szCs w:val="21"/>
              </w:rPr>
              <w:t>0</w:t>
            </w:r>
            <w:r w:rsidRPr="009F4A5C">
              <w:rPr>
                <w:rFonts w:ascii="Times New Roman" w:hAnsi="Times New Roman" w:hint="eastAsia"/>
                <w:szCs w:val="21"/>
              </w:rPr>
              <w:t>—</w:t>
            </w:r>
            <w:r w:rsidRPr="009F4A5C">
              <w:rPr>
                <w:rFonts w:ascii="Times New Roman" w:hAnsi="Times New Roman" w:hint="eastAsia"/>
                <w:szCs w:val="21"/>
              </w:rPr>
              <w:t>2024</w:t>
            </w:r>
          </w:p>
        </w:tc>
        <w:tc>
          <w:tcPr>
            <w:tcW w:w="1017" w:type="pct"/>
            <w:vAlign w:val="center"/>
          </w:tcPr>
          <w:p w14:paraId="379E677F" w14:textId="77777777" w:rsidR="00C66BBC" w:rsidRPr="009F4A5C" w:rsidRDefault="00C66BBC" w:rsidP="00200F68">
            <w:pPr>
              <w:rPr>
                <w:rFonts w:ascii="宋体" w:hAnsi="宋体" w:hint="eastAsia"/>
              </w:rPr>
            </w:pPr>
            <w:r>
              <w:rPr>
                <w:rFonts w:ascii="Tahoma" w:hAnsi="Tahoma" w:cs="Tahoma"/>
                <w:color w:val="333333"/>
                <w:szCs w:val="21"/>
                <w:shd w:val="clear" w:color="auto" w:fill="FFFFFF"/>
              </w:rPr>
              <w:t>路面加热型灌缝胶</w:t>
            </w:r>
          </w:p>
        </w:tc>
        <w:tc>
          <w:tcPr>
            <w:tcW w:w="2186" w:type="pct"/>
            <w:vAlign w:val="center"/>
          </w:tcPr>
          <w:p w14:paraId="52F5403D" w14:textId="77777777" w:rsidR="00C66BBC" w:rsidRPr="00D74D74" w:rsidRDefault="00C66BBC" w:rsidP="00200F68">
            <w:pPr>
              <w:autoSpaceDE w:val="0"/>
              <w:autoSpaceDN w:val="0"/>
              <w:adjustRightInd w:val="0"/>
              <w:jc w:val="left"/>
              <w:rPr>
                <w:rFonts w:ascii="Times New Roman" w:hAnsi="Times New Roman"/>
                <w:szCs w:val="21"/>
              </w:rPr>
            </w:pPr>
            <w:r w:rsidRPr="00D74D74">
              <w:rPr>
                <w:rFonts w:ascii="Times New Roman" w:hAnsi="Times New Roman" w:hint="eastAsia"/>
                <w:szCs w:val="21"/>
              </w:rPr>
              <w:t>本</w:t>
            </w:r>
            <w:r w:rsidRPr="006D031F">
              <w:rPr>
                <w:rFonts w:ascii="Times New Roman" w:hAnsi="Times New Roman"/>
                <w:szCs w:val="21"/>
              </w:rPr>
              <w:t>标准</w:t>
            </w:r>
            <w:r w:rsidRPr="00D74D74">
              <w:rPr>
                <w:rFonts w:ascii="Times New Roman" w:hAnsi="Times New Roman" w:hint="eastAsia"/>
                <w:szCs w:val="21"/>
              </w:rPr>
              <w:t>规定了路面加热型灌缝胶的产品分类、技术要求、试验方法、检验规则</w:t>
            </w:r>
            <w:r w:rsidRPr="00D74D74">
              <w:rPr>
                <w:rFonts w:ascii="Times New Roman" w:hAnsi="Times New Roman"/>
                <w:szCs w:val="21"/>
              </w:rPr>
              <w:t>,</w:t>
            </w:r>
            <w:r w:rsidRPr="00D74D74">
              <w:rPr>
                <w:rFonts w:ascii="Times New Roman" w:hAnsi="Times New Roman" w:hint="eastAsia"/>
                <w:szCs w:val="21"/>
              </w:rPr>
              <w:t>以及标志、包装、运输和储存的要求。</w:t>
            </w:r>
          </w:p>
          <w:p w14:paraId="25AE3A7B" w14:textId="77777777" w:rsidR="00C66BBC" w:rsidRPr="006D031F" w:rsidRDefault="00C66BBC" w:rsidP="00200F68">
            <w:pPr>
              <w:autoSpaceDE w:val="0"/>
              <w:autoSpaceDN w:val="0"/>
              <w:adjustRightInd w:val="0"/>
              <w:jc w:val="left"/>
              <w:rPr>
                <w:rFonts w:ascii="Times New Roman" w:hAnsi="Times New Roman"/>
                <w:szCs w:val="21"/>
              </w:rPr>
            </w:pPr>
            <w:r w:rsidRPr="00D74D74">
              <w:rPr>
                <w:rFonts w:ascii="Times New Roman" w:hAnsi="Times New Roman" w:hint="eastAsia"/>
                <w:szCs w:val="21"/>
              </w:rPr>
              <w:t>本</w:t>
            </w:r>
            <w:r w:rsidRPr="006D031F">
              <w:rPr>
                <w:rFonts w:ascii="Times New Roman" w:hAnsi="Times New Roman"/>
                <w:szCs w:val="21"/>
              </w:rPr>
              <w:t>标准</w:t>
            </w:r>
            <w:r w:rsidRPr="00D74D74">
              <w:rPr>
                <w:rFonts w:ascii="Times New Roman" w:hAnsi="Times New Roman" w:hint="eastAsia"/>
                <w:szCs w:val="21"/>
              </w:rPr>
              <w:t>适用于路面加热型灌缝胶的生产、使用和检验。</w:t>
            </w:r>
          </w:p>
        </w:tc>
        <w:tc>
          <w:tcPr>
            <w:tcW w:w="588" w:type="pct"/>
            <w:vAlign w:val="center"/>
          </w:tcPr>
          <w:p w14:paraId="6721D7BF" w14:textId="635D952C" w:rsidR="00C66BBC" w:rsidRDefault="00C66BBC" w:rsidP="00C66BBC">
            <w:pPr>
              <w:jc w:val="center"/>
              <w:rPr>
                <w:rFonts w:ascii="Times New Roman" w:hAnsi="Times New Roman"/>
                <w:szCs w:val="21"/>
              </w:rPr>
            </w:pPr>
            <w:r w:rsidRPr="009F4A5C">
              <w:rPr>
                <w:rFonts w:ascii="Times New Roman" w:hAnsi="Times New Roman"/>
                <w:szCs w:val="21"/>
              </w:rPr>
              <w:t>JT/T</w:t>
            </w:r>
          </w:p>
          <w:p w14:paraId="28063DC0" w14:textId="00D0D902" w:rsidR="00C66BBC" w:rsidRPr="006D031F" w:rsidRDefault="00C66BBC" w:rsidP="00C66BBC">
            <w:pPr>
              <w:jc w:val="center"/>
              <w:rPr>
                <w:rFonts w:ascii="Times New Roman" w:hAnsi="Times New Roman"/>
                <w:szCs w:val="21"/>
              </w:rPr>
            </w:pPr>
            <w:r>
              <w:rPr>
                <w:rFonts w:ascii="Times New Roman" w:hAnsi="Times New Roman" w:hint="eastAsia"/>
                <w:szCs w:val="21"/>
              </w:rPr>
              <w:t>74</w:t>
            </w:r>
            <w:r w:rsidRPr="009F4A5C">
              <w:rPr>
                <w:rFonts w:ascii="Times New Roman" w:hAnsi="Times New Roman" w:hint="eastAsia"/>
                <w:szCs w:val="21"/>
              </w:rPr>
              <w:t>0</w:t>
            </w:r>
            <w:r w:rsidRPr="009F4A5C">
              <w:rPr>
                <w:rFonts w:ascii="Times New Roman" w:hAnsi="Times New Roman" w:hint="eastAsia"/>
                <w:szCs w:val="21"/>
              </w:rPr>
              <w:t>—</w:t>
            </w:r>
            <w:r w:rsidRPr="009F4A5C">
              <w:rPr>
                <w:rFonts w:ascii="Times New Roman" w:hAnsi="Times New Roman" w:hint="eastAsia"/>
                <w:szCs w:val="21"/>
              </w:rPr>
              <w:t>20</w:t>
            </w:r>
            <w:r>
              <w:rPr>
                <w:rFonts w:ascii="Times New Roman" w:hAnsi="Times New Roman" w:hint="eastAsia"/>
                <w:szCs w:val="21"/>
              </w:rPr>
              <w:t>15</w:t>
            </w:r>
          </w:p>
        </w:tc>
        <w:tc>
          <w:tcPr>
            <w:tcW w:w="448" w:type="pct"/>
            <w:vAlign w:val="center"/>
          </w:tcPr>
          <w:p w14:paraId="127BCA04" w14:textId="1B779728" w:rsidR="00C66BBC" w:rsidRPr="006D031F" w:rsidRDefault="00C66BBC" w:rsidP="00200F68">
            <w:pPr>
              <w:jc w:val="center"/>
              <w:rPr>
                <w:rFonts w:ascii="Times New Roman" w:hAnsi="Times New Roman"/>
                <w:szCs w:val="21"/>
              </w:rPr>
            </w:pPr>
            <w:r>
              <w:rPr>
                <w:rFonts w:ascii="Times New Roman" w:hAnsi="Times New Roman" w:hint="eastAsia"/>
                <w:szCs w:val="21"/>
              </w:rPr>
              <w:t>2025-03-01</w:t>
            </w:r>
          </w:p>
        </w:tc>
      </w:tr>
      <w:tr w:rsidR="00C66BBC" w14:paraId="0BB61B71" w14:textId="77777777" w:rsidTr="0085452F">
        <w:trPr>
          <w:cantSplit/>
          <w:trHeight w:val="971"/>
        </w:trPr>
        <w:tc>
          <w:tcPr>
            <w:tcW w:w="240" w:type="pct"/>
            <w:vAlign w:val="center"/>
          </w:tcPr>
          <w:p w14:paraId="06FF625C"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199143F5" w14:textId="77777777" w:rsidR="00C66BBC" w:rsidRDefault="00C66BBC" w:rsidP="00C66BBC">
            <w:pPr>
              <w:jc w:val="center"/>
              <w:rPr>
                <w:rFonts w:ascii="Times New Roman" w:hAnsi="Times New Roman"/>
                <w:szCs w:val="21"/>
              </w:rPr>
            </w:pPr>
            <w:r w:rsidRPr="009F4A5C">
              <w:rPr>
                <w:rFonts w:ascii="Times New Roman" w:hAnsi="Times New Roman"/>
                <w:szCs w:val="21"/>
              </w:rPr>
              <w:t>JT/T</w:t>
            </w:r>
          </w:p>
          <w:p w14:paraId="0E6D1268" w14:textId="74E8BF14" w:rsidR="00C66BBC" w:rsidRPr="009F4A5C" w:rsidRDefault="00C66BBC" w:rsidP="00C66BBC">
            <w:pPr>
              <w:jc w:val="center"/>
              <w:rPr>
                <w:rFonts w:ascii="Times New Roman" w:hAnsi="Times New Roman"/>
                <w:szCs w:val="21"/>
              </w:rPr>
            </w:pPr>
            <w:r>
              <w:rPr>
                <w:rFonts w:ascii="Times New Roman" w:hAnsi="Times New Roman" w:hint="eastAsia"/>
                <w:szCs w:val="21"/>
              </w:rPr>
              <w:t>903</w:t>
            </w:r>
            <w:r w:rsidRPr="009F4A5C">
              <w:rPr>
                <w:rFonts w:ascii="Times New Roman" w:hAnsi="Times New Roman" w:hint="eastAsia"/>
                <w:szCs w:val="21"/>
              </w:rPr>
              <w:t>—</w:t>
            </w:r>
            <w:r w:rsidRPr="009F4A5C">
              <w:rPr>
                <w:rFonts w:ascii="Times New Roman" w:hAnsi="Times New Roman" w:hint="eastAsia"/>
                <w:szCs w:val="21"/>
              </w:rPr>
              <w:t>2024</w:t>
            </w:r>
          </w:p>
        </w:tc>
        <w:tc>
          <w:tcPr>
            <w:tcW w:w="1017" w:type="pct"/>
            <w:vAlign w:val="center"/>
          </w:tcPr>
          <w:p w14:paraId="0967CEFD" w14:textId="77777777" w:rsidR="00C66BBC" w:rsidRPr="00F42AD1" w:rsidRDefault="00C66BBC" w:rsidP="00200F68">
            <w:pPr>
              <w:rPr>
                <w:rFonts w:ascii="Tahoma" w:hAnsi="Tahoma" w:cs="Tahoma"/>
                <w:color w:val="333333"/>
                <w:szCs w:val="21"/>
              </w:rPr>
            </w:pPr>
            <w:r w:rsidRPr="00F42AD1">
              <w:rPr>
                <w:rFonts w:ascii="宋体" w:hAnsi="宋体"/>
              </w:rPr>
              <w:t>悬索桥</w:t>
            </w:r>
            <w:r w:rsidRPr="00716CF1">
              <w:rPr>
                <w:rFonts w:ascii="宋体" w:hAnsi="宋体"/>
              </w:rPr>
              <w:t>索鞍索夹</w:t>
            </w:r>
          </w:p>
        </w:tc>
        <w:tc>
          <w:tcPr>
            <w:tcW w:w="2186" w:type="pct"/>
            <w:vAlign w:val="center"/>
          </w:tcPr>
          <w:p w14:paraId="6E7C8404" w14:textId="77777777" w:rsidR="00C66BBC" w:rsidRPr="00F42AD1" w:rsidRDefault="00C66BBC" w:rsidP="00200F68">
            <w:pPr>
              <w:autoSpaceDE w:val="0"/>
              <w:autoSpaceDN w:val="0"/>
              <w:adjustRightInd w:val="0"/>
              <w:jc w:val="left"/>
              <w:rPr>
                <w:rFonts w:ascii="Times New Roman" w:hAnsi="Times New Roman"/>
                <w:szCs w:val="21"/>
              </w:rPr>
            </w:pPr>
            <w:r w:rsidRPr="006D031F">
              <w:rPr>
                <w:rFonts w:ascii="Times New Roman" w:hAnsi="Times New Roman" w:hint="eastAsia"/>
                <w:szCs w:val="21"/>
              </w:rPr>
              <w:t>本</w:t>
            </w:r>
            <w:r w:rsidRPr="006D031F">
              <w:rPr>
                <w:rFonts w:ascii="Times New Roman" w:hAnsi="Times New Roman"/>
                <w:szCs w:val="21"/>
              </w:rPr>
              <w:t>标准</w:t>
            </w:r>
            <w:r w:rsidRPr="006D031F">
              <w:rPr>
                <w:rFonts w:ascii="Times New Roman" w:hAnsi="Times New Roman" w:hint="eastAsia"/>
                <w:szCs w:val="21"/>
              </w:rPr>
              <w:t>规</w:t>
            </w:r>
            <w:r w:rsidRPr="00F42AD1">
              <w:rPr>
                <w:rFonts w:ascii="Times New Roman" w:hAnsi="Times New Roman" w:hint="eastAsia"/>
                <w:szCs w:val="21"/>
              </w:rPr>
              <w:t>定了悬索桥索鞍、索夹的分类、型号及结构形式、技术要求、试验方法、检验规则</w:t>
            </w:r>
            <w:r>
              <w:rPr>
                <w:rFonts w:ascii="Times New Roman" w:hAnsi="Times New Roman" w:hint="eastAsia"/>
                <w:szCs w:val="21"/>
              </w:rPr>
              <w:t>，</w:t>
            </w:r>
            <w:r w:rsidRPr="00F42AD1">
              <w:rPr>
                <w:rFonts w:ascii="Times New Roman" w:hAnsi="Times New Roman" w:hint="eastAsia"/>
                <w:szCs w:val="21"/>
              </w:rPr>
              <w:t>以及标志、包装、运输与储存等要求。</w:t>
            </w:r>
          </w:p>
          <w:p w14:paraId="39E191ED" w14:textId="77777777" w:rsidR="00C66BBC" w:rsidRPr="006D031F" w:rsidRDefault="00C66BBC" w:rsidP="00200F68">
            <w:pPr>
              <w:autoSpaceDE w:val="0"/>
              <w:autoSpaceDN w:val="0"/>
              <w:adjustRightInd w:val="0"/>
              <w:jc w:val="left"/>
              <w:rPr>
                <w:rFonts w:ascii="Times New Roman" w:hAnsi="Times New Roman"/>
                <w:szCs w:val="21"/>
              </w:rPr>
            </w:pPr>
            <w:r w:rsidRPr="00F42AD1">
              <w:rPr>
                <w:rFonts w:ascii="Times New Roman" w:hAnsi="Times New Roman" w:hint="eastAsia"/>
                <w:szCs w:val="21"/>
              </w:rPr>
              <w:t>本</w:t>
            </w:r>
            <w:r>
              <w:rPr>
                <w:rFonts w:ascii="Times New Roman" w:hAnsi="Times New Roman" w:hint="eastAsia"/>
                <w:szCs w:val="21"/>
              </w:rPr>
              <w:t>标准</w:t>
            </w:r>
            <w:r w:rsidRPr="00F42AD1">
              <w:rPr>
                <w:rFonts w:ascii="Times New Roman" w:hAnsi="Times New Roman" w:hint="eastAsia"/>
                <w:szCs w:val="21"/>
              </w:rPr>
              <w:t>适用于悬索桥索鞍、索夹的生产、检验和使用。</w:t>
            </w:r>
          </w:p>
        </w:tc>
        <w:tc>
          <w:tcPr>
            <w:tcW w:w="588" w:type="pct"/>
            <w:vAlign w:val="center"/>
          </w:tcPr>
          <w:p w14:paraId="04F27274" w14:textId="1830997F" w:rsidR="00C66BBC" w:rsidRDefault="00C66BBC" w:rsidP="00C66BBC">
            <w:pPr>
              <w:jc w:val="center"/>
              <w:rPr>
                <w:rFonts w:ascii="Times New Roman" w:hAnsi="Times New Roman"/>
                <w:szCs w:val="21"/>
              </w:rPr>
            </w:pPr>
            <w:r>
              <w:rPr>
                <w:rFonts w:ascii="Times New Roman" w:hAnsi="Times New Roman"/>
                <w:szCs w:val="21"/>
              </w:rPr>
              <w:t>JT/T</w:t>
            </w:r>
          </w:p>
          <w:p w14:paraId="1DA81055" w14:textId="185EB92B" w:rsidR="00C66BBC" w:rsidRPr="00F42AD1" w:rsidRDefault="00C66BBC" w:rsidP="00C66BBC">
            <w:pPr>
              <w:jc w:val="center"/>
              <w:rPr>
                <w:rFonts w:ascii="Times New Roman" w:hAnsi="Times New Roman"/>
                <w:szCs w:val="21"/>
              </w:rPr>
            </w:pPr>
            <w:r>
              <w:rPr>
                <w:rFonts w:ascii="Times New Roman" w:hAnsi="Times New Roman"/>
                <w:szCs w:val="21"/>
              </w:rPr>
              <w:t>903</w:t>
            </w:r>
            <w:r>
              <w:rPr>
                <w:rFonts w:ascii="Times New Roman" w:hAnsi="Times New Roman" w:hint="eastAsia"/>
                <w:szCs w:val="21"/>
              </w:rPr>
              <w:t>—</w:t>
            </w:r>
            <w:r w:rsidRPr="00F42AD1">
              <w:rPr>
                <w:rFonts w:ascii="Times New Roman" w:hAnsi="Times New Roman"/>
                <w:szCs w:val="21"/>
              </w:rPr>
              <w:t>2014</w:t>
            </w:r>
          </w:p>
        </w:tc>
        <w:tc>
          <w:tcPr>
            <w:tcW w:w="448" w:type="pct"/>
            <w:vAlign w:val="center"/>
          </w:tcPr>
          <w:p w14:paraId="5387618C" w14:textId="3F44CDA0" w:rsidR="00C66BBC" w:rsidRPr="006D031F" w:rsidRDefault="00C66BBC" w:rsidP="00200F68">
            <w:pPr>
              <w:jc w:val="center"/>
              <w:rPr>
                <w:rFonts w:ascii="Times New Roman" w:hAnsi="Times New Roman"/>
                <w:szCs w:val="21"/>
              </w:rPr>
            </w:pPr>
            <w:r>
              <w:rPr>
                <w:rFonts w:ascii="Times New Roman" w:hAnsi="Times New Roman" w:hint="eastAsia"/>
                <w:szCs w:val="21"/>
              </w:rPr>
              <w:t>2025-03-01</w:t>
            </w:r>
          </w:p>
        </w:tc>
      </w:tr>
      <w:tr w:rsidR="00C66BBC" w14:paraId="212EEFEC" w14:textId="77777777" w:rsidTr="0085452F">
        <w:trPr>
          <w:cantSplit/>
          <w:trHeight w:val="971"/>
        </w:trPr>
        <w:tc>
          <w:tcPr>
            <w:tcW w:w="240" w:type="pct"/>
            <w:vAlign w:val="center"/>
          </w:tcPr>
          <w:p w14:paraId="644780E3"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70640918" w14:textId="7EED2969" w:rsidR="00C66BBC" w:rsidRDefault="00C66BBC" w:rsidP="00C66BBC">
            <w:pPr>
              <w:jc w:val="center"/>
              <w:rPr>
                <w:rFonts w:ascii="Times New Roman" w:hAnsi="Times New Roman"/>
                <w:szCs w:val="21"/>
              </w:rPr>
            </w:pPr>
            <w:r w:rsidRPr="0007374D">
              <w:rPr>
                <w:rFonts w:ascii="Times New Roman" w:hAnsi="Times New Roman"/>
                <w:szCs w:val="21"/>
              </w:rPr>
              <w:t>JT/T</w:t>
            </w:r>
          </w:p>
          <w:p w14:paraId="26285F34" w14:textId="1FF7617F" w:rsidR="00C66BBC" w:rsidRPr="009F4A5C" w:rsidRDefault="00C66BBC" w:rsidP="00C66BBC">
            <w:pPr>
              <w:jc w:val="center"/>
              <w:rPr>
                <w:rFonts w:ascii="Times New Roman" w:hAnsi="Times New Roman"/>
                <w:szCs w:val="21"/>
              </w:rPr>
            </w:pPr>
            <w:r w:rsidRPr="0007374D">
              <w:rPr>
                <w:rFonts w:ascii="Times New Roman" w:hAnsi="Times New Roman"/>
                <w:szCs w:val="21"/>
              </w:rPr>
              <w:t>1006.2</w:t>
            </w:r>
            <w:r>
              <w:rPr>
                <w:rFonts w:ascii="Times New Roman" w:hAnsi="Times New Roman" w:hint="eastAsia"/>
                <w:szCs w:val="21"/>
              </w:rPr>
              <w:t>—</w:t>
            </w:r>
            <w:r>
              <w:rPr>
                <w:rFonts w:ascii="Times New Roman" w:hAnsi="Times New Roman" w:hint="eastAsia"/>
                <w:szCs w:val="21"/>
              </w:rPr>
              <w:t>2024</w:t>
            </w:r>
          </w:p>
        </w:tc>
        <w:tc>
          <w:tcPr>
            <w:tcW w:w="1017" w:type="pct"/>
            <w:vAlign w:val="center"/>
          </w:tcPr>
          <w:p w14:paraId="75D92674" w14:textId="77777777" w:rsidR="00C66BBC" w:rsidRPr="0007374D" w:rsidRDefault="00C66BBC" w:rsidP="00200F68">
            <w:pPr>
              <w:rPr>
                <w:rFonts w:ascii="宋体" w:hAnsi="宋体" w:hint="eastAsia"/>
              </w:rPr>
            </w:pPr>
            <w:r w:rsidRPr="0007374D">
              <w:rPr>
                <w:rFonts w:ascii="宋体" w:hAnsi="宋体"/>
              </w:rPr>
              <w:t>交通运输统计分析监测和投资计划管理信息系统 第2部分：数据交换内容</w:t>
            </w:r>
          </w:p>
        </w:tc>
        <w:tc>
          <w:tcPr>
            <w:tcW w:w="2186" w:type="pct"/>
            <w:vAlign w:val="center"/>
          </w:tcPr>
          <w:p w14:paraId="26A524CE" w14:textId="77777777" w:rsidR="00C66BBC" w:rsidRPr="0007374D" w:rsidRDefault="00C66BBC" w:rsidP="00200F68">
            <w:pPr>
              <w:autoSpaceDE w:val="0"/>
              <w:autoSpaceDN w:val="0"/>
              <w:adjustRightInd w:val="0"/>
              <w:jc w:val="left"/>
              <w:rPr>
                <w:rFonts w:ascii="Times New Roman" w:hAnsi="Times New Roman"/>
                <w:szCs w:val="21"/>
              </w:rPr>
            </w:pPr>
            <w:r w:rsidRPr="005E445C">
              <w:rPr>
                <w:rFonts w:ascii="Times New Roman" w:hAnsi="Times New Roman"/>
                <w:szCs w:val="21"/>
              </w:rPr>
              <w:t>JT/T 1</w:t>
            </w:r>
            <w:r>
              <w:rPr>
                <w:rFonts w:ascii="Times New Roman" w:hAnsi="Times New Roman" w:hint="eastAsia"/>
                <w:szCs w:val="21"/>
              </w:rPr>
              <w:t>006</w:t>
            </w:r>
            <w:r>
              <w:rPr>
                <w:rFonts w:ascii="Times New Roman" w:hAnsi="Times New Roman" w:hint="eastAsia"/>
                <w:szCs w:val="21"/>
              </w:rPr>
              <w:t>的本部分</w:t>
            </w:r>
            <w:r w:rsidRPr="0007374D">
              <w:rPr>
                <w:rFonts w:ascii="Times New Roman" w:hAnsi="Times New Roman" w:hint="eastAsia"/>
                <w:szCs w:val="21"/>
              </w:rPr>
              <w:t>规定了部、省两级交通运输统计分析监测和投资计划管理信息系统之间交换数据分类</w:t>
            </w:r>
            <w:r>
              <w:rPr>
                <w:rFonts w:ascii="Times New Roman" w:hAnsi="Times New Roman" w:hint="eastAsia"/>
                <w:szCs w:val="21"/>
              </w:rPr>
              <w:t>，</w:t>
            </w:r>
            <w:r w:rsidRPr="0007374D">
              <w:rPr>
                <w:rFonts w:ascii="Times New Roman" w:hAnsi="Times New Roman" w:hint="eastAsia"/>
                <w:szCs w:val="21"/>
              </w:rPr>
              <w:t>以及交通运输统计报表、高速公路运输量监测和交通运输投资计划的数据交换内容。</w:t>
            </w:r>
          </w:p>
          <w:p w14:paraId="2881C5A2" w14:textId="77777777" w:rsidR="00C66BBC" w:rsidRPr="006D031F" w:rsidRDefault="00C66BBC" w:rsidP="00200F68">
            <w:pPr>
              <w:autoSpaceDE w:val="0"/>
              <w:autoSpaceDN w:val="0"/>
              <w:adjustRightInd w:val="0"/>
              <w:jc w:val="left"/>
              <w:rPr>
                <w:rFonts w:ascii="Times New Roman" w:hAnsi="Times New Roman"/>
                <w:szCs w:val="21"/>
              </w:rPr>
            </w:pPr>
            <w:r w:rsidRPr="0007374D">
              <w:rPr>
                <w:rFonts w:ascii="Times New Roman" w:hAnsi="Times New Roman" w:hint="eastAsia"/>
                <w:szCs w:val="21"/>
              </w:rPr>
              <w:t>本</w:t>
            </w:r>
            <w:r>
              <w:rPr>
                <w:rFonts w:ascii="Times New Roman" w:hAnsi="Times New Roman" w:hint="eastAsia"/>
                <w:szCs w:val="21"/>
              </w:rPr>
              <w:t>部分</w:t>
            </w:r>
            <w:r w:rsidRPr="0007374D">
              <w:rPr>
                <w:rFonts w:ascii="Times New Roman" w:hAnsi="Times New Roman" w:hint="eastAsia"/>
                <w:szCs w:val="21"/>
              </w:rPr>
              <w:t>适用于部、省两级交通运输统计分析监测和投资计划管理信息系统数据共享交换。其他层级交通运输统计分析监测和投资计划管理信息系统数据共享交换参照使用。</w:t>
            </w:r>
          </w:p>
        </w:tc>
        <w:tc>
          <w:tcPr>
            <w:tcW w:w="588" w:type="pct"/>
            <w:vAlign w:val="center"/>
          </w:tcPr>
          <w:p w14:paraId="59AD2DF8" w14:textId="1B7D4ED1" w:rsidR="00C66BBC" w:rsidRDefault="00C66BBC" w:rsidP="00C66BBC">
            <w:pPr>
              <w:jc w:val="center"/>
              <w:rPr>
                <w:rFonts w:ascii="Times New Roman" w:hAnsi="Times New Roman"/>
                <w:szCs w:val="21"/>
              </w:rPr>
            </w:pPr>
            <w:r w:rsidRPr="0007374D">
              <w:rPr>
                <w:rFonts w:ascii="Times New Roman" w:hAnsi="Times New Roman"/>
                <w:szCs w:val="21"/>
              </w:rPr>
              <w:t>JT/T</w:t>
            </w:r>
          </w:p>
          <w:p w14:paraId="1587A6AE" w14:textId="641D78B9" w:rsidR="00C66BBC" w:rsidRDefault="00C66BBC" w:rsidP="00C66BBC">
            <w:pPr>
              <w:jc w:val="center"/>
              <w:rPr>
                <w:rFonts w:ascii="Times New Roman" w:hAnsi="Times New Roman"/>
                <w:szCs w:val="21"/>
              </w:rPr>
            </w:pPr>
            <w:r w:rsidRPr="0007374D">
              <w:rPr>
                <w:rFonts w:ascii="Times New Roman" w:hAnsi="Times New Roman"/>
                <w:szCs w:val="21"/>
              </w:rPr>
              <w:t>1006.2</w:t>
            </w:r>
            <w:r>
              <w:rPr>
                <w:rFonts w:ascii="Times New Roman" w:hAnsi="Times New Roman" w:hint="eastAsia"/>
                <w:szCs w:val="21"/>
              </w:rPr>
              <w:t>—</w:t>
            </w:r>
            <w:r w:rsidRPr="0007374D">
              <w:rPr>
                <w:rFonts w:ascii="Times New Roman" w:hAnsi="Times New Roman"/>
                <w:szCs w:val="21"/>
              </w:rPr>
              <w:t>2015</w:t>
            </w:r>
          </w:p>
        </w:tc>
        <w:tc>
          <w:tcPr>
            <w:tcW w:w="448" w:type="pct"/>
            <w:vAlign w:val="center"/>
          </w:tcPr>
          <w:p w14:paraId="101217FD" w14:textId="4D2462A3" w:rsidR="00C66BBC" w:rsidRDefault="00C66BBC" w:rsidP="00200F68">
            <w:pPr>
              <w:jc w:val="center"/>
              <w:rPr>
                <w:rFonts w:ascii="Times New Roman" w:hAnsi="Times New Roman"/>
                <w:szCs w:val="21"/>
              </w:rPr>
            </w:pPr>
            <w:r>
              <w:rPr>
                <w:rFonts w:ascii="Times New Roman" w:hAnsi="Times New Roman" w:hint="eastAsia"/>
                <w:szCs w:val="21"/>
              </w:rPr>
              <w:t>2025-06-01</w:t>
            </w:r>
          </w:p>
        </w:tc>
      </w:tr>
      <w:tr w:rsidR="00C66BBC" w14:paraId="04921389" w14:textId="77777777" w:rsidTr="0085452F">
        <w:trPr>
          <w:cantSplit/>
          <w:trHeight w:val="971"/>
        </w:trPr>
        <w:tc>
          <w:tcPr>
            <w:tcW w:w="240" w:type="pct"/>
            <w:vAlign w:val="center"/>
          </w:tcPr>
          <w:p w14:paraId="20B6EE41"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3584A93D" w14:textId="6B5AA05F" w:rsidR="00C66BBC" w:rsidRDefault="00C66BBC" w:rsidP="00C66BBC">
            <w:pPr>
              <w:jc w:val="center"/>
              <w:rPr>
                <w:rFonts w:ascii="Times New Roman" w:hAnsi="Times New Roman"/>
                <w:szCs w:val="21"/>
              </w:rPr>
            </w:pPr>
            <w:r>
              <w:rPr>
                <w:rFonts w:ascii="Times New Roman" w:hAnsi="Times New Roman"/>
                <w:szCs w:val="21"/>
              </w:rPr>
              <w:t>JT/T</w:t>
            </w:r>
          </w:p>
          <w:p w14:paraId="24DEEBF6" w14:textId="48BDD441" w:rsidR="00C66BBC" w:rsidRPr="0007374D" w:rsidRDefault="00C66BBC" w:rsidP="00C66BBC">
            <w:pPr>
              <w:jc w:val="center"/>
              <w:rPr>
                <w:rFonts w:ascii="Times New Roman" w:hAnsi="Times New Roman"/>
                <w:szCs w:val="21"/>
              </w:rPr>
            </w:pPr>
            <w:r>
              <w:rPr>
                <w:rFonts w:ascii="Times New Roman" w:hAnsi="Times New Roman"/>
                <w:szCs w:val="21"/>
              </w:rPr>
              <w:t>10</w:t>
            </w:r>
            <w:r>
              <w:rPr>
                <w:rFonts w:ascii="Times New Roman" w:hAnsi="Times New Roman" w:hint="eastAsia"/>
                <w:szCs w:val="21"/>
              </w:rPr>
              <w:t>25</w:t>
            </w:r>
            <w:r>
              <w:rPr>
                <w:rFonts w:ascii="Times New Roman" w:hAnsi="Times New Roman" w:hint="eastAsia"/>
                <w:szCs w:val="21"/>
              </w:rPr>
              <w:t>—</w:t>
            </w:r>
            <w:r>
              <w:rPr>
                <w:rFonts w:ascii="Times New Roman" w:hAnsi="Times New Roman" w:hint="eastAsia"/>
                <w:szCs w:val="21"/>
              </w:rPr>
              <w:t>2024</w:t>
            </w:r>
          </w:p>
        </w:tc>
        <w:tc>
          <w:tcPr>
            <w:tcW w:w="1017" w:type="pct"/>
            <w:vAlign w:val="center"/>
          </w:tcPr>
          <w:p w14:paraId="170F06A0" w14:textId="77777777" w:rsidR="00C66BBC" w:rsidRPr="0007374D" w:rsidRDefault="00C66BBC" w:rsidP="00200F68">
            <w:pPr>
              <w:rPr>
                <w:rFonts w:ascii="宋体" w:hAnsi="宋体" w:hint="eastAsia"/>
              </w:rPr>
            </w:pPr>
            <w:r w:rsidRPr="00223DF0">
              <w:rPr>
                <w:rFonts w:ascii="宋体" w:hAnsi="宋体"/>
              </w:rPr>
              <w:t>混合动力城市客车技术条件</w:t>
            </w:r>
          </w:p>
        </w:tc>
        <w:tc>
          <w:tcPr>
            <w:tcW w:w="2186" w:type="pct"/>
            <w:vAlign w:val="center"/>
          </w:tcPr>
          <w:p w14:paraId="367DDBD4" w14:textId="77777777" w:rsidR="00C66BBC" w:rsidRPr="00223DF0" w:rsidRDefault="00C66BBC" w:rsidP="00200F68">
            <w:pPr>
              <w:autoSpaceDE w:val="0"/>
              <w:autoSpaceDN w:val="0"/>
              <w:adjustRightInd w:val="0"/>
              <w:jc w:val="left"/>
              <w:rPr>
                <w:rFonts w:ascii="Times New Roman" w:hAnsi="Times New Roman"/>
                <w:szCs w:val="21"/>
              </w:rPr>
            </w:pPr>
            <w:r w:rsidRPr="00223DF0">
              <w:rPr>
                <w:rFonts w:ascii="Times New Roman" w:hAnsi="Times New Roman" w:hint="eastAsia"/>
                <w:szCs w:val="21"/>
              </w:rPr>
              <w:t>本</w:t>
            </w:r>
            <w:r w:rsidRPr="006D031F">
              <w:rPr>
                <w:rFonts w:ascii="Times New Roman" w:hAnsi="Times New Roman"/>
                <w:szCs w:val="21"/>
              </w:rPr>
              <w:t>标准</w:t>
            </w:r>
            <w:r w:rsidRPr="00223DF0">
              <w:rPr>
                <w:rFonts w:ascii="Times New Roman" w:hAnsi="Times New Roman" w:hint="eastAsia"/>
                <w:szCs w:val="21"/>
              </w:rPr>
              <w:t>规定了混合动力城市客车的技术要求和试验方法。</w:t>
            </w:r>
          </w:p>
          <w:p w14:paraId="1567143B" w14:textId="77777777" w:rsidR="00C66BBC" w:rsidRPr="00223DF0" w:rsidRDefault="00C66BBC" w:rsidP="00200F68">
            <w:pPr>
              <w:autoSpaceDE w:val="0"/>
              <w:autoSpaceDN w:val="0"/>
              <w:adjustRightInd w:val="0"/>
              <w:jc w:val="left"/>
              <w:rPr>
                <w:rFonts w:ascii="宋体" w:hAnsi="宋体" w:hint="eastAsia"/>
                <w:szCs w:val="21"/>
              </w:rPr>
            </w:pPr>
            <w:r w:rsidRPr="00223DF0">
              <w:rPr>
                <w:rFonts w:ascii="宋体" w:hAnsi="宋体" w:cs="FZSSK--GBK1-0" w:hint="eastAsia"/>
                <w:kern w:val="0"/>
                <w:szCs w:val="21"/>
              </w:rPr>
              <w:t>本</w:t>
            </w:r>
            <w:r w:rsidRPr="006D031F">
              <w:rPr>
                <w:rFonts w:ascii="Times New Roman" w:hAnsi="Times New Roman"/>
                <w:szCs w:val="21"/>
              </w:rPr>
              <w:t>标准</w:t>
            </w:r>
            <w:r w:rsidRPr="00223DF0">
              <w:rPr>
                <w:rFonts w:ascii="宋体" w:hAnsi="宋体" w:cs="FZSSK--GBK1-0" w:hint="eastAsia"/>
                <w:kern w:val="0"/>
                <w:szCs w:val="21"/>
              </w:rPr>
              <w:t>适用于</w:t>
            </w:r>
            <w:r w:rsidRPr="00223DF0">
              <w:rPr>
                <w:rFonts w:ascii="宋体" w:hAnsi="宋体" w:cs="E-BZ"/>
                <w:kern w:val="0"/>
                <w:szCs w:val="21"/>
              </w:rPr>
              <w:t>M</w:t>
            </w:r>
            <w:r w:rsidRPr="00223DF0">
              <w:rPr>
                <w:rFonts w:ascii="宋体" w:hAnsi="宋体" w:cs="E-BZ"/>
                <w:kern w:val="0"/>
                <w:szCs w:val="21"/>
                <w:vertAlign w:val="subscript"/>
              </w:rPr>
              <w:t>2</w:t>
            </w:r>
            <w:r w:rsidRPr="00223DF0">
              <w:rPr>
                <w:rFonts w:ascii="宋体" w:hAnsi="宋体" w:cs="FZSSK--GBK1-0" w:hint="eastAsia"/>
                <w:kern w:val="0"/>
                <w:szCs w:val="21"/>
              </w:rPr>
              <w:t>类和</w:t>
            </w:r>
            <w:r w:rsidRPr="00223DF0">
              <w:rPr>
                <w:rFonts w:ascii="宋体" w:hAnsi="宋体" w:cs="E-BZ"/>
                <w:kern w:val="0"/>
                <w:szCs w:val="21"/>
              </w:rPr>
              <w:t>M</w:t>
            </w:r>
            <w:r w:rsidRPr="00223DF0">
              <w:rPr>
                <w:rFonts w:ascii="宋体" w:hAnsi="宋体" w:cs="E-BZ"/>
                <w:kern w:val="0"/>
                <w:szCs w:val="21"/>
                <w:vertAlign w:val="subscript"/>
              </w:rPr>
              <w:t>3</w:t>
            </w:r>
            <w:r w:rsidRPr="00223DF0">
              <w:rPr>
                <w:rFonts w:ascii="宋体" w:hAnsi="宋体" w:cs="FZSSK--GBK1-0" w:hint="eastAsia"/>
                <w:kern w:val="0"/>
                <w:szCs w:val="21"/>
              </w:rPr>
              <w:t>类混合动力城市客车的生产</w:t>
            </w:r>
            <w:r w:rsidRPr="00223DF0">
              <w:rPr>
                <w:rFonts w:ascii="宋体" w:hAnsi="宋体" w:cs="E-BZ" w:hint="eastAsia"/>
                <w:kern w:val="0"/>
                <w:szCs w:val="21"/>
              </w:rPr>
              <w:t>。</w:t>
            </w:r>
          </w:p>
        </w:tc>
        <w:tc>
          <w:tcPr>
            <w:tcW w:w="588" w:type="pct"/>
            <w:vAlign w:val="center"/>
          </w:tcPr>
          <w:p w14:paraId="3E415708" w14:textId="31456BD0" w:rsidR="00C66BBC" w:rsidRDefault="00C66BBC" w:rsidP="00C66BBC">
            <w:pPr>
              <w:jc w:val="center"/>
              <w:rPr>
                <w:rFonts w:ascii="Times New Roman" w:hAnsi="Times New Roman"/>
                <w:szCs w:val="21"/>
              </w:rPr>
            </w:pPr>
            <w:r w:rsidRPr="00223DF0">
              <w:rPr>
                <w:rFonts w:ascii="Times New Roman" w:hAnsi="Times New Roman"/>
                <w:szCs w:val="21"/>
              </w:rPr>
              <w:t>JT/T</w:t>
            </w:r>
          </w:p>
          <w:p w14:paraId="2E7FE876" w14:textId="63C957FC" w:rsidR="00C66BBC" w:rsidRPr="00223DF0" w:rsidRDefault="00C66BBC" w:rsidP="00C66BBC">
            <w:pPr>
              <w:jc w:val="center"/>
              <w:rPr>
                <w:rFonts w:ascii="Times New Roman" w:hAnsi="Times New Roman"/>
                <w:szCs w:val="21"/>
              </w:rPr>
            </w:pPr>
            <w:r w:rsidRPr="00223DF0">
              <w:rPr>
                <w:rFonts w:ascii="Times New Roman" w:hAnsi="Times New Roman"/>
                <w:szCs w:val="21"/>
              </w:rPr>
              <w:t>1025</w:t>
            </w:r>
            <w:r>
              <w:rPr>
                <w:rFonts w:ascii="Times New Roman" w:hAnsi="Times New Roman" w:hint="eastAsia"/>
                <w:szCs w:val="21"/>
              </w:rPr>
              <w:t>—</w:t>
            </w:r>
            <w:r w:rsidRPr="00223DF0">
              <w:rPr>
                <w:rFonts w:ascii="Times New Roman" w:hAnsi="Times New Roman"/>
                <w:szCs w:val="21"/>
              </w:rPr>
              <w:t>2016</w:t>
            </w:r>
          </w:p>
        </w:tc>
        <w:tc>
          <w:tcPr>
            <w:tcW w:w="448" w:type="pct"/>
            <w:vAlign w:val="center"/>
          </w:tcPr>
          <w:p w14:paraId="7C05C637" w14:textId="28E9DF37" w:rsidR="00C66BBC" w:rsidRPr="006D031F" w:rsidRDefault="00C66BBC" w:rsidP="00200F68">
            <w:pPr>
              <w:jc w:val="center"/>
              <w:rPr>
                <w:rFonts w:ascii="Times New Roman" w:hAnsi="Times New Roman"/>
                <w:szCs w:val="21"/>
              </w:rPr>
            </w:pPr>
            <w:r>
              <w:rPr>
                <w:rFonts w:ascii="Times New Roman" w:hAnsi="Times New Roman" w:hint="eastAsia"/>
                <w:szCs w:val="21"/>
              </w:rPr>
              <w:t>2025-06-01</w:t>
            </w:r>
          </w:p>
        </w:tc>
      </w:tr>
      <w:tr w:rsidR="00C66BBC" w14:paraId="00BBB12F" w14:textId="77777777" w:rsidTr="0085452F">
        <w:trPr>
          <w:cantSplit/>
          <w:trHeight w:val="971"/>
        </w:trPr>
        <w:tc>
          <w:tcPr>
            <w:tcW w:w="240" w:type="pct"/>
            <w:vAlign w:val="center"/>
          </w:tcPr>
          <w:p w14:paraId="73042371"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43DF5AD6" w14:textId="0EC75DC4" w:rsidR="00C66BBC" w:rsidRDefault="00C66BBC" w:rsidP="00C66BBC">
            <w:pPr>
              <w:jc w:val="center"/>
              <w:rPr>
                <w:rFonts w:ascii="Times New Roman" w:hAnsi="Times New Roman"/>
                <w:szCs w:val="21"/>
              </w:rPr>
            </w:pPr>
            <w:r>
              <w:rPr>
                <w:rFonts w:ascii="Times New Roman" w:hAnsi="Times New Roman"/>
                <w:szCs w:val="21"/>
              </w:rPr>
              <w:t>JT/T</w:t>
            </w:r>
          </w:p>
          <w:p w14:paraId="00D09A7E" w14:textId="3D5D6B04" w:rsidR="00C66BBC" w:rsidRPr="009F4A5C" w:rsidRDefault="00C66BBC" w:rsidP="00C66BBC">
            <w:pPr>
              <w:jc w:val="center"/>
              <w:rPr>
                <w:rFonts w:ascii="Times New Roman" w:hAnsi="Times New Roman"/>
                <w:szCs w:val="21"/>
              </w:rPr>
            </w:pPr>
            <w:r>
              <w:rPr>
                <w:rFonts w:ascii="Times New Roman" w:hAnsi="Times New Roman"/>
                <w:szCs w:val="21"/>
              </w:rPr>
              <w:t>1032</w:t>
            </w:r>
            <w:r>
              <w:rPr>
                <w:rFonts w:ascii="Times New Roman" w:hAnsi="Times New Roman" w:hint="eastAsia"/>
                <w:szCs w:val="21"/>
              </w:rPr>
              <w:t>—</w:t>
            </w:r>
            <w:r>
              <w:rPr>
                <w:rFonts w:ascii="Times New Roman" w:hAnsi="Times New Roman" w:hint="eastAsia"/>
                <w:szCs w:val="21"/>
              </w:rPr>
              <w:t>2024</w:t>
            </w:r>
          </w:p>
        </w:tc>
        <w:tc>
          <w:tcPr>
            <w:tcW w:w="1017" w:type="pct"/>
            <w:vAlign w:val="center"/>
          </w:tcPr>
          <w:p w14:paraId="5DC391BD" w14:textId="77777777" w:rsidR="00C66BBC" w:rsidRPr="0061757A" w:rsidRDefault="00C66BBC" w:rsidP="00200F68">
            <w:pPr>
              <w:rPr>
                <w:rFonts w:ascii="Tahoma" w:hAnsi="Tahoma" w:cs="Tahoma"/>
                <w:color w:val="333333"/>
                <w:szCs w:val="21"/>
                <w:shd w:val="clear" w:color="auto" w:fill="FFFFFF"/>
              </w:rPr>
            </w:pPr>
            <w:r w:rsidRPr="0061757A">
              <w:rPr>
                <w:rFonts w:ascii="Tahoma" w:hAnsi="Tahoma" w:cs="Tahoma"/>
                <w:color w:val="333333"/>
                <w:szCs w:val="21"/>
                <w:shd w:val="clear" w:color="auto" w:fill="FFFFFF"/>
              </w:rPr>
              <w:t>公路行车安全诱</w:t>
            </w:r>
            <w:r w:rsidRPr="006A6417">
              <w:rPr>
                <w:rFonts w:ascii="Tahoma" w:hAnsi="Tahoma" w:cs="Tahoma"/>
                <w:color w:val="333333"/>
                <w:szCs w:val="21"/>
                <w:shd w:val="clear" w:color="auto" w:fill="FFFFFF"/>
              </w:rPr>
              <w:t>导装</w:t>
            </w:r>
            <w:r w:rsidRPr="0061757A">
              <w:rPr>
                <w:rFonts w:ascii="Tahoma" w:hAnsi="Tahoma" w:cs="Tahoma"/>
                <w:color w:val="333333"/>
                <w:szCs w:val="21"/>
                <w:shd w:val="clear" w:color="auto" w:fill="FFFFFF"/>
              </w:rPr>
              <w:t>置</w:t>
            </w:r>
          </w:p>
        </w:tc>
        <w:tc>
          <w:tcPr>
            <w:tcW w:w="2186" w:type="pct"/>
            <w:vAlign w:val="center"/>
          </w:tcPr>
          <w:p w14:paraId="32BAE1D2" w14:textId="77777777" w:rsidR="00C66BBC" w:rsidRPr="0061757A" w:rsidRDefault="00C66BBC" w:rsidP="00200F68">
            <w:pPr>
              <w:autoSpaceDE w:val="0"/>
              <w:autoSpaceDN w:val="0"/>
              <w:adjustRightInd w:val="0"/>
              <w:jc w:val="left"/>
              <w:rPr>
                <w:rFonts w:ascii="Times New Roman" w:hAnsi="Times New Roman"/>
                <w:szCs w:val="21"/>
              </w:rPr>
            </w:pPr>
            <w:r w:rsidRPr="006D031F">
              <w:rPr>
                <w:rFonts w:ascii="Times New Roman" w:hAnsi="Times New Roman" w:hint="eastAsia"/>
                <w:szCs w:val="21"/>
              </w:rPr>
              <w:t>本</w:t>
            </w:r>
            <w:r w:rsidRPr="006D031F">
              <w:rPr>
                <w:rFonts w:ascii="Times New Roman" w:hAnsi="Times New Roman"/>
                <w:szCs w:val="21"/>
              </w:rPr>
              <w:t>标准</w:t>
            </w:r>
            <w:r w:rsidRPr="0061757A">
              <w:rPr>
                <w:rFonts w:ascii="Times New Roman" w:hAnsi="Times New Roman" w:hint="eastAsia"/>
                <w:szCs w:val="21"/>
              </w:rPr>
              <w:t>规定了公路行车安全诱导装置的组成与型号、技术要求、试验方法、检验规则，以及标志、包装、运输和储存等要求。</w:t>
            </w:r>
          </w:p>
          <w:p w14:paraId="4675F248" w14:textId="77777777" w:rsidR="00C66BBC" w:rsidRPr="0061757A" w:rsidRDefault="00C66BBC" w:rsidP="00200F68">
            <w:pPr>
              <w:autoSpaceDE w:val="0"/>
              <w:autoSpaceDN w:val="0"/>
              <w:adjustRightInd w:val="0"/>
              <w:jc w:val="left"/>
              <w:rPr>
                <w:rFonts w:ascii="Times New Roman" w:hAnsi="Times New Roman"/>
                <w:szCs w:val="21"/>
              </w:rPr>
            </w:pPr>
            <w:r>
              <w:rPr>
                <w:rFonts w:ascii="Times New Roman" w:hAnsi="Times New Roman" w:hint="eastAsia"/>
                <w:szCs w:val="21"/>
              </w:rPr>
              <w:t>本标准</w:t>
            </w:r>
            <w:r w:rsidRPr="0061757A">
              <w:rPr>
                <w:rFonts w:ascii="Times New Roman" w:hAnsi="Times New Roman" w:hint="eastAsia"/>
                <w:szCs w:val="21"/>
              </w:rPr>
              <w:t>适用于公路行车安全诱导装置的生产、检验和使用。</w:t>
            </w:r>
          </w:p>
        </w:tc>
        <w:tc>
          <w:tcPr>
            <w:tcW w:w="588" w:type="pct"/>
            <w:vAlign w:val="center"/>
          </w:tcPr>
          <w:p w14:paraId="0D0716E4" w14:textId="4F45D3C4" w:rsidR="00C66BBC" w:rsidRDefault="00C66BBC" w:rsidP="00C66BBC">
            <w:pPr>
              <w:jc w:val="center"/>
              <w:rPr>
                <w:rFonts w:ascii="Times New Roman" w:hAnsi="Times New Roman"/>
                <w:szCs w:val="21"/>
              </w:rPr>
            </w:pPr>
            <w:r>
              <w:rPr>
                <w:rFonts w:ascii="Times New Roman" w:hAnsi="Times New Roman"/>
                <w:szCs w:val="21"/>
              </w:rPr>
              <w:t>JT/T</w:t>
            </w:r>
          </w:p>
          <w:p w14:paraId="35DC8874" w14:textId="6BB4AABD" w:rsidR="00C66BBC" w:rsidRPr="0061757A" w:rsidRDefault="00C66BBC" w:rsidP="00C66BBC">
            <w:pPr>
              <w:jc w:val="center"/>
              <w:rPr>
                <w:rFonts w:ascii="Times New Roman" w:hAnsi="Times New Roman"/>
                <w:szCs w:val="21"/>
              </w:rPr>
            </w:pPr>
            <w:r>
              <w:rPr>
                <w:rFonts w:ascii="Times New Roman" w:hAnsi="Times New Roman"/>
                <w:szCs w:val="21"/>
              </w:rPr>
              <w:t>1032</w:t>
            </w:r>
            <w:r>
              <w:rPr>
                <w:rFonts w:ascii="Times New Roman" w:hAnsi="Times New Roman" w:hint="eastAsia"/>
                <w:szCs w:val="21"/>
              </w:rPr>
              <w:t>—</w:t>
            </w:r>
            <w:r w:rsidRPr="0061757A">
              <w:rPr>
                <w:rFonts w:ascii="Times New Roman" w:hAnsi="Times New Roman"/>
                <w:szCs w:val="21"/>
              </w:rPr>
              <w:t>2016</w:t>
            </w:r>
          </w:p>
        </w:tc>
        <w:tc>
          <w:tcPr>
            <w:tcW w:w="448" w:type="pct"/>
            <w:vAlign w:val="center"/>
          </w:tcPr>
          <w:p w14:paraId="686B8AE0" w14:textId="0BCF6A9B" w:rsidR="00C66BBC" w:rsidRDefault="00C66BBC" w:rsidP="00200F68">
            <w:pPr>
              <w:jc w:val="center"/>
              <w:rPr>
                <w:rFonts w:ascii="Times New Roman" w:hAnsi="Times New Roman"/>
                <w:szCs w:val="21"/>
              </w:rPr>
            </w:pPr>
            <w:r>
              <w:rPr>
                <w:rFonts w:ascii="Times New Roman" w:hAnsi="Times New Roman" w:hint="eastAsia"/>
                <w:szCs w:val="21"/>
              </w:rPr>
              <w:t>2025-03-01</w:t>
            </w:r>
          </w:p>
        </w:tc>
      </w:tr>
      <w:tr w:rsidR="00C66BBC" w14:paraId="5790D7A8" w14:textId="77777777" w:rsidTr="0085452F">
        <w:trPr>
          <w:cantSplit/>
          <w:trHeight w:val="971"/>
        </w:trPr>
        <w:tc>
          <w:tcPr>
            <w:tcW w:w="240" w:type="pct"/>
            <w:vAlign w:val="center"/>
          </w:tcPr>
          <w:p w14:paraId="3B890A94"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783DB04B" w14:textId="1164E86B" w:rsidR="00C66BBC" w:rsidRDefault="00C66BBC" w:rsidP="00C66BBC">
            <w:pPr>
              <w:jc w:val="center"/>
              <w:rPr>
                <w:rFonts w:ascii="Times New Roman" w:hAnsi="Times New Roman"/>
                <w:szCs w:val="21"/>
              </w:rPr>
            </w:pPr>
            <w:r w:rsidRPr="005E445C">
              <w:rPr>
                <w:rFonts w:ascii="Times New Roman" w:hAnsi="Times New Roman"/>
                <w:szCs w:val="21"/>
              </w:rPr>
              <w:t>JT/T</w:t>
            </w:r>
          </w:p>
          <w:p w14:paraId="13679394" w14:textId="6AAC8A2C" w:rsidR="00C66BBC" w:rsidRDefault="00C66BBC" w:rsidP="00C66BBC">
            <w:pPr>
              <w:jc w:val="center"/>
              <w:rPr>
                <w:rFonts w:ascii="Times New Roman" w:hAnsi="Times New Roman"/>
                <w:szCs w:val="21"/>
              </w:rPr>
            </w:pPr>
            <w:r w:rsidRPr="005E445C">
              <w:rPr>
                <w:rFonts w:ascii="Times New Roman" w:hAnsi="Times New Roman"/>
                <w:szCs w:val="21"/>
              </w:rPr>
              <w:t>1</w:t>
            </w:r>
            <w:r>
              <w:rPr>
                <w:rFonts w:ascii="Times New Roman" w:hAnsi="Times New Roman" w:hint="eastAsia"/>
                <w:szCs w:val="21"/>
              </w:rPr>
              <w:t>302.2</w:t>
            </w:r>
            <w:r>
              <w:rPr>
                <w:rFonts w:ascii="Times New Roman" w:hAnsi="Times New Roman" w:hint="eastAsia"/>
                <w:szCs w:val="21"/>
              </w:rPr>
              <w:t>—</w:t>
            </w:r>
            <w:r>
              <w:rPr>
                <w:rFonts w:ascii="Times New Roman" w:hAnsi="Times New Roman" w:hint="eastAsia"/>
                <w:szCs w:val="21"/>
              </w:rPr>
              <w:t>2024</w:t>
            </w:r>
          </w:p>
        </w:tc>
        <w:tc>
          <w:tcPr>
            <w:tcW w:w="1017" w:type="pct"/>
            <w:vAlign w:val="center"/>
          </w:tcPr>
          <w:p w14:paraId="07956278" w14:textId="77777777" w:rsidR="00C66BBC" w:rsidRPr="0061757A" w:rsidRDefault="00C66BBC" w:rsidP="00200F68">
            <w:pPr>
              <w:rPr>
                <w:rFonts w:ascii="Tahoma" w:hAnsi="Tahoma" w:cs="Tahoma"/>
                <w:color w:val="333333"/>
                <w:szCs w:val="21"/>
                <w:shd w:val="clear" w:color="auto" w:fill="FFFFFF"/>
              </w:rPr>
            </w:pPr>
            <w:r>
              <w:rPr>
                <w:rFonts w:ascii="Tahoma" w:hAnsi="Tahoma" w:cs="Tahoma"/>
                <w:color w:val="333333"/>
                <w:szCs w:val="21"/>
                <w:shd w:val="clear" w:color="auto" w:fill="FFFFFF"/>
              </w:rPr>
              <w:t>机动车驾驶员计时培训系统</w:t>
            </w:r>
            <w:r>
              <w:rPr>
                <w:rFonts w:ascii="Tahoma" w:hAnsi="Tahoma" w:cs="Tahoma"/>
                <w:color w:val="333333"/>
                <w:szCs w:val="21"/>
                <w:shd w:val="clear" w:color="auto" w:fill="FFFFFF"/>
              </w:rPr>
              <w:t xml:space="preserve"> </w:t>
            </w:r>
            <w:r>
              <w:rPr>
                <w:rFonts w:ascii="Tahoma" w:hAnsi="Tahoma" w:cs="Tahoma"/>
                <w:color w:val="333333"/>
                <w:szCs w:val="21"/>
                <w:shd w:val="clear" w:color="auto" w:fill="FFFFFF"/>
              </w:rPr>
              <w:t>第</w:t>
            </w:r>
            <w:r>
              <w:rPr>
                <w:rFonts w:ascii="Tahoma" w:hAnsi="Tahoma" w:cs="Tahoma"/>
                <w:color w:val="333333"/>
                <w:szCs w:val="21"/>
                <w:shd w:val="clear" w:color="auto" w:fill="FFFFFF"/>
              </w:rPr>
              <w:t>2</w:t>
            </w:r>
            <w:r>
              <w:rPr>
                <w:rFonts w:ascii="Tahoma" w:hAnsi="Tahoma" w:cs="Tahoma"/>
                <w:color w:val="333333"/>
                <w:szCs w:val="21"/>
                <w:shd w:val="clear" w:color="auto" w:fill="FFFFFF"/>
              </w:rPr>
              <w:t>部分：平台技术要求</w:t>
            </w:r>
          </w:p>
        </w:tc>
        <w:tc>
          <w:tcPr>
            <w:tcW w:w="2186" w:type="pct"/>
            <w:vAlign w:val="center"/>
          </w:tcPr>
          <w:p w14:paraId="08EF56EF" w14:textId="760D4C85" w:rsidR="00C66BBC" w:rsidRPr="0061757A" w:rsidRDefault="00C66BBC" w:rsidP="00200F68">
            <w:pPr>
              <w:autoSpaceDE w:val="0"/>
              <w:autoSpaceDN w:val="0"/>
              <w:adjustRightInd w:val="0"/>
              <w:jc w:val="left"/>
              <w:rPr>
                <w:rFonts w:ascii="Times New Roman" w:hAnsi="Times New Roman"/>
                <w:szCs w:val="21"/>
              </w:rPr>
            </w:pPr>
            <w:r w:rsidRPr="005E445C">
              <w:rPr>
                <w:rFonts w:ascii="Times New Roman" w:hAnsi="Times New Roman"/>
                <w:szCs w:val="21"/>
              </w:rPr>
              <w:t>JT/T 1</w:t>
            </w:r>
            <w:r>
              <w:rPr>
                <w:rFonts w:ascii="Times New Roman" w:hAnsi="Times New Roman" w:hint="eastAsia"/>
                <w:szCs w:val="21"/>
              </w:rPr>
              <w:t>3</w:t>
            </w:r>
            <w:r w:rsidR="00611487">
              <w:rPr>
                <w:rFonts w:ascii="Times New Roman" w:hAnsi="Times New Roman" w:hint="eastAsia"/>
                <w:szCs w:val="21"/>
              </w:rPr>
              <w:t>02</w:t>
            </w:r>
            <w:r>
              <w:rPr>
                <w:rFonts w:ascii="Times New Roman" w:hAnsi="Times New Roman" w:hint="eastAsia"/>
                <w:szCs w:val="21"/>
              </w:rPr>
              <w:t>的本部分</w:t>
            </w:r>
            <w:r w:rsidRPr="0061757A">
              <w:rPr>
                <w:rFonts w:ascii="Times New Roman" w:hAnsi="Times New Roman" w:hint="eastAsia"/>
                <w:szCs w:val="21"/>
              </w:rPr>
              <w:t>规定了机动车驾驶员计时培训系统总体要求</w:t>
            </w:r>
            <w:r>
              <w:rPr>
                <w:rFonts w:ascii="Times New Roman" w:hAnsi="Times New Roman" w:hint="eastAsia"/>
                <w:szCs w:val="21"/>
              </w:rPr>
              <w:t>，</w:t>
            </w:r>
            <w:r w:rsidRPr="0061757A">
              <w:rPr>
                <w:rFonts w:ascii="Times New Roman" w:hAnsi="Times New Roman" w:hint="eastAsia"/>
                <w:szCs w:val="21"/>
              </w:rPr>
              <w:t>驾培机构计时平台功能要求</w:t>
            </w:r>
            <w:r>
              <w:rPr>
                <w:rFonts w:ascii="Times New Roman" w:hAnsi="Times New Roman" w:hint="eastAsia"/>
                <w:szCs w:val="21"/>
              </w:rPr>
              <w:t>，</w:t>
            </w:r>
            <w:r w:rsidRPr="0061757A">
              <w:rPr>
                <w:rFonts w:ascii="Times New Roman" w:hAnsi="Times New Roman" w:hint="eastAsia"/>
                <w:szCs w:val="21"/>
              </w:rPr>
              <w:t>监管服务平台功能要求和驾驶培训数据交换与服务平台功能要求。</w:t>
            </w:r>
          </w:p>
          <w:p w14:paraId="60E6D149" w14:textId="77777777" w:rsidR="00C66BBC" w:rsidRPr="0061757A" w:rsidRDefault="00C66BBC" w:rsidP="00200F68">
            <w:pPr>
              <w:autoSpaceDE w:val="0"/>
              <w:autoSpaceDN w:val="0"/>
              <w:adjustRightInd w:val="0"/>
              <w:jc w:val="left"/>
              <w:rPr>
                <w:rFonts w:ascii="Times New Roman" w:hAnsi="Times New Roman"/>
                <w:szCs w:val="21"/>
              </w:rPr>
            </w:pPr>
            <w:r w:rsidRPr="0061757A">
              <w:rPr>
                <w:rFonts w:ascii="Times New Roman" w:hAnsi="Times New Roman" w:hint="eastAsia"/>
                <w:szCs w:val="21"/>
              </w:rPr>
              <w:t>本部分适用于驾培机构计时培训应用平台、驾驶培训监管服务平台和驾驶培训数据交换与服务平台的建设和管理。</w:t>
            </w:r>
          </w:p>
        </w:tc>
        <w:tc>
          <w:tcPr>
            <w:tcW w:w="588" w:type="pct"/>
            <w:vAlign w:val="center"/>
          </w:tcPr>
          <w:p w14:paraId="11F7BBC8" w14:textId="77777777" w:rsidR="00C66BBC" w:rsidRDefault="00C66BBC" w:rsidP="00C66BBC">
            <w:pPr>
              <w:jc w:val="center"/>
              <w:rPr>
                <w:rFonts w:ascii="Times New Roman" w:hAnsi="Times New Roman"/>
                <w:szCs w:val="21"/>
              </w:rPr>
            </w:pPr>
          </w:p>
        </w:tc>
        <w:tc>
          <w:tcPr>
            <w:tcW w:w="448" w:type="pct"/>
            <w:vAlign w:val="center"/>
          </w:tcPr>
          <w:p w14:paraId="67EBAE76" w14:textId="5DBA7D6D" w:rsidR="00C66BBC" w:rsidRDefault="00BA4A58" w:rsidP="00200F68">
            <w:pPr>
              <w:jc w:val="center"/>
              <w:rPr>
                <w:rFonts w:ascii="Times New Roman" w:hAnsi="Times New Roman"/>
                <w:szCs w:val="21"/>
              </w:rPr>
            </w:pPr>
            <w:r>
              <w:rPr>
                <w:rFonts w:ascii="Times New Roman" w:hAnsi="Times New Roman" w:hint="eastAsia"/>
                <w:szCs w:val="21"/>
              </w:rPr>
              <w:t>2025-03-01</w:t>
            </w:r>
          </w:p>
        </w:tc>
      </w:tr>
    </w:tbl>
    <w:p w14:paraId="0CC706F1" w14:textId="77777777" w:rsidR="001738BE" w:rsidRDefault="001738BE" w:rsidP="00890416"/>
    <w:sectPr w:rsidR="001738BE" w:rsidSect="00C66BB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04B5B" w14:textId="77777777" w:rsidR="00DF319D" w:rsidRDefault="00DF319D" w:rsidP="00C66BBC">
      <w:r>
        <w:separator/>
      </w:r>
    </w:p>
  </w:endnote>
  <w:endnote w:type="continuationSeparator" w:id="0">
    <w:p w14:paraId="4A3D4DF4" w14:textId="77777777" w:rsidR="00DF319D" w:rsidRDefault="00DF319D" w:rsidP="00C6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ZSSK--GBK1-0">
    <w:altName w:val="宋体"/>
    <w:charset w:val="86"/>
    <w:family w:val="script"/>
    <w:pitch w:val="default"/>
    <w:sig w:usb0="00000001" w:usb1="080E0000" w:usb2="00000010" w:usb3="00000000" w:csb0="00040001" w:csb1="00000000"/>
  </w:font>
  <w:font w:name="E-BZ">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992E5" w14:textId="77777777" w:rsidR="00DF319D" w:rsidRDefault="00DF319D" w:rsidP="00C66BBC">
      <w:r>
        <w:separator/>
      </w:r>
    </w:p>
  </w:footnote>
  <w:footnote w:type="continuationSeparator" w:id="0">
    <w:p w14:paraId="07063D23" w14:textId="77777777" w:rsidR="00DF319D" w:rsidRDefault="00DF319D" w:rsidP="00C66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2F11FF"/>
    <w:multiLevelType w:val="multilevel"/>
    <w:tmpl w:val="6C2F11FF"/>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139168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02"/>
    <w:rsid w:val="000A4972"/>
    <w:rsid w:val="001738BE"/>
    <w:rsid w:val="003B436A"/>
    <w:rsid w:val="00440FEA"/>
    <w:rsid w:val="004F1E02"/>
    <w:rsid w:val="00611487"/>
    <w:rsid w:val="0085452F"/>
    <w:rsid w:val="00890416"/>
    <w:rsid w:val="00AA0EC6"/>
    <w:rsid w:val="00B35D1D"/>
    <w:rsid w:val="00BA4A58"/>
    <w:rsid w:val="00C66BBC"/>
    <w:rsid w:val="00CC04DC"/>
    <w:rsid w:val="00DF319D"/>
    <w:rsid w:val="00E4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93DBA"/>
  <w15:chartTrackingRefBased/>
  <w15:docId w15:val="{FBAAE25E-FCCA-42FD-8CF7-4FE49022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66BBC"/>
    <w:pPr>
      <w:widowControl w:val="0"/>
      <w:jc w:val="both"/>
    </w:pPr>
    <w:rPr>
      <w:rFonts w:ascii="Calibri" w:eastAsia="宋体" w:hAnsi="Calibri" w:cs="Times New Roma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6BBC"/>
    <w:pPr>
      <w:tabs>
        <w:tab w:val="center" w:pos="4153"/>
        <w:tab w:val="right" w:pos="8306"/>
      </w:tabs>
      <w:snapToGrid w:val="0"/>
      <w:jc w:val="center"/>
    </w:pPr>
    <w:rPr>
      <w:sz w:val="18"/>
      <w:szCs w:val="18"/>
    </w:rPr>
  </w:style>
  <w:style w:type="character" w:customStyle="1" w:styleId="a5">
    <w:name w:val="页眉 字符"/>
    <w:basedOn w:val="a1"/>
    <w:link w:val="a4"/>
    <w:uiPriority w:val="99"/>
    <w:rsid w:val="00C66BBC"/>
    <w:rPr>
      <w:sz w:val="18"/>
      <w:szCs w:val="18"/>
    </w:rPr>
  </w:style>
  <w:style w:type="paragraph" w:styleId="a6">
    <w:name w:val="footer"/>
    <w:basedOn w:val="a"/>
    <w:link w:val="a7"/>
    <w:uiPriority w:val="99"/>
    <w:unhideWhenUsed/>
    <w:rsid w:val="00C66BBC"/>
    <w:pPr>
      <w:tabs>
        <w:tab w:val="center" w:pos="4153"/>
        <w:tab w:val="right" w:pos="8306"/>
      </w:tabs>
      <w:snapToGrid w:val="0"/>
      <w:jc w:val="left"/>
    </w:pPr>
    <w:rPr>
      <w:sz w:val="18"/>
      <w:szCs w:val="18"/>
    </w:rPr>
  </w:style>
  <w:style w:type="character" w:customStyle="1" w:styleId="a7">
    <w:name w:val="页脚 字符"/>
    <w:basedOn w:val="a1"/>
    <w:link w:val="a6"/>
    <w:uiPriority w:val="99"/>
    <w:rsid w:val="00C66BBC"/>
    <w:rPr>
      <w:sz w:val="18"/>
      <w:szCs w:val="18"/>
    </w:rPr>
  </w:style>
  <w:style w:type="paragraph" w:styleId="a0">
    <w:name w:val="Body Text"/>
    <w:basedOn w:val="a"/>
    <w:link w:val="a8"/>
    <w:uiPriority w:val="99"/>
    <w:semiHidden/>
    <w:unhideWhenUsed/>
    <w:rsid w:val="00C66BBC"/>
    <w:pPr>
      <w:spacing w:after="120"/>
    </w:pPr>
  </w:style>
  <w:style w:type="character" w:customStyle="1" w:styleId="a8">
    <w:name w:val="正文文本 字符"/>
    <w:basedOn w:val="a1"/>
    <w:link w:val="a0"/>
    <w:uiPriority w:val="99"/>
    <w:semiHidden/>
    <w:rsid w:val="00C66BBC"/>
    <w:rPr>
      <w:rFonts w:ascii="Calibri" w:eastAsia="宋体"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tianzeng shao</dc:creator>
  <cp:keywords/>
  <dc:description/>
  <cp:lastModifiedBy>tianzeng shao</cp:lastModifiedBy>
  <cp:revision>7</cp:revision>
  <dcterms:created xsi:type="dcterms:W3CDTF">2024-11-21T00:57:00Z</dcterms:created>
  <dcterms:modified xsi:type="dcterms:W3CDTF">2024-11-22T00:08:00Z</dcterms:modified>
</cp:coreProperties>
</file>