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70C58">
      <w:pPr>
        <w:jc w:val="center"/>
        <w:rPr>
          <w:rFonts w:hint="eastAsia" w:ascii="Times New Roman" w:hAnsi="Times New Roman" w:eastAsia="方正小标宋简体"/>
          <w:b/>
          <w:sz w:val="36"/>
          <w:szCs w:val="36"/>
        </w:rPr>
      </w:pPr>
      <w:r>
        <w:rPr>
          <w:rFonts w:hint="eastAsia" w:ascii="Times New Roman" w:hAnsi="Times New Roman" w:eastAsia="方正小标宋简体"/>
          <w:b/>
          <w:sz w:val="36"/>
          <w:szCs w:val="36"/>
        </w:rPr>
        <w:t>202</w:t>
      </w:r>
      <w:r>
        <w:rPr>
          <w:rFonts w:hint="eastAsia" w:ascii="Times New Roman" w:hAnsi="Times New Roman" w:eastAsia="方正小标宋简体"/>
          <w:b/>
          <w:sz w:val="36"/>
          <w:szCs w:val="36"/>
          <w:lang w:val="en-US" w:eastAsia="zh-CN"/>
        </w:rPr>
        <w:t>6</w:t>
      </w:r>
      <w:r>
        <w:rPr>
          <w:rFonts w:hint="eastAsia" w:ascii="Times New Roman" w:hAnsi="Times New Roman" w:eastAsia="方正小标宋简体"/>
          <w:b/>
          <w:sz w:val="36"/>
          <w:szCs w:val="36"/>
        </w:rPr>
        <w:t>年交通运输标准化计划项目（第</w:t>
      </w:r>
      <w:r>
        <w:rPr>
          <w:rFonts w:hint="eastAsia" w:ascii="Times New Roman" w:hAnsi="Times New Roman" w:eastAsia="方正小标宋简体"/>
          <w:b/>
          <w:sz w:val="36"/>
          <w:szCs w:val="36"/>
          <w:lang w:val="en-US" w:eastAsia="zh-CN"/>
        </w:rPr>
        <w:t>二</w:t>
      </w:r>
      <w:r>
        <w:rPr>
          <w:rFonts w:hint="eastAsia" w:ascii="Times New Roman" w:hAnsi="Times New Roman" w:eastAsia="方正小标宋简体"/>
          <w:b/>
          <w:sz w:val="36"/>
          <w:szCs w:val="36"/>
        </w:rPr>
        <w:t>批）</w:t>
      </w:r>
    </w:p>
    <w:p w14:paraId="12BE8C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黑体" w:cs="Times New Roman"/>
          <w:b/>
          <w:bCs/>
          <w:sz w:val="32"/>
          <w:szCs w:val="32"/>
          <w:lang w:eastAsia="zh-CN"/>
        </w:rPr>
      </w:pPr>
      <w:r>
        <w:rPr>
          <w:rFonts w:hint="eastAsia" w:ascii="Times New Roman" w:hAnsi="Times New Roman" w:eastAsia="黑体" w:cs="Times New Roman"/>
          <w:b/>
          <w:bCs/>
          <w:sz w:val="32"/>
          <w:szCs w:val="32"/>
        </w:rPr>
        <w:t>一、行业标准</w:t>
      </w:r>
      <w:r>
        <w:rPr>
          <w:rFonts w:hint="eastAsia" w:ascii="Times New Roman" w:hAnsi="Times New Roman" w:eastAsia="黑体" w:cs="Times New Roman"/>
          <w:b/>
          <w:bCs/>
          <w:sz w:val="32"/>
          <w:szCs w:val="32"/>
          <w:lang w:eastAsia="zh-CN"/>
        </w:rPr>
        <w:t>（</w:t>
      </w:r>
      <w:r>
        <w:rPr>
          <w:rFonts w:hint="eastAsia" w:ascii="Times New Roman" w:hAnsi="Times New Roman" w:eastAsia="黑体" w:cs="Times New Roman"/>
          <w:b/>
          <w:bCs/>
          <w:sz w:val="32"/>
          <w:szCs w:val="32"/>
          <w:lang w:val="en-US" w:eastAsia="zh-CN"/>
        </w:rPr>
        <w:t>23项</w:t>
      </w:r>
      <w:r>
        <w:rPr>
          <w:rFonts w:hint="eastAsia" w:ascii="Times New Roman" w:hAnsi="Times New Roman" w:eastAsia="黑体" w:cs="Times New Roman"/>
          <w:b/>
          <w:bCs/>
          <w:sz w:val="32"/>
          <w:szCs w:val="32"/>
          <w:lang w:eastAsia="zh-CN"/>
        </w:rPr>
        <w:t>）</w:t>
      </w:r>
    </w:p>
    <w:tbl>
      <w:tblPr>
        <w:tblStyle w:val="4"/>
        <w:tblW w:w="5153" w:type="pct"/>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
        <w:gridCol w:w="1228"/>
        <w:gridCol w:w="1622"/>
        <w:gridCol w:w="4111"/>
        <w:gridCol w:w="780"/>
        <w:gridCol w:w="1120"/>
        <w:gridCol w:w="1140"/>
        <w:gridCol w:w="1140"/>
        <w:gridCol w:w="2972"/>
      </w:tblGrid>
      <w:tr w14:paraId="1271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1" w:hRule="atLeast"/>
          <w:tblHeader/>
        </w:trPr>
        <w:tc>
          <w:tcPr>
            <w:tcW w:w="169" w:type="pct"/>
            <w:vAlign w:val="center"/>
          </w:tcPr>
          <w:p w14:paraId="2D3EED53">
            <w:pPr>
              <w:widowControl/>
              <w:adjustRightInd w:val="0"/>
              <w:snapToGrid w:val="0"/>
              <w:jc w:val="left"/>
              <w:rPr>
                <w:rFonts w:ascii="Times New Roman" w:hAnsi="Times New Roman" w:eastAsia="宋体" w:cs="Times New Roman"/>
                <w:b/>
                <w:bCs/>
                <w:szCs w:val="21"/>
              </w:rPr>
            </w:pPr>
            <w:r>
              <w:rPr>
                <w:rFonts w:ascii="Times New Roman" w:hAnsi="Times New Roman" w:eastAsia="黑体" w:cs="Times New Roman"/>
                <w:b/>
                <w:bCs/>
                <w:sz w:val="32"/>
                <w:szCs w:val="32"/>
              </w:rPr>
              <w:br w:type="page"/>
            </w:r>
            <w:r>
              <w:rPr>
                <w:rFonts w:ascii="Times New Roman" w:hAnsi="Times New Roman" w:eastAsia="宋体" w:cs="Times New Roman"/>
                <w:b/>
                <w:bCs/>
                <w:szCs w:val="21"/>
              </w:rPr>
              <w:t>序号</w:t>
            </w:r>
          </w:p>
        </w:tc>
        <w:tc>
          <w:tcPr>
            <w:tcW w:w="420" w:type="pct"/>
            <w:vAlign w:val="center"/>
          </w:tcPr>
          <w:p w14:paraId="4AD555E2">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计划编号</w:t>
            </w:r>
          </w:p>
        </w:tc>
        <w:tc>
          <w:tcPr>
            <w:tcW w:w="555" w:type="pct"/>
            <w:vAlign w:val="center"/>
          </w:tcPr>
          <w:p w14:paraId="4869318A">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项目名称</w:t>
            </w:r>
          </w:p>
        </w:tc>
        <w:tc>
          <w:tcPr>
            <w:tcW w:w="1407" w:type="pct"/>
            <w:vAlign w:val="center"/>
          </w:tcPr>
          <w:p w14:paraId="6546962E">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范围和主要技术内容</w:t>
            </w:r>
          </w:p>
        </w:tc>
        <w:tc>
          <w:tcPr>
            <w:tcW w:w="266" w:type="pct"/>
            <w:vAlign w:val="center"/>
          </w:tcPr>
          <w:p w14:paraId="5BB1241E">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制修订</w:t>
            </w:r>
          </w:p>
        </w:tc>
        <w:tc>
          <w:tcPr>
            <w:tcW w:w="383" w:type="pct"/>
            <w:vAlign w:val="center"/>
          </w:tcPr>
          <w:p w14:paraId="4A5CE2BB">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代替标准</w:t>
            </w:r>
          </w:p>
        </w:tc>
        <w:tc>
          <w:tcPr>
            <w:tcW w:w="390" w:type="pct"/>
            <w:vAlign w:val="center"/>
          </w:tcPr>
          <w:p w14:paraId="59B5380F">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完成周期(月)</w:t>
            </w:r>
          </w:p>
        </w:tc>
        <w:tc>
          <w:tcPr>
            <w:tcW w:w="390" w:type="pct"/>
            <w:vAlign w:val="center"/>
          </w:tcPr>
          <w:p w14:paraId="1C135CE0">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技术归口单位</w:t>
            </w:r>
          </w:p>
        </w:tc>
        <w:tc>
          <w:tcPr>
            <w:tcW w:w="1017" w:type="pct"/>
            <w:vAlign w:val="center"/>
          </w:tcPr>
          <w:p w14:paraId="5ED63002">
            <w:pPr>
              <w:adjustRightInd w:val="0"/>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主要起草单位</w:t>
            </w:r>
          </w:p>
        </w:tc>
      </w:tr>
      <w:tr w14:paraId="2474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169" w:type="pct"/>
            <w:vAlign w:val="center"/>
          </w:tcPr>
          <w:p w14:paraId="28C4589C">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3E17D8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2026-18</w:t>
            </w:r>
          </w:p>
        </w:tc>
        <w:tc>
          <w:tcPr>
            <w:tcW w:w="555" w:type="pct"/>
            <w:vAlign w:val="center"/>
          </w:tcPr>
          <w:p w14:paraId="447EBF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default" w:ascii="Times New Roman" w:hAnsi="Times New Roman" w:eastAsia="宋体" w:cs="Times New Roman"/>
                <w:bCs/>
                <w:sz w:val="22"/>
                <w:szCs w:val="22"/>
                <w:lang w:val="en-US" w:eastAsia="zh-CN"/>
              </w:rPr>
              <w:t>锂电池储能集装箱安全技术要求</w:t>
            </w:r>
          </w:p>
        </w:tc>
        <w:tc>
          <w:tcPr>
            <w:tcW w:w="1407" w:type="pct"/>
            <w:vAlign w:val="center"/>
          </w:tcPr>
          <w:p w14:paraId="1855A8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bCs/>
                <w:sz w:val="22"/>
                <w:szCs w:val="22"/>
                <w:lang w:val="en-US" w:eastAsia="zh-CN"/>
              </w:rPr>
            </w:pPr>
            <w:r>
              <w:rPr>
                <w:rFonts w:hint="eastAsia" w:ascii="Times New Roman" w:hAnsi="Times New Roman" w:eastAsia="宋体" w:cs="Times New Roman"/>
                <w:bCs/>
                <w:sz w:val="22"/>
                <w:szCs w:val="22"/>
                <w:lang w:val="en-US" w:eastAsia="zh-CN"/>
              </w:rPr>
              <w:t>拟规定运输条件下锂电池储能集装箱安全技术的一般要求、集装箱、电池单体及电池、电气安全、消防系统、监控系统、试验方法、标志和包装、文件要求等内容。</w:t>
            </w:r>
          </w:p>
          <w:p w14:paraId="4B5ACB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bCs/>
                <w:sz w:val="22"/>
                <w:szCs w:val="22"/>
                <w:lang w:val="en-US" w:eastAsia="zh-CN"/>
              </w:rPr>
            </w:pPr>
            <w:r>
              <w:rPr>
                <w:rFonts w:hint="eastAsia" w:ascii="Times New Roman" w:hAnsi="Times New Roman" w:eastAsia="宋体" w:cs="Times New Roman"/>
                <w:bCs/>
                <w:sz w:val="22"/>
                <w:szCs w:val="22"/>
                <w:lang w:val="en-US" w:eastAsia="zh-CN"/>
              </w:rPr>
              <w:t>适用于采取公路、水路方式运输的锂电池储能集装箱，含有机电解质的钠离子电池及同时包含锂离子与含有机电解质的钠离子电池的混合电池储能集装箱参照使用。</w:t>
            </w:r>
          </w:p>
          <w:p w14:paraId="37E66D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bookmarkStart w:id="0" w:name="_GoBack"/>
            <w:bookmarkEnd w:id="0"/>
            <w:r>
              <w:rPr>
                <w:rFonts w:hint="eastAsia" w:ascii="Times New Roman" w:hAnsi="Times New Roman" w:eastAsia="宋体" w:cs="Times New Roman"/>
                <w:bCs/>
                <w:sz w:val="22"/>
                <w:szCs w:val="22"/>
                <w:lang w:val="en-US" w:eastAsia="zh-CN"/>
              </w:rPr>
              <w:t>不适用于船用集装箱式移动电源、军用或和设施配套储能系统。</w:t>
            </w:r>
          </w:p>
        </w:tc>
        <w:tc>
          <w:tcPr>
            <w:tcW w:w="266" w:type="pct"/>
            <w:vAlign w:val="center"/>
          </w:tcPr>
          <w:p w14:paraId="014FB905">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 w:val="21"/>
                <w:szCs w:val="21"/>
              </w:rPr>
            </w:pPr>
            <w:r>
              <w:rPr>
                <w:rFonts w:hint="default" w:ascii="Times New Roman" w:hAnsi="Times New Roman" w:eastAsia="宋体" w:cs="Times New Roman"/>
                <w:bCs/>
                <w:sz w:val="22"/>
                <w:szCs w:val="22"/>
                <w:lang w:val="en-US" w:eastAsia="zh-CN"/>
              </w:rPr>
              <w:t>制定</w:t>
            </w:r>
          </w:p>
        </w:tc>
        <w:tc>
          <w:tcPr>
            <w:tcW w:w="383" w:type="pct"/>
            <w:vAlign w:val="center"/>
          </w:tcPr>
          <w:p w14:paraId="58F978AD">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vAlign w:val="center"/>
          </w:tcPr>
          <w:p w14:paraId="1A85F234">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 w:val="21"/>
                <w:szCs w:val="21"/>
              </w:rPr>
            </w:pPr>
            <w:r>
              <w:rPr>
                <w:rFonts w:hint="default" w:ascii="Times New Roman" w:hAnsi="Times New Roman" w:eastAsia="宋体" w:cs="Times New Roman"/>
                <w:bCs/>
                <w:sz w:val="22"/>
                <w:szCs w:val="22"/>
                <w:lang w:val="en-US" w:eastAsia="zh-CN"/>
              </w:rPr>
              <w:t>12</w:t>
            </w:r>
          </w:p>
        </w:tc>
        <w:tc>
          <w:tcPr>
            <w:tcW w:w="390" w:type="pct"/>
            <w:vAlign w:val="center"/>
          </w:tcPr>
          <w:p w14:paraId="012468B1">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 w:val="21"/>
                <w:szCs w:val="21"/>
              </w:rPr>
            </w:pPr>
            <w:r>
              <w:rPr>
                <w:rFonts w:hint="default" w:ascii="Times New Roman" w:hAnsi="Times New Roman" w:eastAsia="宋体" w:cs="Times New Roman"/>
                <w:bCs/>
                <w:sz w:val="22"/>
                <w:szCs w:val="22"/>
                <w:lang w:val="en-US" w:eastAsia="zh-CN"/>
              </w:rPr>
              <w:t>集装箱标委会</w:t>
            </w:r>
          </w:p>
        </w:tc>
        <w:tc>
          <w:tcPr>
            <w:tcW w:w="1017" w:type="pct"/>
            <w:vAlign w:val="center"/>
          </w:tcPr>
          <w:p w14:paraId="23EE77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ascii="Times New Roman" w:hAnsi="Times New Roman" w:eastAsia="宋体" w:cs="Times New Roman"/>
                <w:szCs w:val="21"/>
              </w:rPr>
            </w:pPr>
            <w:r>
              <w:rPr>
                <w:rFonts w:hint="default" w:ascii="Tahoma" w:hAnsi="Tahoma" w:eastAsia="Tahoma" w:cs="Tahoma"/>
                <w:i w:val="0"/>
                <w:iCs w:val="0"/>
                <w:caps w:val="0"/>
                <w:color w:val="333333"/>
                <w:spacing w:val="0"/>
                <w:sz w:val="22"/>
                <w:szCs w:val="22"/>
                <w:shd w:val="clear" w:fill="FFFFFF"/>
                <w:lang w:val="en-US" w:eastAsia="zh-CN"/>
              </w:rPr>
              <w:t>交通运输部环境保护中心、福建海事局、交通运输部水运科学研究所</w:t>
            </w:r>
          </w:p>
        </w:tc>
      </w:tr>
      <w:tr w14:paraId="650E8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 w:type="pct"/>
            <w:vAlign w:val="center"/>
          </w:tcPr>
          <w:p w14:paraId="04AB841F">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6996E1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2026-19</w:t>
            </w:r>
          </w:p>
        </w:tc>
        <w:tc>
          <w:tcPr>
            <w:tcW w:w="555" w:type="pct"/>
            <w:vAlign w:val="center"/>
          </w:tcPr>
          <w:p w14:paraId="770C50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default" w:ascii="Times New Roman" w:hAnsi="Times New Roman" w:eastAsia="宋体" w:cs="Times New Roman"/>
                <w:bCs/>
                <w:sz w:val="22"/>
                <w:szCs w:val="22"/>
                <w:lang w:val="en-US" w:eastAsia="zh-CN"/>
              </w:rPr>
              <w:t>公路基础设施数字底座技术要求</w:t>
            </w:r>
          </w:p>
        </w:tc>
        <w:tc>
          <w:tcPr>
            <w:tcW w:w="1407" w:type="pct"/>
            <w:vAlign w:val="center"/>
          </w:tcPr>
          <w:p w14:paraId="6873C3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bCs/>
                <w:sz w:val="22"/>
                <w:szCs w:val="22"/>
                <w:lang w:val="en-US" w:eastAsia="zh-CN"/>
              </w:rPr>
            </w:pPr>
            <w:r>
              <w:rPr>
                <w:rFonts w:hint="eastAsia" w:ascii="Times New Roman" w:hAnsi="Times New Roman" w:eastAsia="宋体" w:cs="Times New Roman"/>
                <w:bCs/>
                <w:sz w:val="22"/>
                <w:szCs w:val="22"/>
                <w:lang w:val="en-US" w:eastAsia="zh-CN"/>
              </w:rPr>
              <w:t>拟规定公路基础设施数字底座的总体要求、边缘接人设施技术要求、算力基础设施技术要求、物联中台技术要求、数据中台技术要求、数字底图技术要求、能力平台技术要求、开放服务平台技术要求和网络与数据安全技术要求。</w:t>
            </w:r>
          </w:p>
          <w:p w14:paraId="29E89F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r>
              <w:rPr>
                <w:rFonts w:hint="eastAsia" w:ascii="Times New Roman" w:hAnsi="Times New Roman" w:eastAsia="宋体" w:cs="Times New Roman"/>
                <w:bCs/>
                <w:sz w:val="22"/>
                <w:szCs w:val="22"/>
                <w:lang w:val="en-US" w:eastAsia="zh-CN"/>
              </w:rPr>
              <w:t>适用于公路基础设施数字化建设项目的数字底座规划、设计、建设、改造等工作，覆盖公路数字底座体系建设，可为公路基础设施数字化工程建设、技术实施与运维管控提供标准化技术依据。</w:t>
            </w:r>
          </w:p>
        </w:tc>
        <w:tc>
          <w:tcPr>
            <w:tcW w:w="266" w:type="pct"/>
            <w:vAlign w:val="center"/>
          </w:tcPr>
          <w:p w14:paraId="7B016C6F">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 w:val="21"/>
                <w:szCs w:val="21"/>
              </w:rPr>
            </w:pPr>
            <w:r>
              <w:rPr>
                <w:rFonts w:hint="default" w:ascii="Times New Roman" w:hAnsi="Times New Roman" w:eastAsia="宋体" w:cs="Times New Roman"/>
                <w:bCs/>
                <w:sz w:val="22"/>
                <w:szCs w:val="22"/>
                <w:lang w:val="en-US" w:eastAsia="zh-CN"/>
              </w:rPr>
              <w:t>制定</w:t>
            </w:r>
          </w:p>
        </w:tc>
        <w:tc>
          <w:tcPr>
            <w:tcW w:w="383" w:type="pct"/>
            <w:vAlign w:val="center"/>
          </w:tcPr>
          <w:p w14:paraId="5F14E2AE">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vAlign w:val="center"/>
          </w:tcPr>
          <w:p w14:paraId="31710546">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 w:val="21"/>
                <w:szCs w:val="21"/>
              </w:rPr>
            </w:pPr>
            <w:r>
              <w:rPr>
                <w:rFonts w:hint="default" w:ascii="Times New Roman" w:hAnsi="Times New Roman" w:eastAsia="宋体" w:cs="Times New Roman"/>
                <w:bCs/>
                <w:sz w:val="22"/>
                <w:szCs w:val="22"/>
                <w:lang w:val="en-US" w:eastAsia="zh-CN"/>
              </w:rPr>
              <w:t>12</w:t>
            </w:r>
          </w:p>
        </w:tc>
        <w:tc>
          <w:tcPr>
            <w:tcW w:w="390" w:type="pct"/>
            <w:vAlign w:val="center"/>
          </w:tcPr>
          <w:p w14:paraId="28DE1EAF">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 w:val="21"/>
                <w:szCs w:val="21"/>
              </w:rPr>
            </w:pPr>
            <w:r>
              <w:rPr>
                <w:rFonts w:hint="default" w:ascii="Times New Roman" w:hAnsi="Times New Roman" w:eastAsia="宋体" w:cs="Times New Roman"/>
                <w:bCs/>
                <w:sz w:val="22"/>
                <w:szCs w:val="22"/>
                <w:lang w:val="en-US" w:eastAsia="zh-CN"/>
              </w:rPr>
              <w:t>智能运输标委会</w:t>
            </w:r>
          </w:p>
        </w:tc>
        <w:tc>
          <w:tcPr>
            <w:tcW w:w="1017" w:type="pct"/>
            <w:vAlign w:val="center"/>
          </w:tcPr>
          <w:p w14:paraId="1681FB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ascii="Times New Roman" w:hAnsi="Times New Roman" w:eastAsia="宋体" w:cs="Times New Roman"/>
                <w:szCs w:val="21"/>
              </w:rPr>
            </w:pPr>
            <w:r>
              <w:rPr>
                <w:rFonts w:hint="default" w:ascii="Tahoma" w:hAnsi="Tahoma" w:eastAsia="Tahoma" w:cs="Tahoma"/>
                <w:i w:val="0"/>
                <w:iCs w:val="0"/>
                <w:caps w:val="0"/>
                <w:color w:val="333333"/>
                <w:spacing w:val="0"/>
                <w:sz w:val="22"/>
                <w:szCs w:val="22"/>
                <w:shd w:val="clear" w:fill="FFFFFF"/>
                <w:lang w:val="en-US" w:eastAsia="zh-CN"/>
              </w:rPr>
              <w:t>交通运输部公路科学研究所、中路高科交通科技集团有限公司、交通运输部规划研究院、广东省交通集团有限公司、交通运输部路网监测与应急处置中心、江西省交通投资集团有限责任公司</w:t>
            </w:r>
          </w:p>
        </w:tc>
      </w:tr>
      <w:tr w14:paraId="03F7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69" w:type="pct"/>
            <w:vAlign w:val="center"/>
          </w:tcPr>
          <w:p w14:paraId="61D30030">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56F70A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2026-20</w:t>
            </w:r>
          </w:p>
        </w:tc>
        <w:tc>
          <w:tcPr>
            <w:tcW w:w="555" w:type="pct"/>
            <w:vAlign w:val="center"/>
          </w:tcPr>
          <w:p w14:paraId="7E458F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default" w:ascii="Times New Roman" w:hAnsi="Times New Roman" w:eastAsia="宋体" w:cs="Times New Roman"/>
                <w:bCs/>
                <w:sz w:val="22"/>
                <w:szCs w:val="22"/>
                <w:lang w:val="en-US" w:eastAsia="zh-CN"/>
              </w:rPr>
              <w:t>公路基础设施主数据</w:t>
            </w:r>
          </w:p>
        </w:tc>
        <w:tc>
          <w:tcPr>
            <w:tcW w:w="1407" w:type="pct"/>
            <w:vAlign w:val="center"/>
          </w:tcPr>
          <w:p w14:paraId="414E41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bCs/>
                <w:sz w:val="22"/>
                <w:szCs w:val="22"/>
                <w:lang w:val="en-US" w:eastAsia="zh-CN"/>
              </w:rPr>
            </w:pPr>
            <w:r>
              <w:rPr>
                <w:rFonts w:hint="eastAsia" w:ascii="Times New Roman" w:hAnsi="Times New Roman" w:eastAsia="宋体" w:cs="Times New Roman"/>
                <w:bCs/>
                <w:sz w:val="22"/>
                <w:szCs w:val="22"/>
                <w:lang w:val="en-US" w:eastAsia="zh-CN"/>
              </w:rPr>
              <w:t>拟规定公路（含新建、改扩建）贯穿投、建、管、养、运全生命周期的公路基础设施主数据架构、主数据及主数据模型中数据元属性。</w:t>
            </w:r>
          </w:p>
          <w:p w14:paraId="4179DF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r>
              <w:rPr>
                <w:rFonts w:hint="eastAsia" w:ascii="Times New Roman" w:hAnsi="Times New Roman" w:eastAsia="宋体" w:cs="Times New Roman"/>
                <w:bCs/>
                <w:sz w:val="22"/>
                <w:szCs w:val="22"/>
                <w:lang w:val="en-US" w:eastAsia="zh-CN"/>
              </w:rPr>
              <w:t>适用于公路基础设施主数据管理系统建设及维护，以及公路基础设施投、建设、管理、养护、运营等各阶段的业务应用系统、及其他涉及公路信息资源整合开发利用的信息系统建设中基础设施数据的采集、管理、共享与维护。</w:t>
            </w:r>
          </w:p>
        </w:tc>
        <w:tc>
          <w:tcPr>
            <w:tcW w:w="266" w:type="pct"/>
            <w:vAlign w:val="center"/>
          </w:tcPr>
          <w:p w14:paraId="3E5A0789">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制定</w:t>
            </w:r>
          </w:p>
        </w:tc>
        <w:tc>
          <w:tcPr>
            <w:tcW w:w="383" w:type="pct"/>
            <w:vAlign w:val="center"/>
          </w:tcPr>
          <w:p w14:paraId="36F5598D">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Cs w:val="21"/>
              </w:rPr>
            </w:pPr>
          </w:p>
        </w:tc>
        <w:tc>
          <w:tcPr>
            <w:tcW w:w="390" w:type="pct"/>
            <w:vAlign w:val="center"/>
          </w:tcPr>
          <w:p w14:paraId="422C2111">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12</w:t>
            </w:r>
          </w:p>
        </w:tc>
        <w:tc>
          <w:tcPr>
            <w:tcW w:w="390" w:type="pct"/>
            <w:vAlign w:val="center"/>
          </w:tcPr>
          <w:p w14:paraId="7CCF1324">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智能运输标委会</w:t>
            </w:r>
          </w:p>
        </w:tc>
        <w:tc>
          <w:tcPr>
            <w:tcW w:w="1017" w:type="pct"/>
            <w:vAlign w:val="center"/>
          </w:tcPr>
          <w:p w14:paraId="5868E2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ascii="Times New Roman" w:hAnsi="Times New Roman" w:eastAsia="宋体" w:cs="Times New Roman"/>
                <w:szCs w:val="21"/>
              </w:rPr>
            </w:pPr>
            <w:r>
              <w:rPr>
                <w:rFonts w:hint="default" w:ascii="Tahoma" w:hAnsi="Tahoma" w:eastAsia="Tahoma" w:cs="Tahoma"/>
                <w:i w:val="0"/>
                <w:iCs w:val="0"/>
                <w:caps w:val="0"/>
                <w:color w:val="333333"/>
                <w:spacing w:val="0"/>
                <w:sz w:val="22"/>
                <w:szCs w:val="22"/>
                <w:shd w:val="clear" w:fill="FFFFFF"/>
                <w:lang w:val="en-US" w:eastAsia="zh-CN"/>
              </w:rPr>
              <w:t>交通运输部公路科学研究所、北京云星宇交通科技股份有限公司、湖北交投科技发展有限公司、州交通投资集团有限公司、广东省南粤交通投资建设有限公司、广东联合电子服务股份有限公司、江西省交通投资集团有限责任公司</w:t>
            </w:r>
          </w:p>
        </w:tc>
      </w:tr>
      <w:tr w14:paraId="3E12A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169" w:type="pct"/>
            <w:vAlign w:val="center"/>
          </w:tcPr>
          <w:p w14:paraId="6961FECC">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52E97D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2026-21</w:t>
            </w:r>
          </w:p>
        </w:tc>
        <w:tc>
          <w:tcPr>
            <w:tcW w:w="555" w:type="pct"/>
            <w:vAlign w:val="center"/>
          </w:tcPr>
          <w:p w14:paraId="12BB55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eastAsia" w:ascii="Times New Roman" w:hAnsi="Times New Roman" w:eastAsia="宋体" w:cs="Times New Roman"/>
                <w:bCs/>
                <w:sz w:val="22"/>
                <w:szCs w:val="22"/>
                <w:lang w:val="en-US" w:eastAsia="zh-CN"/>
              </w:rPr>
              <w:t>海上无动力锚泊船应急拖带技术要求</w:t>
            </w:r>
          </w:p>
        </w:tc>
        <w:tc>
          <w:tcPr>
            <w:tcW w:w="1407" w:type="pct"/>
            <w:vAlign w:val="center"/>
          </w:tcPr>
          <w:p w14:paraId="2B8707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bCs/>
                <w:sz w:val="22"/>
                <w:szCs w:val="22"/>
                <w:lang w:val="en-US" w:eastAsia="zh-CN"/>
              </w:rPr>
            </w:pPr>
            <w:r>
              <w:rPr>
                <w:rFonts w:hint="eastAsia" w:ascii="Times New Roman" w:hAnsi="Times New Roman" w:eastAsia="宋体" w:cs="Times New Roman"/>
                <w:bCs/>
                <w:sz w:val="22"/>
                <w:szCs w:val="22"/>
                <w:lang w:val="en-US" w:eastAsia="zh-CN"/>
              </w:rPr>
              <w:t>拟规定海上无动力锚泊船应急拖带的适用前提、拖航计划、拖航准备、拖航作业报告与要求，明确拖船配置、风险评估、拖带索具选择、挖带方式、三爪铺接解拖操作等显化指标与操作流程。</w:t>
            </w:r>
          </w:p>
          <w:p w14:paraId="072106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r>
              <w:rPr>
                <w:rFonts w:hint="eastAsia" w:ascii="Times New Roman" w:hAnsi="Times New Roman" w:eastAsia="宋体" w:cs="Times New Roman"/>
                <w:bCs/>
                <w:sz w:val="22"/>
                <w:szCs w:val="22"/>
                <w:lang w:val="en-US" w:eastAsia="zh-CN"/>
              </w:rPr>
              <w:t>适用于专业海洋数助船勉在我国近海、沿海及与海相通可航水域内开展无动力锚泊舶应急拖带作业。</w:t>
            </w:r>
          </w:p>
        </w:tc>
        <w:tc>
          <w:tcPr>
            <w:tcW w:w="266" w:type="pct"/>
            <w:vAlign w:val="center"/>
          </w:tcPr>
          <w:p w14:paraId="6960720A">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制定</w:t>
            </w:r>
          </w:p>
        </w:tc>
        <w:tc>
          <w:tcPr>
            <w:tcW w:w="383" w:type="pct"/>
            <w:vAlign w:val="center"/>
          </w:tcPr>
          <w:p w14:paraId="1356E9EE">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vAlign w:val="center"/>
          </w:tcPr>
          <w:p w14:paraId="7E5504BA">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12</w:t>
            </w:r>
          </w:p>
        </w:tc>
        <w:tc>
          <w:tcPr>
            <w:tcW w:w="390" w:type="pct"/>
            <w:vAlign w:val="center"/>
          </w:tcPr>
          <w:p w14:paraId="1FB89A34">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救捞标委会</w:t>
            </w:r>
          </w:p>
        </w:tc>
        <w:tc>
          <w:tcPr>
            <w:tcW w:w="1017" w:type="pct"/>
            <w:vAlign w:val="center"/>
          </w:tcPr>
          <w:p w14:paraId="6F6B8A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ascii="Times New Roman" w:hAnsi="Times New Roman" w:eastAsia="宋体" w:cs="Times New Roman"/>
                <w:szCs w:val="21"/>
              </w:rPr>
            </w:pPr>
            <w:r>
              <w:rPr>
                <w:rFonts w:hint="default" w:ascii="Tahoma" w:hAnsi="Tahoma" w:eastAsia="Tahoma" w:cs="Tahoma"/>
                <w:i w:val="0"/>
                <w:iCs w:val="0"/>
                <w:caps w:val="0"/>
                <w:color w:val="333333"/>
                <w:spacing w:val="0"/>
                <w:sz w:val="22"/>
                <w:szCs w:val="22"/>
                <w:shd w:val="clear" w:fill="FFFFFF"/>
                <w:lang w:val="en-US" w:eastAsia="zh-CN"/>
              </w:rPr>
              <w:t>交通运输部东海救助局、上海海事大学</w:t>
            </w:r>
          </w:p>
        </w:tc>
      </w:tr>
      <w:tr w14:paraId="686C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169" w:type="pct"/>
            <w:vAlign w:val="center"/>
          </w:tcPr>
          <w:p w14:paraId="0FCB1DE2">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4BC609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2026-22</w:t>
            </w:r>
          </w:p>
        </w:tc>
        <w:tc>
          <w:tcPr>
            <w:tcW w:w="555" w:type="pct"/>
            <w:vAlign w:val="center"/>
          </w:tcPr>
          <w:p w14:paraId="46E48F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default" w:ascii="Times New Roman" w:hAnsi="Times New Roman" w:eastAsia="宋体" w:cs="Times New Roman"/>
                <w:bCs/>
                <w:sz w:val="22"/>
                <w:szCs w:val="22"/>
                <w:lang w:val="en-US" w:eastAsia="zh-CN"/>
              </w:rPr>
              <w:t>高海况下应急接拖操作要求</w:t>
            </w:r>
          </w:p>
        </w:tc>
        <w:tc>
          <w:tcPr>
            <w:tcW w:w="1407" w:type="pct"/>
            <w:vAlign w:val="center"/>
          </w:tcPr>
          <w:p w14:paraId="6C1CE9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拟规定高海况下开展应急接拖作业的作业准备、接拖操作、安全保障及应急处置要求。</w:t>
            </w:r>
          </w:p>
          <w:p w14:paraId="16B378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适用于专业海洋救助船舶开展海上锚泊遇险船、走锚失控船和失控漂航船的应急救助接拖作业。</w:t>
            </w:r>
          </w:p>
        </w:tc>
        <w:tc>
          <w:tcPr>
            <w:tcW w:w="266" w:type="pct"/>
            <w:vAlign w:val="center"/>
          </w:tcPr>
          <w:p w14:paraId="4C05B4A8">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制定</w:t>
            </w:r>
          </w:p>
        </w:tc>
        <w:tc>
          <w:tcPr>
            <w:tcW w:w="383" w:type="pct"/>
            <w:vAlign w:val="center"/>
          </w:tcPr>
          <w:p w14:paraId="76926902">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vAlign w:val="center"/>
          </w:tcPr>
          <w:p w14:paraId="2D9F14D9">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12</w:t>
            </w:r>
          </w:p>
        </w:tc>
        <w:tc>
          <w:tcPr>
            <w:tcW w:w="390" w:type="pct"/>
            <w:vAlign w:val="center"/>
          </w:tcPr>
          <w:p w14:paraId="2854B4B5">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救捞标委会</w:t>
            </w:r>
          </w:p>
        </w:tc>
        <w:tc>
          <w:tcPr>
            <w:tcW w:w="1017" w:type="pct"/>
            <w:vAlign w:val="center"/>
          </w:tcPr>
          <w:p w14:paraId="49421B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ascii="Times New Roman" w:hAnsi="Times New Roman" w:eastAsia="宋体" w:cs="Times New Roman"/>
                <w:szCs w:val="21"/>
              </w:rPr>
            </w:pPr>
            <w:r>
              <w:rPr>
                <w:rFonts w:hint="default" w:ascii="Tahoma" w:hAnsi="Tahoma" w:eastAsia="Tahoma" w:cs="Tahoma"/>
                <w:i w:val="0"/>
                <w:iCs w:val="0"/>
                <w:caps w:val="0"/>
                <w:color w:val="333333"/>
                <w:spacing w:val="0"/>
                <w:sz w:val="22"/>
                <w:szCs w:val="22"/>
                <w:shd w:val="clear" w:fill="FFFFFF"/>
                <w:lang w:val="en-US" w:eastAsia="zh-CN"/>
              </w:rPr>
              <w:t>交通运输部东海救助局、交通运输部科学研究院</w:t>
            </w:r>
          </w:p>
        </w:tc>
      </w:tr>
      <w:tr w14:paraId="424AF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69" w:type="pct"/>
            <w:vAlign w:val="center"/>
          </w:tcPr>
          <w:p w14:paraId="36C3DC94">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74B2E4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2026-23</w:t>
            </w:r>
          </w:p>
        </w:tc>
        <w:tc>
          <w:tcPr>
            <w:tcW w:w="555" w:type="pct"/>
            <w:vAlign w:val="center"/>
          </w:tcPr>
          <w:p w14:paraId="496A2A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default" w:ascii="Times New Roman" w:hAnsi="Times New Roman" w:eastAsia="宋体" w:cs="Times New Roman"/>
                <w:bCs/>
                <w:sz w:val="22"/>
                <w:szCs w:val="22"/>
                <w:lang w:val="en-US" w:eastAsia="zh-CN"/>
              </w:rPr>
              <w:t>直升机搜救驾驶员训练考核要求</w:t>
            </w:r>
          </w:p>
        </w:tc>
        <w:tc>
          <w:tcPr>
            <w:tcW w:w="1407" w:type="pct"/>
            <w:vAlign w:val="center"/>
          </w:tcPr>
          <w:p w14:paraId="024B95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拟规定直升机搜救驾驶员</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昼间搜救副驾驶员、夜间搜救副驾驶员、昼间搜救机长、夜间搜救机长</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的进人条件、训练内容</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理论学习、地面实习、飞行训练</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、训练时长、训练质量、考核方式及技能检查等要求。</w:t>
            </w:r>
          </w:p>
          <w:p w14:paraId="19B423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适用于采用直升机作为救援平台并实施航空应急救援的搜救驾驶员的训练与考核。主要适用于交通运输部救助飞行队，其他开展海上航空应急救援的管理机构、运行单位也可参照使用。</w:t>
            </w:r>
          </w:p>
        </w:tc>
        <w:tc>
          <w:tcPr>
            <w:tcW w:w="266" w:type="pct"/>
            <w:vAlign w:val="center"/>
          </w:tcPr>
          <w:p w14:paraId="65996037">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 w:val="21"/>
                <w:szCs w:val="21"/>
              </w:rPr>
            </w:pPr>
            <w:r>
              <w:rPr>
                <w:rFonts w:hint="default" w:ascii="Times New Roman" w:hAnsi="Times New Roman" w:eastAsia="宋体" w:cs="Times New Roman"/>
                <w:bCs/>
                <w:sz w:val="22"/>
                <w:szCs w:val="22"/>
                <w:lang w:val="en-US" w:eastAsia="zh-CN"/>
              </w:rPr>
              <w:t>制定</w:t>
            </w:r>
          </w:p>
        </w:tc>
        <w:tc>
          <w:tcPr>
            <w:tcW w:w="383" w:type="pct"/>
            <w:vAlign w:val="center"/>
          </w:tcPr>
          <w:p w14:paraId="0BD1DE72">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kern w:val="0"/>
                <w:szCs w:val="21"/>
              </w:rPr>
            </w:pPr>
          </w:p>
        </w:tc>
        <w:tc>
          <w:tcPr>
            <w:tcW w:w="390" w:type="pct"/>
            <w:vAlign w:val="center"/>
          </w:tcPr>
          <w:p w14:paraId="6643AFC2">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12</w:t>
            </w:r>
          </w:p>
        </w:tc>
        <w:tc>
          <w:tcPr>
            <w:tcW w:w="390" w:type="pct"/>
            <w:vAlign w:val="center"/>
          </w:tcPr>
          <w:p w14:paraId="2B90300B">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救捞标委会</w:t>
            </w:r>
          </w:p>
        </w:tc>
        <w:tc>
          <w:tcPr>
            <w:tcW w:w="1017" w:type="pct"/>
            <w:vAlign w:val="center"/>
          </w:tcPr>
          <w:p w14:paraId="2263BC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ascii="Times New Roman" w:hAnsi="Times New Roman" w:eastAsia="宋体" w:cs="Times New Roman"/>
                <w:szCs w:val="21"/>
              </w:rPr>
            </w:pPr>
            <w:r>
              <w:rPr>
                <w:rFonts w:hint="default" w:ascii="Tahoma" w:hAnsi="Tahoma" w:eastAsia="Tahoma" w:cs="Tahoma"/>
                <w:i w:val="0"/>
                <w:iCs w:val="0"/>
                <w:caps w:val="0"/>
                <w:color w:val="333333"/>
                <w:spacing w:val="0"/>
                <w:sz w:val="22"/>
                <w:szCs w:val="22"/>
                <w:shd w:val="clear" w:fill="FFFFFF"/>
                <w:lang w:val="en-US" w:eastAsia="zh-CN"/>
              </w:rPr>
              <w:t>交通运输部北海第一救助飞行队、交通运输部北海救助局、交通运输部救助打捞局、交通运输部科学研究院</w:t>
            </w:r>
          </w:p>
        </w:tc>
      </w:tr>
      <w:tr w14:paraId="728C5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169" w:type="pct"/>
            <w:vAlign w:val="center"/>
          </w:tcPr>
          <w:p w14:paraId="3B1F8597">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0B1FB0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2026-24</w:t>
            </w:r>
          </w:p>
        </w:tc>
        <w:tc>
          <w:tcPr>
            <w:tcW w:w="555" w:type="pct"/>
            <w:vAlign w:val="center"/>
          </w:tcPr>
          <w:p w14:paraId="1AECBB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default" w:ascii="Times New Roman" w:hAnsi="Times New Roman" w:eastAsia="宋体" w:cs="Times New Roman"/>
                <w:bCs/>
                <w:sz w:val="22"/>
                <w:szCs w:val="22"/>
                <w:lang w:val="en-US" w:eastAsia="zh-CN"/>
              </w:rPr>
              <w:t>直升机搜救驾驶员教员培训考核要求</w:t>
            </w:r>
          </w:p>
        </w:tc>
        <w:tc>
          <w:tcPr>
            <w:tcW w:w="1407" w:type="pct"/>
            <w:vAlign w:val="center"/>
          </w:tcPr>
          <w:p w14:paraId="4B0763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拟规定直升机搜救驾驶员教员(昼间搜救飞行教员、夜间搜救飞行教员、搜救飞行检查员)的进人条件、训练内容</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理论学习、地面实习、飞行训练</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训练时长、训练质量、考核方式及技能检查等要求。适用于采用直升机作为救援平台并实施航空应急救援的搜救驾驶员教员的教训考核。主要适用于交通运输部救助飞行队，其他开展海上航空应急救援的管理机构、运行单位也可参照使用。</w:t>
            </w:r>
          </w:p>
        </w:tc>
        <w:tc>
          <w:tcPr>
            <w:tcW w:w="266" w:type="pct"/>
            <w:vAlign w:val="center"/>
          </w:tcPr>
          <w:p w14:paraId="693B77F5">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 w:val="21"/>
                <w:szCs w:val="21"/>
              </w:rPr>
            </w:pPr>
            <w:r>
              <w:rPr>
                <w:rFonts w:hint="default" w:ascii="Times New Roman" w:hAnsi="Times New Roman" w:eastAsia="宋体" w:cs="Times New Roman"/>
                <w:bCs/>
                <w:sz w:val="22"/>
                <w:szCs w:val="22"/>
                <w:lang w:val="en-US" w:eastAsia="zh-CN"/>
              </w:rPr>
              <w:t>制定</w:t>
            </w:r>
          </w:p>
        </w:tc>
        <w:tc>
          <w:tcPr>
            <w:tcW w:w="383" w:type="pct"/>
            <w:vAlign w:val="center"/>
          </w:tcPr>
          <w:p w14:paraId="3E412618">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vAlign w:val="center"/>
          </w:tcPr>
          <w:p w14:paraId="141097E4">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12</w:t>
            </w:r>
          </w:p>
        </w:tc>
        <w:tc>
          <w:tcPr>
            <w:tcW w:w="390" w:type="pct"/>
            <w:vAlign w:val="center"/>
          </w:tcPr>
          <w:p w14:paraId="57C1DB13">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救捞标委会</w:t>
            </w:r>
          </w:p>
        </w:tc>
        <w:tc>
          <w:tcPr>
            <w:tcW w:w="1017" w:type="pct"/>
            <w:vAlign w:val="center"/>
          </w:tcPr>
          <w:p w14:paraId="43CDDF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hint="eastAsia" w:ascii="Times New Roman" w:hAnsi="Times New Roman" w:eastAsia="宋体" w:cs="Times New Roman"/>
                <w:szCs w:val="21"/>
                <w:lang w:eastAsia="zh-CN"/>
              </w:rPr>
            </w:pPr>
            <w:r>
              <w:rPr>
                <w:rFonts w:hint="default" w:ascii="Tahoma" w:hAnsi="Tahoma" w:eastAsia="Tahoma" w:cs="Tahoma"/>
                <w:i w:val="0"/>
                <w:iCs w:val="0"/>
                <w:caps w:val="0"/>
                <w:color w:val="333333"/>
                <w:spacing w:val="0"/>
                <w:sz w:val="22"/>
                <w:szCs w:val="22"/>
                <w:shd w:val="clear" w:fill="FFFFFF"/>
                <w:lang w:val="en-US" w:eastAsia="zh-CN"/>
              </w:rPr>
              <w:t>交通运输部北海第一救助飞行队、交通运输部北海救助局、交通运输部救助打捞局、交通运输部科学研究院</w:t>
            </w:r>
          </w:p>
        </w:tc>
      </w:tr>
      <w:tr w14:paraId="15763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trPr>
        <w:tc>
          <w:tcPr>
            <w:tcW w:w="169" w:type="pct"/>
            <w:vAlign w:val="center"/>
          </w:tcPr>
          <w:p w14:paraId="3AD29617">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493390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2026-25</w:t>
            </w:r>
          </w:p>
        </w:tc>
        <w:tc>
          <w:tcPr>
            <w:tcW w:w="555" w:type="pct"/>
            <w:vAlign w:val="center"/>
          </w:tcPr>
          <w:p w14:paraId="2378CF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default" w:ascii="Times New Roman" w:hAnsi="Times New Roman" w:eastAsia="宋体" w:cs="Times New Roman"/>
                <w:bCs/>
                <w:sz w:val="22"/>
                <w:szCs w:val="22"/>
                <w:lang w:val="en-US" w:eastAsia="zh-CN"/>
              </w:rPr>
              <w:t>内河航运高质量数据集  分类与编码</w:t>
            </w:r>
          </w:p>
        </w:tc>
        <w:tc>
          <w:tcPr>
            <w:tcW w:w="1407" w:type="pct"/>
            <w:vAlign w:val="center"/>
          </w:tcPr>
          <w:p w14:paraId="74084E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拟规定内河航运高质量数据集的分类原则、编码规则及分类与编码要求。</w:t>
            </w:r>
          </w:p>
          <w:p w14:paraId="0A2734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适用于指导内河航运高质量数据集建设以及管理过程中的分类和编码工作，供内河航运高质量数据集数据集建设管理部门以及数据集使用方参考使用。</w:t>
            </w:r>
          </w:p>
        </w:tc>
        <w:tc>
          <w:tcPr>
            <w:tcW w:w="266" w:type="pct"/>
            <w:vAlign w:val="center"/>
          </w:tcPr>
          <w:p w14:paraId="6D7923D5">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 w:val="21"/>
                <w:szCs w:val="21"/>
              </w:rPr>
            </w:pPr>
            <w:r>
              <w:rPr>
                <w:rFonts w:hint="default" w:ascii="Times New Roman" w:hAnsi="Times New Roman" w:eastAsia="宋体" w:cs="Times New Roman"/>
                <w:bCs/>
                <w:sz w:val="22"/>
                <w:szCs w:val="22"/>
                <w:lang w:val="en-US" w:eastAsia="zh-CN"/>
              </w:rPr>
              <w:t>制定</w:t>
            </w:r>
          </w:p>
        </w:tc>
        <w:tc>
          <w:tcPr>
            <w:tcW w:w="383" w:type="pct"/>
            <w:vAlign w:val="center"/>
          </w:tcPr>
          <w:p w14:paraId="0E6B5439">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vAlign w:val="center"/>
          </w:tcPr>
          <w:p w14:paraId="016EF0BD">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12</w:t>
            </w:r>
          </w:p>
        </w:tc>
        <w:tc>
          <w:tcPr>
            <w:tcW w:w="390" w:type="pct"/>
            <w:vAlign w:val="center"/>
          </w:tcPr>
          <w:p w14:paraId="0DC1ED52">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信息通导标委会</w:t>
            </w:r>
          </w:p>
        </w:tc>
        <w:tc>
          <w:tcPr>
            <w:tcW w:w="1017" w:type="pct"/>
            <w:vAlign w:val="center"/>
          </w:tcPr>
          <w:p w14:paraId="533CF3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ascii="Times New Roman" w:hAnsi="Times New Roman" w:eastAsia="宋体" w:cs="Times New Roman"/>
                <w:szCs w:val="21"/>
              </w:rPr>
            </w:pPr>
            <w:r>
              <w:rPr>
                <w:rFonts w:hint="default" w:ascii="Tahoma" w:hAnsi="Tahoma" w:eastAsia="Tahoma" w:cs="Tahoma"/>
                <w:i w:val="0"/>
                <w:iCs w:val="0"/>
                <w:caps w:val="0"/>
                <w:color w:val="333333"/>
                <w:spacing w:val="0"/>
                <w:sz w:val="22"/>
                <w:szCs w:val="22"/>
                <w:shd w:val="clear" w:fill="FFFFFF"/>
                <w:lang w:val="en-US" w:eastAsia="zh-CN"/>
              </w:rPr>
              <w:t>长江水上交通监测与应急处置中心、中国交通通信信息中心</w:t>
            </w:r>
          </w:p>
        </w:tc>
      </w:tr>
      <w:tr w14:paraId="38D25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 w:type="pct"/>
            <w:vAlign w:val="center"/>
          </w:tcPr>
          <w:p w14:paraId="3F1B0B6A">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785521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2026-26</w:t>
            </w:r>
          </w:p>
        </w:tc>
        <w:tc>
          <w:tcPr>
            <w:tcW w:w="555" w:type="pct"/>
            <w:vAlign w:val="center"/>
          </w:tcPr>
          <w:p w14:paraId="19A417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default" w:ascii="Times New Roman" w:hAnsi="Times New Roman" w:eastAsia="宋体" w:cs="Times New Roman"/>
                <w:bCs/>
                <w:sz w:val="22"/>
                <w:szCs w:val="22"/>
                <w:lang w:val="en-US" w:eastAsia="zh-CN"/>
              </w:rPr>
              <w:t xml:space="preserve">内河航运高质量数据集 </w:t>
            </w:r>
            <w:r>
              <w:rPr>
                <w:rFonts w:hint="eastAsia" w:ascii="Times New Roman" w:hAnsi="Times New Roman" w:eastAsia="宋体" w:cs="Times New Roman"/>
                <w:bCs/>
                <w:sz w:val="22"/>
                <w:szCs w:val="22"/>
                <w:lang w:val="en-US" w:eastAsia="zh-CN"/>
              </w:rPr>
              <w:t xml:space="preserve"> </w:t>
            </w:r>
            <w:r>
              <w:rPr>
                <w:rFonts w:hint="default" w:ascii="Times New Roman" w:hAnsi="Times New Roman" w:eastAsia="宋体" w:cs="Times New Roman"/>
                <w:bCs/>
                <w:sz w:val="22"/>
                <w:szCs w:val="22"/>
                <w:lang w:val="en-US" w:eastAsia="zh-CN"/>
              </w:rPr>
              <w:t>数据预处理与标注要求</w:t>
            </w:r>
          </w:p>
        </w:tc>
        <w:tc>
          <w:tcPr>
            <w:tcW w:w="1407" w:type="pct"/>
            <w:vAlign w:val="center"/>
          </w:tcPr>
          <w:p w14:paraId="1BA284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拟规定内河航运高质量数据集的数据预处理要求、标注要求和质量控制要求。</w:t>
            </w:r>
          </w:p>
          <w:p w14:paraId="3F6AB2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适用于船舶、船企、船员、港口、航道、船闸、货运、通航环境等核心领域的数据预处理以及标注工作，内河航运相关企业、研究机构、政府部门参考使用。</w:t>
            </w:r>
          </w:p>
        </w:tc>
        <w:tc>
          <w:tcPr>
            <w:tcW w:w="266" w:type="pct"/>
            <w:vAlign w:val="center"/>
          </w:tcPr>
          <w:p w14:paraId="30D183CF">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 w:val="21"/>
                <w:szCs w:val="21"/>
              </w:rPr>
            </w:pPr>
            <w:r>
              <w:rPr>
                <w:rFonts w:hint="default" w:ascii="Times New Roman" w:hAnsi="Times New Roman" w:eastAsia="宋体" w:cs="Times New Roman"/>
                <w:bCs/>
                <w:sz w:val="22"/>
                <w:szCs w:val="22"/>
                <w:lang w:val="en-US" w:eastAsia="zh-CN"/>
              </w:rPr>
              <w:t>制定</w:t>
            </w:r>
          </w:p>
        </w:tc>
        <w:tc>
          <w:tcPr>
            <w:tcW w:w="383" w:type="pct"/>
            <w:vAlign w:val="center"/>
          </w:tcPr>
          <w:p w14:paraId="4248766F">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vAlign w:val="center"/>
          </w:tcPr>
          <w:p w14:paraId="7269BE05">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12</w:t>
            </w:r>
          </w:p>
        </w:tc>
        <w:tc>
          <w:tcPr>
            <w:tcW w:w="390" w:type="pct"/>
            <w:vAlign w:val="center"/>
          </w:tcPr>
          <w:p w14:paraId="643F459C">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信息通导标委会</w:t>
            </w:r>
          </w:p>
        </w:tc>
        <w:tc>
          <w:tcPr>
            <w:tcW w:w="1017" w:type="pct"/>
            <w:vAlign w:val="center"/>
          </w:tcPr>
          <w:p w14:paraId="44FD8E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ascii="Times New Roman" w:hAnsi="Times New Roman" w:eastAsia="宋体" w:cs="Times New Roman"/>
                <w:szCs w:val="21"/>
              </w:rPr>
            </w:pPr>
            <w:r>
              <w:rPr>
                <w:rFonts w:hint="default" w:ascii="Tahoma" w:hAnsi="Tahoma" w:eastAsia="Tahoma" w:cs="Tahoma"/>
                <w:i w:val="0"/>
                <w:iCs w:val="0"/>
                <w:caps w:val="0"/>
                <w:color w:val="333333"/>
                <w:spacing w:val="0"/>
                <w:sz w:val="22"/>
                <w:szCs w:val="22"/>
                <w:shd w:val="clear" w:fill="FFFFFF"/>
                <w:lang w:val="en-US" w:eastAsia="zh-CN"/>
              </w:rPr>
              <w:t>长江水上交通监测与应急处置中心、中国交通通信信息中心、中国船级社</w:t>
            </w:r>
          </w:p>
        </w:tc>
      </w:tr>
      <w:tr w14:paraId="5683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169" w:type="pct"/>
            <w:vAlign w:val="center"/>
          </w:tcPr>
          <w:p w14:paraId="7E264C79">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6A9FE9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2026-27</w:t>
            </w:r>
          </w:p>
        </w:tc>
        <w:tc>
          <w:tcPr>
            <w:tcW w:w="555" w:type="pct"/>
            <w:vAlign w:val="center"/>
          </w:tcPr>
          <w:p w14:paraId="135926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default" w:ascii="Times New Roman" w:hAnsi="Times New Roman" w:eastAsia="宋体" w:cs="Times New Roman"/>
                <w:bCs/>
                <w:sz w:val="22"/>
                <w:szCs w:val="22"/>
                <w:lang w:val="en-US" w:eastAsia="zh-CN"/>
              </w:rPr>
              <w:t xml:space="preserve">内河航运高质量数据集 </w:t>
            </w:r>
            <w:r>
              <w:rPr>
                <w:rFonts w:hint="eastAsia" w:ascii="Times New Roman" w:hAnsi="Times New Roman" w:eastAsia="宋体" w:cs="Times New Roman"/>
                <w:bCs/>
                <w:sz w:val="22"/>
                <w:szCs w:val="22"/>
                <w:lang w:val="en-US" w:eastAsia="zh-CN"/>
              </w:rPr>
              <w:t xml:space="preserve"> </w:t>
            </w:r>
            <w:r>
              <w:rPr>
                <w:rFonts w:hint="default" w:ascii="Times New Roman" w:hAnsi="Times New Roman" w:eastAsia="宋体" w:cs="Times New Roman"/>
                <w:bCs/>
                <w:sz w:val="22"/>
                <w:szCs w:val="22"/>
                <w:lang w:val="en-US" w:eastAsia="zh-CN"/>
              </w:rPr>
              <w:t>质量评测规范</w:t>
            </w:r>
          </w:p>
        </w:tc>
        <w:tc>
          <w:tcPr>
            <w:tcW w:w="1407" w:type="pct"/>
            <w:vAlign w:val="center"/>
          </w:tcPr>
          <w:p w14:paraId="5AE9F3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拟规定内河航运高质量数据集的质量维度、评测指标、评测方法、评测组织和质量等级要求。</w:t>
            </w:r>
          </w:p>
          <w:p w14:paraId="19804D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适用于指导内河航运相关企业、研究机构、政府部门进行高质量数据集的质量评测工作。</w:t>
            </w:r>
          </w:p>
        </w:tc>
        <w:tc>
          <w:tcPr>
            <w:tcW w:w="266" w:type="pct"/>
            <w:vAlign w:val="center"/>
          </w:tcPr>
          <w:p w14:paraId="5CD4AB6A">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 w:val="21"/>
                <w:szCs w:val="21"/>
              </w:rPr>
            </w:pPr>
            <w:r>
              <w:rPr>
                <w:rFonts w:hint="default" w:ascii="Times New Roman" w:hAnsi="Times New Roman" w:eastAsia="宋体" w:cs="Times New Roman"/>
                <w:bCs/>
                <w:sz w:val="22"/>
                <w:szCs w:val="22"/>
                <w:lang w:val="en-US" w:eastAsia="zh-CN"/>
              </w:rPr>
              <w:t>制定</w:t>
            </w:r>
          </w:p>
        </w:tc>
        <w:tc>
          <w:tcPr>
            <w:tcW w:w="383" w:type="pct"/>
            <w:vAlign w:val="center"/>
          </w:tcPr>
          <w:p w14:paraId="4E183F1E">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vAlign w:val="center"/>
          </w:tcPr>
          <w:p w14:paraId="284B3311">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12</w:t>
            </w:r>
          </w:p>
        </w:tc>
        <w:tc>
          <w:tcPr>
            <w:tcW w:w="390" w:type="pct"/>
            <w:vAlign w:val="center"/>
          </w:tcPr>
          <w:p w14:paraId="2143DA1F">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信息通导标委会</w:t>
            </w:r>
          </w:p>
        </w:tc>
        <w:tc>
          <w:tcPr>
            <w:tcW w:w="1017" w:type="pct"/>
            <w:vAlign w:val="center"/>
          </w:tcPr>
          <w:p w14:paraId="2369FF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ascii="Times New Roman" w:hAnsi="Times New Roman" w:eastAsia="宋体" w:cs="Times New Roman"/>
                <w:szCs w:val="21"/>
              </w:rPr>
            </w:pPr>
            <w:r>
              <w:rPr>
                <w:rFonts w:hint="default" w:ascii="Tahoma" w:hAnsi="Tahoma" w:eastAsia="Tahoma" w:cs="Tahoma"/>
                <w:i w:val="0"/>
                <w:iCs w:val="0"/>
                <w:caps w:val="0"/>
                <w:color w:val="333333"/>
                <w:spacing w:val="0"/>
                <w:sz w:val="22"/>
                <w:szCs w:val="22"/>
                <w:shd w:val="clear" w:fill="FFFFFF"/>
                <w:lang w:val="en-US" w:eastAsia="zh-CN"/>
              </w:rPr>
              <w:t>长江水上交通监测与应急处置中心、中国交通通信信息中心、中国长江三峡集团有限公司</w:t>
            </w:r>
          </w:p>
        </w:tc>
      </w:tr>
      <w:tr w14:paraId="1777F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atLeast"/>
        </w:trPr>
        <w:tc>
          <w:tcPr>
            <w:tcW w:w="169" w:type="pct"/>
            <w:vAlign w:val="center"/>
          </w:tcPr>
          <w:p w14:paraId="47D5A051">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728EC6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2026-28</w:t>
            </w:r>
          </w:p>
        </w:tc>
        <w:tc>
          <w:tcPr>
            <w:tcW w:w="555" w:type="pct"/>
            <w:vAlign w:val="center"/>
          </w:tcPr>
          <w:p w14:paraId="290094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default" w:ascii="Times New Roman" w:hAnsi="Times New Roman" w:eastAsia="宋体" w:cs="Times New Roman"/>
                <w:bCs/>
                <w:sz w:val="22"/>
                <w:szCs w:val="22"/>
                <w:lang w:val="en-US" w:eastAsia="zh-CN"/>
              </w:rPr>
              <w:t>城市交通高质量数据集</w:t>
            </w:r>
            <w:r>
              <w:rPr>
                <w:rFonts w:hint="eastAsia" w:ascii="Times New Roman" w:hAnsi="Times New Roman" w:eastAsia="宋体" w:cs="Times New Roman"/>
                <w:bCs/>
                <w:sz w:val="22"/>
                <w:szCs w:val="22"/>
                <w:lang w:val="en-US" w:eastAsia="zh-CN"/>
              </w:rPr>
              <w:t xml:space="preserve"> </w:t>
            </w:r>
            <w:r>
              <w:rPr>
                <w:rFonts w:hint="default" w:ascii="Times New Roman" w:hAnsi="Times New Roman" w:eastAsia="宋体" w:cs="Times New Roman"/>
                <w:bCs/>
                <w:sz w:val="22"/>
                <w:szCs w:val="22"/>
                <w:lang w:val="en-US" w:eastAsia="zh-CN"/>
              </w:rPr>
              <w:t xml:space="preserve"> 分类与编码</w:t>
            </w:r>
          </w:p>
        </w:tc>
        <w:tc>
          <w:tcPr>
            <w:tcW w:w="1407" w:type="pct"/>
            <w:vAlign w:val="center"/>
          </w:tcPr>
          <w:p w14:paraId="17F423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拟规定城市交通高质量数据集编码与分类的编码规则、分类要求。</w:t>
            </w:r>
          </w:p>
          <w:p w14:paraId="347472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适用于城市交通高质量数据集的编码和分类，为城市交通高质量数据集相关从业者提供了指导和参考。</w:t>
            </w:r>
          </w:p>
        </w:tc>
        <w:tc>
          <w:tcPr>
            <w:tcW w:w="266" w:type="pct"/>
            <w:vAlign w:val="center"/>
          </w:tcPr>
          <w:p w14:paraId="2E9D42BC">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 w:val="21"/>
                <w:szCs w:val="21"/>
              </w:rPr>
            </w:pPr>
            <w:r>
              <w:rPr>
                <w:rFonts w:hint="default" w:ascii="Times New Roman" w:hAnsi="Times New Roman" w:eastAsia="宋体" w:cs="Times New Roman"/>
                <w:bCs/>
                <w:sz w:val="22"/>
                <w:szCs w:val="22"/>
                <w:lang w:val="en-US" w:eastAsia="zh-CN"/>
              </w:rPr>
              <w:t>制定</w:t>
            </w:r>
          </w:p>
        </w:tc>
        <w:tc>
          <w:tcPr>
            <w:tcW w:w="383" w:type="pct"/>
            <w:vAlign w:val="center"/>
          </w:tcPr>
          <w:p w14:paraId="1FAA7A5A">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vAlign w:val="center"/>
          </w:tcPr>
          <w:p w14:paraId="02E2D096">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12</w:t>
            </w:r>
          </w:p>
        </w:tc>
        <w:tc>
          <w:tcPr>
            <w:tcW w:w="390" w:type="pct"/>
            <w:vAlign w:val="center"/>
          </w:tcPr>
          <w:p w14:paraId="60AAD81B">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信息通导标委会</w:t>
            </w:r>
          </w:p>
        </w:tc>
        <w:tc>
          <w:tcPr>
            <w:tcW w:w="1017" w:type="pct"/>
            <w:vAlign w:val="center"/>
          </w:tcPr>
          <w:p w14:paraId="362C26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ascii="Times New Roman" w:hAnsi="Times New Roman" w:eastAsia="宋体" w:cs="Times New Roman"/>
                <w:szCs w:val="21"/>
              </w:rPr>
            </w:pPr>
            <w:r>
              <w:rPr>
                <w:rFonts w:hint="default" w:ascii="Tahoma" w:hAnsi="Tahoma" w:eastAsia="Tahoma" w:cs="Tahoma"/>
                <w:i w:val="0"/>
                <w:iCs w:val="0"/>
                <w:caps w:val="0"/>
                <w:color w:val="333333"/>
                <w:spacing w:val="0"/>
                <w:sz w:val="22"/>
                <w:szCs w:val="22"/>
                <w:shd w:val="clear" w:fill="FFFFFF"/>
                <w:lang w:val="en-US" w:eastAsia="zh-CN"/>
              </w:rPr>
              <w:t>中国交通运输协会、北京安信天行科技有限公司、中交设计咨询集团股份有限公司、深城交科技集团股份有限公司、北京市首都公路发展集团有限公司、广州公交集团、北京明树数据科技有限公司、同济大学、北京云星宇交通科技股份有限公司、北京车网科技发展有限公司、中电云计算技术有限公司</w:t>
            </w:r>
          </w:p>
        </w:tc>
      </w:tr>
      <w:tr w14:paraId="12166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rPr>
        <w:tc>
          <w:tcPr>
            <w:tcW w:w="169" w:type="pct"/>
            <w:vAlign w:val="center"/>
          </w:tcPr>
          <w:p w14:paraId="0DDFC742">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64225A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2026-29</w:t>
            </w:r>
          </w:p>
        </w:tc>
        <w:tc>
          <w:tcPr>
            <w:tcW w:w="555" w:type="pct"/>
            <w:vAlign w:val="center"/>
          </w:tcPr>
          <w:p w14:paraId="779FAA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default" w:ascii="Times New Roman" w:hAnsi="Times New Roman" w:eastAsia="宋体" w:cs="Times New Roman"/>
                <w:bCs/>
                <w:sz w:val="22"/>
                <w:szCs w:val="22"/>
                <w:lang w:val="en-US" w:eastAsia="zh-CN"/>
              </w:rPr>
              <w:t xml:space="preserve">城市交通高质量数据集 </w:t>
            </w:r>
            <w:r>
              <w:rPr>
                <w:rFonts w:hint="eastAsia" w:ascii="Times New Roman" w:hAnsi="Times New Roman" w:eastAsia="宋体" w:cs="Times New Roman"/>
                <w:bCs/>
                <w:sz w:val="22"/>
                <w:szCs w:val="22"/>
                <w:lang w:val="en-US" w:eastAsia="zh-CN"/>
              </w:rPr>
              <w:t xml:space="preserve"> </w:t>
            </w:r>
            <w:r>
              <w:rPr>
                <w:rFonts w:hint="default" w:ascii="Times New Roman" w:hAnsi="Times New Roman" w:eastAsia="宋体" w:cs="Times New Roman"/>
                <w:bCs/>
                <w:sz w:val="22"/>
                <w:szCs w:val="22"/>
                <w:lang w:val="en-US" w:eastAsia="zh-CN"/>
              </w:rPr>
              <w:t>数据标注要求</w:t>
            </w:r>
          </w:p>
        </w:tc>
        <w:tc>
          <w:tcPr>
            <w:tcW w:w="1407" w:type="pct"/>
            <w:vAlign w:val="center"/>
          </w:tcPr>
          <w:p w14:paraId="267B92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拟规定城市交通领城的高质量数据集的数据标注业务具体要求。</w:t>
            </w:r>
          </w:p>
          <w:p w14:paraId="468AB6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适用于城市交通领城高质量数据集的数据标注工作。包括数据标注服务的基本要求、流程规范、质量控制、安全保护、人员管理等方面内容，为城市交通高质量数据集相关从业者提供了指导和参考。</w:t>
            </w:r>
          </w:p>
        </w:tc>
        <w:tc>
          <w:tcPr>
            <w:tcW w:w="266" w:type="pct"/>
            <w:vAlign w:val="center"/>
          </w:tcPr>
          <w:p w14:paraId="2680DFFB">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 w:val="21"/>
                <w:szCs w:val="21"/>
              </w:rPr>
            </w:pPr>
            <w:r>
              <w:rPr>
                <w:rFonts w:hint="default" w:ascii="Times New Roman" w:hAnsi="Times New Roman" w:eastAsia="宋体" w:cs="Times New Roman"/>
                <w:bCs/>
                <w:sz w:val="22"/>
                <w:szCs w:val="22"/>
                <w:lang w:val="en-US" w:eastAsia="zh-CN"/>
              </w:rPr>
              <w:t>制定</w:t>
            </w:r>
          </w:p>
        </w:tc>
        <w:tc>
          <w:tcPr>
            <w:tcW w:w="383" w:type="pct"/>
            <w:vAlign w:val="center"/>
          </w:tcPr>
          <w:p w14:paraId="021DD8C3">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vAlign w:val="center"/>
          </w:tcPr>
          <w:p w14:paraId="58B3ACEB">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12</w:t>
            </w:r>
          </w:p>
        </w:tc>
        <w:tc>
          <w:tcPr>
            <w:tcW w:w="390" w:type="pct"/>
            <w:vAlign w:val="center"/>
          </w:tcPr>
          <w:p w14:paraId="43E381F1">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信息通导标委会</w:t>
            </w:r>
          </w:p>
        </w:tc>
        <w:tc>
          <w:tcPr>
            <w:tcW w:w="1017" w:type="pct"/>
            <w:vAlign w:val="center"/>
          </w:tcPr>
          <w:p w14:paraId="2FA54B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ascii="Times New Roman" w:hAnsi="Times New Roman" w:eastAsia="宋体" w:cs="Times New Roman"/>
                <w:szCs w:val="21"/>
              </w:rPr>
            </w:pPr>
            <w:r>
              <w:rPr>
                <w:rFonts w:hint="default" w:ascii="Tahoma" w:hAnsi="Tahoma" w:eastAsia="Tahoma" w:cs="Tahoma"/>
                <w:i w:val="0"/>
                <w:iCs w:val="0"/>
                <w:caps w:val="0"/>
                <w:color w:val="333333"/>
                <w:spacing w:val="0"/>
                <w:sz w:val="22"/>
                <w:szCs w:val="22"/>
                <w:shd w:val="clear" w:fill="FFFFFF"/>
                <w:lang w:val="en-US" w:eastAsia="zh-CN"/>
              </w:rPr>
              <w:t>中国交通运输协会、中交设计咨询集团股份有限公司、深城交科技集团股份有限公司、北京市首都公路发展集团有限公司、广州公交集团、北京明树数据科技有限公司、同济大学、北京云星字交通科技股份有限公司、北京车网科技发展有限公司、中电云计算技术有限公司</w:t>
            </w:r>
          </w:p>
        </w:tc>
      </w:tr>
      <w:tr w14:paraId="509A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0" w:hRule="atLeast"/>
        </w:trPr>
        <w:tc>
          <w:tcPr>
            <w:tcW w:w="169" w:type="pct"/>
            <w:vAlign w:val="center"/>
          </w:tcPr>
          <w:p w14:paraId="4E9A0C4F">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40BF62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2026-30</w:t>
            </w:r>
          </w:p>
        </w:tc>
        <w:tc>
          <w:tcPr>
            <w:tcW w:w="555" w:type="pct"/>
            <w:vAlign w:val="center"/>
          </w:tcPr>
          <w:p w14:paraId="1F46E7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default" w:ascii="Times New Roman" w:hAnsi="Times New Roman" w:eastAsia="宋体" w:cs="Times New Roman"/>
                <w:bCs/>
                <w:sz w:val="22"/>
                <w:szCs w:val="22"/>
                <w:lang w:val="en-US" w:eastAsia="zh-CN"/>
              </w:rPr>
              <w:t xml:space="preserve">城市交通高质量数据集 </w:t>
            </w:r>
            <w:r>
              <w:rPr>
                <w:rFonts w:hint="eastAsia" w:ascii="Times New Roman" w:hAnsi="Times New Roman" w:eastAsia="宋体" w:cs="Times New Roman"/>
                <w:bCs/>
                <w:sz w:val="22"/>
                <w:szCs w:val="22"/>
                <w:lang w:val="en-US" w:eastAsia="zh-CN"/>
              </w:rPr>
              <w:t xml:space="preserve"> </w:t>
            </w:r>
            <w:r>
              <w:rPr>
                <w:rFonts w:hint="default" w:ascii="Times New Roman" w:hAnsi="Times New Roman" w:eastAsia="宋体" w:cs="Times New Roman"/>
                <w:bCs/>
                <w:sz w:val="22"/>
                <w:szCs w:val="22"/>
                <w:lang w:val="en-US" w:eastAsia="zh-CN"/>
              </w:rPr>
              <w:t>质量评测规范</w:t>
            </w:r>
          </w:p>
        </w:tc>
        <w:tc>
          <w:tcPr>
            <w:tcW w:w="1407" w:type="pct"/>
            <w:vAlign w:val="center"/>
          </w:tcPr>
          <w:p w14:paraId="3E5969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拟规定城市交通领域的高质量数据集的质量测评指标要求、高质量数据集测评细则。</w:t>
            </w:r>
          </w:p>
          <w:p w14:paraId="62FA67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适用于城市交通领域高质量数据集的数据标注工作，为城市交通高质量数据集相关从业者提供了指导和参考。</w:t>
            </w:r>
          </w:p>
        </w:tc>
        <w:tc>
          <w:tcPr>
            <w:tcW w:w="266" w:type="pct"/>
            <w:vAlign w:val="center"/>
          </w:tcPr>
          <w:p w14:paraId="6D156F01">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 w:val="21"/>
                <w:szCs w:val="21"/>
              </w:rPr>
            </w:pPr>
            <w:r>
              <w:rPr>
                <w:rFonts w:hint="default" w:ascii="Times New Roman" w:hAnsi="Times New Roman" w:eastAsia="宋体" w:cs="Times New Roman"/>
                <w:bCs/>
                <w:sz w:val="22"/>
                <w:szCs w:val="22"/>
                <w:lang w:val="en-US" w:eastAsia="zh-CN"/>
              </w:rPr>
              <w:t>制定</w:t>
            </w:r>
          </w:p>
        </w:tc>
        <w:tc>
          <w:tcPr>
            <w:tcW w:w="383" w:type="pct"/>
            <w:vAlign w:val="center"/>
          </w:tcPr>
          <w:p w14:paraId="441D4418">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vAlign w:val="center"/>
          </w:tcPr>
          <w:p w14:paraId="2A3E61C6">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12</w:t>
            </w:r>
          </w:p>
        </w:tc>
        <w:tc>
          <w:tcPr>
            <w:tcW w:w="390" w:type="pct"/>
            <w:vAlign w:val="center"/>
          </w:tcPr>
          <w:p w14:paraId="5586064E">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信息通导标委会</w:t>
            </w:r>
          </w:p>
        </w:tc>
        <w:tc>
          <w:tcPr>
            <w:tcW w:w="1017" w:type="pct"/>
            <w:vAlign w:val="center"/>
          </w:tcPr>
          <w:p w14:paraId="0A7377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ascii="Times New Roman" w:hAnsi="Times New Roman" w:eastAsia="宋体" w:cs="Times New Roman"/>
                <w:szCs w:val="21"/>
              </w:rPr>
            </w:pPr>
            <w:r>
              <w:rPr>
                <w:rFonts w:hint="default" w:ascii="Tahoma" w:hAnsi="Tahoma" w:eastAsia="Tahoma" w:cs="Tahoma"/>
                <w:i w:val="0"/>
                <w:iCs w:val="0"/>
                <w:caps w:val="0"/>
                <w:color w:val="333333"/>
                <w:spacing w:val="0"/>
                <w:sz w:val="22"/>
                <w:szCs w:val="22"/>
                <w:shd w:val="clear" w:fill="FFFFFF"/>
                <w:lang w:val="en-US" w:eastAsia="zh-CN"/>
              </w:rPr>
              <w:t>中国交通运输协会、中交设计咨询集团股份有限公司、深城交科技集团股份有限公司、北京市首都公路发展集团有限公司、广州公交集团、北京明树数据科技有限公司、同济大学、北京云星宇交通科技股份有限公司、北京车网科技发展有限公司、中电云计算技术有限公司</w:t>
            </w:r>
          </w:p>
        </w:tc>
      </w:tr>
      <w:tr w14:paraId="20F9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 w:type="pct"/>
            <w:vAlign w:val="center"/>
          </w:tcPr>
          <w:p w14:paraId="1B320FF6">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2B024F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2026-31</w:t>
            </w:r>
          </w:p>
        </w:tc>
        <w:tc>
          <w:tcPr>
            <w:tcW w:w="555" w:type="pct"/>
            <w:vAlign w:val="center"/>
          </w:tcPr>
          <w:p w14:paraId="1BB992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default" w:ascii="Times New Roman" w:hAnsi="Times New Roman" w:eastAsia="宋体" w:cs="Times New Roman"/>
                <w:bCs/>
                <w:sz w:val="22"/>
                <w:szCs w:val="22"/>
                <w:lang w:val="en-US" w:eastAsia="zh-CN"/>
              </w:rPr>
              <w:t>国家综合交通运输信息平台信用监管系统总体技术要求</w:t>
            </w:r>
          </w:p>
        </w:tc>
        <w:tc>
          <w:tcPr>
            <w:tcW w:w="1407" w:type="pct"/>
            <w:vAlign w:val="center"/>
          </w:tcPr>
          <w:p w14:paraId="07AE2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拟规定国家综合交通运输信点平合信用赂管系统的组成。</w:t>
            </w:r>
            <w:r>
              <w:rPr>
                <w:rFonts w:hint="eastAsia" w:ascii="Times New Roman" w:hAnsi="Times New Roman" w:eastAsia="宋体" w:cs="Times New Roman"/>
                <w:bCs/>
                <w:sz w:val="22"/>
                <w:szCs w:val="22"/>
                <w:lang w:val="en-US" w:eastAsia="zh-CN"/>
              </w:rPr>
              <w:t xml:space="preserve">  </w:t>
            </w:r>
            <w:r>
              <w:rPr>
                <w:rFonts w:hint="default" w:ascii="Times New Roman" w:hAnsi="Times New Roman" w:eastAsia="宋体" w:cs="Times New Roman"/>
                <w:bCs/>
                <w:sz w:val="22"/>
                <w:szCs w:val="22"/>
                <w:lang w:val="en-US" w:eastAsia="zh-CN"/>
              </w:rPr>
              <w:t>总体架构，以及信用承诺、信用档案、信用评价、结果公示、异议申诉、分级分类监管、信用培训、信用修复和信用监测分析的功能组成和服务实现要求。</w:t>
            </w:r>
          </w:p>
          <w:p w14:paraId="244B5E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适用于国家综合交通运输信息平台信用监管系统设计与应用。</w:t>
            </w:r>
          </w:p>
        </w:tc>
        <w:tc>
          <w:tcPr>
            <w:tcW w:w="266" w:type="pct"/>
            <w:vAlign w:val="center"/>
          </w:tcPr>
          <w:p w14:paraId="4125B7AE">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 w:val="21"/>
                <w:szCs w:val="21"/>
              </w:rPr>
            </w:pPr>
            <w:r>
              <w:rPr>
                <w:rFonts w:hint="default" w:ascii="Times New Roman" w:hAnsi="Times New Roman" w:eastAsia="宋体" w:cs="Times New Roman"/>
                <w:bCs/>
                <w:sz w:val="22"/>
                <w:szCs w:val="22"/>
                <w:lang w:val="en-US" w:eastAsia="zh-CN"/>
              </w:rPr>
              <w:t>制定</w:t>
            </w:r>
          </w:p>
        </w:tc>
        <w:tc>
          <w:tcPr>
            <w:tcW w:w="383" w:type="pct"/>
            <w:vAlign w:val="center"/>
          </w:tcPr>
          <w:p w14:paraId="1751D1E5">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vAlign w:val="center"/>
          </w:tcPr>
          <w:p w14:paraId="56C7F603">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12</w:t>
            </w:r>
          </w:p>
        </w:tc>
        <w:tc>
          <w:tcPr>
            <w:tcW w:w="390" w:type="pct"/>
            <w:vAlign w:val="center"/>
          </w:tcPr>
          <w:p w14:paraId="6B7C5698">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信息通导标委会</w:t>
            </w:r>
          </w:p>
        </w:tc>
        <w:tc>
          <w:tcPr>
            <w:tcW w:w="1017" w:type="pct"/>
            <w:vAlign w:val="center"/>
          </w:tcPr>
          <w:p w14:paraId="501A68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ascii="Times New Roman" w:hAnsi="Times New Roman" w:eastAsia="宋体" w:cs="Times New Roman"/>
                <w:szCs w:val="21"/>
              </w:rPr>
            </w:pPr>
            <w:r>
              <w:rPr>
                <w:rFonts w:hint="default" w:ascii="Tahoma" w:hAnsi="Tahoma" w:eastAsia="Tahoma" w:cs="Tahoma"/>
                <w:i w:val="0"/>
                <w:iCs w:val="0"/>
                <w:caps w:val="0"/>
                <w:color w:val="333333"/>
                <w:spacing w:val="0"/>
                <w:sz w:val="22"/>
                <w:szCs w:val="22"/>
                <w:shd w:val="clear" w:fill="FFFFFF"/>
                <w:lang w:val="en-US" w:eastAsia="zh-CN"/>
              </w:rPr>
              <w:t>交科院数智科技（北京）有限公司、交通运输部科学研究院</w:t>
            </w:r>
          </w:p>
        </w:tc>
      </w:tr>
      <w:tr w14:paraId="1711B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69" w:type="pct"/>
            <w:vAlign w:val="center"/>
          </w:tcPr>
          <w:p w14:paraId="4577622C">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434B49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2026-32</w:t>
            </w:r>
          </w:p>
        </w:tc>
        <w:tc>
          <w:tcPr>
            <w:tcW w:w="555" w:type="pct"/>
            <w:shd w:val="clear" w:color="auto" w:fill="auto"/>
            <w:vAlign w:val="center"/>
          </w:tcPr>
          <w:p w14:paraId="5B28F6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default" w:ascii="Times New Roman" w:hAnsi="Times New Roman" w:eastAsia="宋体" w:cs="Times New Roman"/>
                <w:bCs/>
                <w:sz w:val="22"/>
                <w:szCs w:val="22"/>
                <w:lang w:val="en-US" w:eastAsia="zh-CN"/>
              </w:rPr>
              <w:t>国家综合交通运输信息平台信用监管业务协同与信息交换技术要求</w:t>
            </w:r>
          </w:p>
        </w:tc>
        <w:tc>
          <w:tcPr>
            <w:tcW w:w="1407" w:type="pct"/>
            <w:shd w:val="clear" w:color="auto" w:fill="auto"/>
            <w:vAlign w:val="center"/>
          </w:tcPr>
          <w:p w14:paraId="01D77E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拟规定国家综合交通运输信息平台信用监管业务协同与信息交换的框架、通用要求、交换原则、业务联动与信息交换要求、接口技术要求。</w:t>
            </w:r>
          </w:p>
          <w:p w14:paraId="078F91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适用于交通运输行业信用信息与行业内部、跨部门、跨行业业务系统之间的数据交换与对接。适用于国家综合交通运输信息平台信用信息数据共享。</w:t>
            </w:r>
          </w:p>
        </w:tc>
        <w:tc>
          <w:tcPr>
            <w:tcW w:w="266" w:type="pct"/>
            <w:shd w:val="clear" w:color="auto" w:fill="auto"/>
            <w:vAlign w:val="center"/>
          </w:tcPr>
          <w:p w14:paraId="687AEC3F">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制定</w:t>
            </w:r>
          </w:p>
        </w:tc>
        <w:tc>
          <w:tcPr>
            <w:tcW w:w="383" w:type="pct"/>
            <w:shd w:val="clear" w:color="auto" w:fill="auto"/>
            <w:vAlign w:val="center"/>
          </w:tcPr>
          <w:p w14:paraId="1410EC7E">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shd w:val="clear" w:color="auto" w:fill="auto"/>
            <w:vAlign w:val="center"/>
          </w:tcPr>
          <w:p w14:paraId="5E32E1BA">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12</w:t>
            </w:r>
          </w:p>
        </w:tc>
        <w:tc>
          <w:tcPr>
            <w:tcW w:w="390" w:type="pct"/>
            <w:shd w:val="clear" w:color="auto" w:fill="auto"/>
            <w:vAlign w:val="center"/>
          </w:tcPr>
          <w:p w14:paraId="4D728E8B">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信息通导标委会</w:t>
            </w:r>
          </w:p>
        </w:tc>
        <w:tc>
          <w:tcPr>
            <w:tcW w:w="1017" w:type="pct"/>
            <w:shd w:val="clear" w:color="auto" w:fill="auto"/>
            <w:vAlign w:val="center"/>
          </w:tcPr>
          <w:p w14:paraId="59CAED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ascii="Times New Roman" w:hAnsi="Times New Roman" w:eastAsia="宋体" w:cs="Times New Roman"/>
                <w:szCs w:val="21"/>
              </w:rPr>
            </w:pPr>
            <w:r>
              <w:rPr>
                <w:rFonts w:hint="default" w:ascii="Tahoma" w:hAnsi="Tahoma" w:eastAsia="Tahoma" w:cs="Tahoma"/>
                <w:i w:val="0"/>
                <w:iCs w:val="0"/>
                <w:caps w:val="0"/>
                <w:color w:val="333333"/>
                <w:spacing w:val="0"/>
                <w:sz w:val="22"/>
                <w:szCs w:val="22"/>
                <w:shd w:val="clear" w:fill="FFFFFF"/>
                <w:lang w:val="en-US" w:eastAsia="zh-CN"/>
              </w:rPr>
              <w:t>交科院数智科技（北京）有限公司、交通运输部科学研究院</w:t>
            </w:r>
          </w:p>
        </w:tc>
      </w:tr>
      <w:tr w14:paraId="67D1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169" w:type="pct"/>
            <w:vAlign w:val="center"/>
          </w:tcPr>
          <w:p w14:paraId="026D5E4E">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68DCCF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2026-33</w:t>
            </w:r>
          </w:p>
        </w:tc>
        <w:tc>
          <w:tcPr>
            <w:tcW w:w="555" w:type="pct"/>
            <w:shd w:val="clear" w:color="auto" w:fill="auto"/>
            <w:vAlign w:val="center"/>
          </w:tcPr>
          <w:p w14:paraId="02DA73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default" w:ascii="Times New Roman" w:hAnsi="Times New Roman" w:eastAsia="宋体" w:cs="Times New Roman"/>
                <w:bCs/>
                <w:sz w:val="22"/>
                <w:szCs w:val="22"/>
                <w:lang w:val="en-US" w:eastAsia="zh-CN"/>
              </w:rPr>
              <w:t>国家综合交通运输信息平台信用信息数据指标规范</w:t>
            </w:r>
          </w:p>
        </w:tc>
        <w:tc>
          <w:tcPr>
            <w:tcW w:w="1407" w:type="pct"/>
            <w:shd w:val="clear" w:color="auto" w:fill="auto"/>
            <w:vAlign w:val="center"/>
          </w:tcPr>
          <w:p w14:paraId="5090F5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拟规定国家综合交通运输信息平台信用监管所需的登记注册基本信息、行政管理信息、职称和职业信息、严重失信主体名单信息、信用承诺及履行情况信息、信用评价结果信息、诚实守信相关荣誉信息和经营主体自愿提供的信用信息等的数据要求。</w:t>
            </w:r>
          </w:p>
          <w:p w14:paraId="1233B2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适用于国家综合交通运输信息平台交通运输行业信用信息数据的归集采集及共享交换。</w:t>
            </w:r>
          </w:p>
        </w:tc>
        <w:tc>
          <w:tcPr>
            <w:tcW w:w="266" w:type="pct"/>
            <w:shd w:val="clear" w:color="auto" w:fill="auto"/>
            <w:vAlign w:val="center"/>
          </w:tcPr>
          <w:p w14:paraId="64EC2768">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制定</w:t>
            </w:r>
          </w:p>
        </w:tc>
        <w:tc>
          <w:tcPr>
            <w:tcW w:w="383" w:type="pct"/>
            <w:shd w:val="clear" w:color="auto" w:fill="auto"/>
            <w:vAlign w:val="center"/>
          </w:tcPr>
          <w:p w14:paraId="2B9279EE">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shd w:val="clear" w:color="auto" w:fill="auto"/>
            <w:vAlign w:val="center"/>
          </w:tcPr>
          <w:p w14:paraId="0C38FD65">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12</w:t>
            </w:r>
          </w:p>
        </w:tc>
        <w:tc>
          <w:tcPr>
            <w:tcW w:w="390" w:type="pct"/>
            <w:shd w:val="clear" w:color="auto" w:fill="auto"/>
            <w:vAlign w:val="center"/>
          </w:tcPr>
          <w:p w14:paraId="4FC0E99C">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信息通导标委会</w:t>
            </w:r>
          </w:p>
        </w:tc>
        <w:tc>
          <w:tcPr>
            <w:tcW w:w="1017" w:type="pct"/>
            <w:shd w:val="clear" w:color="auto" w:fill="auto"/>
            <w:vAlign w:val="center"/>
          </w:tcPr>
          <w:p w14:paraId="7F3499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ascii="Times New Roman" w:hAnsi="Times New Roman" w:eastAsia="宋体" w:cs="Times New Roman"/>
                <w:szCs w:val="21"/>
              </w:rPr>
            </w:pPr>
            <w:r>
              <w:rPr>
                <w:rFonts w:hint="default" w:ascii="Tahoma" w:hAnsi="Tahoma" w:eastAsia="Tahoma" w:cs="Tahoma"/>
                <w:i w:val="0"/>
                <w:iCs w:val="0"/>
                <w:caps w:val="0"/>
                <w:color w:val="333333"/>
                <w:spacing w:val="0"/>
                <w:sz w:val="22"/>
                <w:szCs w:val="22"/>
                <w:shd w:val="clear" w:fill="FFFFFF"/>
                <w:lang w:val="en-US" w:eastAsia="zh-CN"/>
              </w:rPr>
              <w:t>交科院数智科技（北京）有限公司、交通运输部科学研究院</w:t>
            </w:r>
          </w:p>
        </w:tc>
      </w:tr>
      <w:tr w14:paraId="5D78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69" w:type="pct"/>
            <w:vAlign w:val="center"/>
          </w:tcPr>
          <w:p w14:paraId="262D9395">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327712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rPr>
            </w:pPr>
            <w:r>
              <w:rPr>
                <w:rFonts w:hint="eastAsia" w:ascii="Times New Roman" w:hAnsi="Times New Roman" w:eastAsia="宋体" w:cs="Times New Roman"/>
                <w:bCs/>
                <w:sz w:val="22"/>
                <w:szCs w:val="22"/>
                <w:lang w:val="en-US" w:eastAsia="zh-CN"/>
              </w:rPr>
              <w:t>JT 2026-34</w:t>
            </w:r>
          </w:p>
        </w:tc>
        <w:tc>
          <w:tcPr>
            <w:tcW w:w="555" w:type="pct"/>
            <w:shd w:val="clear" w:color="auto" w:fill="auto"/>
            <w:vAlign w:val="center"/>
          </w:tcPr>
          <w:p w14:paraId="566FF3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Cs w:val="21"/>
              </w:rPr>
            </w:pPr>
            <w:r>
              <w:rPr>
                <w:rFonts w:hint="default" w:ascii="Times New Roman" w:hAnsi="Times New Roman" w:eastAsia="宋体" w:cs="Times New Roman"/>
                <w:bCs/>
                <w:sz w:val="22"/>
                <w:szCs w:val="22"/>
                <w:lang w:val="en-US" w:eastAsia="zh-CN"/>
              </w:rPr>
              <w:t>台风天气交通运输主要监测指标及数据要求</w:t>
            </w:r>
          </w:p>
        </w:tc>
        <w:tc>
          <w:tcPr>
            <w:tcW w:w="1407" w:type="pct"/>
            <w:shd w:val="clear" w:color="auto" w:fill="auto"/>
            <w:vAlign w:val="center"/>
          </w:tcPr>
          <w:p w14:paraId="1685F6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拟规定台风天气时交通运输运行监测的总体要求、基础设施监测指标、客货运输监测指标、工程建设监测指标、应急准备监测指标，以及监测数据获取、归集、应用及管理的要求。</w:t>
            </w:r>
          </w:p>
          <w:p w14:paraId="2FD648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适用于台风天气影响期间，各级交通运输主管部门、交通运输运营单位及受委托的专业机构开展交通运输运行监测工作。</w:t>
            </w:r>
          </w:p>
        </w:tc>
        <w:tc>
          <w:tcPr>
            <w:tcW w:w="266" w:type="pct"/>
            <w:shd w:val="clear" w:color="auto" w:fill="auto"/>
            <w:vAlign w:val="center"/>
          </w:tcPr>
          <w:p w14:paraId="16C30836">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制定</w:t>
            </w:r>
          </w:p>
        </w:tc>
        <w:tc>
          <w:tcPr>
            <w:tcW w:w="383" w:type="pct"/>
            <w:shd w:val="clear" w:color="auto" w:fill="auto"/>
            <w:vAlign w:val="center"/>
          </w:tcPr>
          <w:p w14:paraId="2AC19CEF">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shd w:val="clear" w:color="auto" w:fill="auto"/>
            <w:vAlign w:val="center"/>
          </w:tcPr>
          <w:p w14:paraId="2DE627DF">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12</w:t>
            </w:r>
          </w:p>
        </w:tc>
        <w:tc>
          <w:tcPr>
            <w:tcW w:w="390" w:type="pct"/>
            <w:shd w:val="clear" w:color="auto" w:fill="auto"/>
            <w:vAlign w:val="center"/>
          </w:tcPr>
          <w:p w14:paraId="2ECB9929">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sz w:val="21"/>
                <w:szCs w:val="21"/>
              </w:rPr>
            </w:pPr>
            <w:r>
              <w:rPr>
                <w:rFonts w:hint="default" w:ascii="Times New Roman" w:hAnsi="Times New Roman" w:eastAsia="宋体" w:cs="Times New Roman"/>
                <w:bCs/>
                <w:sz w:val="22"/>
                <w:szCs w:val="22"/>
                <w:lang w:val="en-US" w:eastAsia="zh-CN"/>
              </w:rPr>
              <w:t>信息通导标委会</w:t>
            </w:r>
          </w:p>
        </w:tc>
        <w:tc>
          <w:tcPr>
            <w:tcW w:w="1017" w:type="pct"/>
            <w:shd w:val="clear" w:color="auto" w:fill="auto"/>
            <w:vAlign w:val="center"/>
          </w:tcPr>
          <w:p w14:paraId="75A5B9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ascii="Times New Roman" w:hAnsi="Times New Roman" w:eastAsia="宋体" w:cs="Times New Roman"/>
                <w:szCs w:val="21"/>
              </w:rPr>
            </w:pPr>
            <w:r>
              <w:rPr>
                <w:rFonts w:hint="default" w:ascii="Tahoma" w:hAnsi="Tahoma" w:eastAsia="Tahoma" w:cs="Tahoma"/>
                <w:i w:val="0"/>
                <w:iCs w:val="0"/>
                <w:caps w:val="0"/>
                <w:color w:val="333333"/>
                <w:spacing w:val="0"/>
                <w:sz w:val="22"/>
                <w:szCs w:val="22"/>
                <w:shd w:val="clear" w:fill="FFFFFF"/>
                <w:lang w:val="en-US" w:eastAsia="zh-CN"/>
              </w:rPr>
              <w:t>交通运输部科学研究院、交通运输部公路科学研究所、交通运输部路网监测与应急处置中心</w:t>
            </w:r>
            <w:r>
              <w:rPr>
                <w:rFonts w:hint="eastAsia" w:ascii="Tahoma" w:hAnsi="Tahoma" w:eastAsia="Tahoma" w:cs="Tahoma"/>
                <w:i w:val="0"/>
                <w:iCs w:val="0"/>
                <w:caps w:val="0"/>
                <w:color w:val="333333"/>
                <w:spacing w:val="0"/>
                <w:sz w:val="22"/>
                <w:szCs w:val="22"/>
                <w:shd w:val="clear" w:fill="FFFFFF"/>
                <w:lang w:val="en-US" w:eastAsia="zh-CN"/>
              </w:rPr>
              <w:t>、</w:t>
            </w:r>
            <w:r>
              <w:rPr>
                <w:rFonts w:hint="default" w:ascii="Tahoma" w:hAnsi="Tahoma" w:eastAsia="Tahoma" w:cs="Tahoma"/>
                <w:i w:val="0"/>
                <w:iCs w:val="0"/>
                <w:caps w:val="0"/>
                <w:color w:val="333333"/>
                <w:spacing w:val="0"/>
                <w:sz w:val="22"/>
                <w:szCs w:val="22"/>
                <w:shd w:val="clear" w:fill="FFFFFF"/>
                <w:lang w:val="en-US" w:eastAsia="zh-CN"/>
              </w:rPr>
              <w:t>交通运输部</w:t>
            </w:r>
            <w:r>
              <w:rPr>
                <w:rFonts w:hint="eastAsia" w:ascii="Tahoma" w:hAnsi="Tahoma" w:eastAsia="Tahoma" w:cs="Tahoma"/>
                <w:i w:val="0"/>
                <w:iCs w:val="0"/>
                <w:caps w:val="0"/>
                <w:color w:val="333333"/>
                <w:spacing w:val="0"/>
                <w:sz w:val="22"/>
                <w:szCs w:val="22"/>
                <w:shd w:val="clear" w:fill="FFFFFF"/>
                <w:lang w:val="en-US" w:eastAsia="zh-CN"/>
              </w:rPr>
              <w:t>水运</w:t>
            </w:r>
            <w:r>
              <w:rPr>
                <w:rFonts w:hint="default" w:ascii="Tahoma" w:hAnsi="Tahoma" w:eastAsia="Tahoma" w:cs="Tahoma"/>
                <w:i w:val="0"/>
                <w:iCs w:val="0"/>
                <w:caps w:val="0"/>
                <w:color w:val="333333"/>
                <w:spacing w:val="0"/>
                <w:sz w:val="22"/>
                <w:szCs w:val="22"/>
                <w:shd w:val="clear" w:fill="FFFFFF"/>
                <w:lang w:val="en-US" w:eastAsia="zh-CN"/>
              </w:rPr>
              <w:t>科学研究所</w:t>
            </w:r>
          </w:p>
        </w:tc>
      </w:tr>
      <w:tr w14:paraId="7AD5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69" w:type="pct"/>
            <w:vAlign w:val="center"/>
          </w:tcPr>
          <w:p w14:paraId="2F11BB2B">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186C7C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lang w:val="en-US" w:eastAsia="zh-CN"/>
              </w:rPr>
            </w:pPr>
            <w:r>
              <w:rPr>
                <w:rFonts w:hint="eastAsia" w:ascii="Times New Roman" w:hAnsi="Times New Roman" w:eastAsia="宋体" w:cs="Times New Roman"/>
                <w:bCs/>
                <w:sz w:val="22"/>
                <w:szCs w:val="22"/>
                <w:lang w:val="en-US" w:eastAsia="zh-CN"/>
              </w:rPr>
              <w:t>JT 2026-35</w:t>
            </w:r>
          </w:p>
        </w:tc>
        <w:tc>
          <w:tcPr>
            <w:tcW w:w="555" w:type="pct"/>
            <w:shd w:val="clear" w:color="auto" w:fill="auto"/>
            <w:vAlign w:val="center"/>
          </w:tcPr>
          <w:p w14:paraId="335FF5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bCs/>
                <w:sz w:val="22"/>
                <w:szCs w:val="22"/>
                <w:lang w:val="en-US" w:eastAsia="zh-CN"/>
              </w:rPr>
              <w:t>交通运输数据安全监测预警技术要求</w:t>
            </w:r>
          </w:p>
        </w:tc>
        <w:tc>
          <w:tcPr>
            <w:tcW w:w="1407" w:type="pct"/>
            <w:shd w:val="clear" w:color="auto" w:fill="auto"/>
            <w:vAlign w:val="center"/>
          </w:tcPr>
          <w:p w14:paraId="7898FE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拟规定交通运输数据安全监测预警的框架、通用要求、监测要求和预警要求。</w:t>
            </w:r>
          </w:p>
          <w:p w14:paraId="424183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bCs/>
                <w:sz w:val="22"/>
                <w:szCs w:val="22"/>
                <w:lang w:val="en-US" w:eastAsia="zh-CN"/>
              </w:rPr>
              <w:t>适用于交通运输主管部门开展数据安全风险监测工作，以及交通运输数据处理者开展数据安全监测预警能力建设。</w:t>
            </w:r>
          </w:p>
        </w:tc>
        <w:tc>
          <w:tcPr>
            <w:tcW w:w="266" w:type="pct"/>
            <w:shd w:val="clear" w:color="auto" w:fill="auto"/>
            <w:vAlign w:val="center"/>
          </w:tcPr>
          <w:p w14:paraId="49F5FB2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bCs/>
                <w:sz w:val="22"/>
                <w:szCs w:val="22"/>
                <w:lang w:val="en-US" w:eastAsia="zh-CN"/>
              </w:rPr>
              <w:t>制定</w:t>
            </w:r>
          </w:p>
        </w:tc>
        <w:tc>
          <w:tcPr>
            <w:tcW w:w="383" w:type="pct"/>
            <w:shd w:val="clear" w:color="auto" w:fill="auto"/>
            <w:vAlign w:val="center"/>
          </w:tcPr>
          <w:p w14:paraId="0EFFEB12">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shd w:val="clear" w:color="auto" w:fill="auto"/>
            <w:vAlign w:val="center"/>
          </w:tcPr>
          <w:p w14:paraId="67F1EBC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bCs/>
                <w:sz w:val="22"/>
                <w:szCs w:val="22"/>
                <w:lang w:val="en-US" w:eastAsia="zh-CN"/>
              </w:rPr>
              <w:t>12</w:t>
            </w:r>
          </w:p>
        </w:tc>
        <w:tc>
          <w:tcPr>
            <w:tcW w:w="390" w:type="pct"/>
            <w:shd w:val="clear" w:color="auto" w:fill="auto"/>
            <w:vAlign w:val="center"/>
          </w:tcPr>
          <w:p w14:paraId="7AE731E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宋体"/>
                <w:bCs/>
                <w:sz w:val="21"/>
                <w:szCs w:val="21"/>
                <w:lang w:val="en-US" w:eastAsia="zh-CN"/>
              </w:rPr>
            </w:pPr>
            <w:r>
              <w:rPr>
                <w:rFonts w:hint="default" w:ascii="Times New Roman" w:hAnsi="Times New Roman" w:eastAsia="宋体" w:cs="Times New Roman"/>
                <w:bCs/>
                <w:sz w:val="22"/>
                <w:szCs w:val="22"/>
                <w:lang w:val="en-US" w:eastAsia="zh-CN"/>
              </w:rPr>
              <w:t>信息通导标委会</w:t>
            </w:r>
          </w:p>
        </w:tc>
        <w:tc>
          <w:tcPr>
            <w:tcW w:w="1017" w:type="pct"/>
            <w:shd w:val="clear" w:color="auto" w:fill="auto"/>
            <w:vAlign w:val="center"/>
          </w:tcPr>
          <w:p w14:paraId="08637E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hint="eastAsia" w:ascii="Times New Roman" w:hAnsi="Times New Roman" w:eastAsia="宋体" w:cs="Times New Roman"/>
                <w:szCs w:val="21"/>
                <w:lang w:val="en-US" w:eastAsia="zh-CN"/>
              </w:rPr>
            </w:pPr>
            <w:r>
              <w:rPr>
                <w:rFonts w:hint="default" w:ascii="Tahoma" w:hAnsi="Tahoma" w:eastAsia="Tahoma" w:cs="Tahoma"/>
                <w:i w:val="0"/>
                <w:iCs w:val="0"/>
                <w:caps w:val="0"/>
                <w:color w:val="333333"/>
                <w:spacing w:val="0"/>
                <w:sz w:val="22"/>
                <w:szCs w:val="22"/>
                <w:shd w:val="clear" w:fill="FFFFFF"/>
                <w:lang w:val="en-US" w:eastAsia="zh-CN"/>
              </w:rPr>
              <w:t>交通运输部科学研究院、中国交通通信信息中心、深信服科技股份有限公司</w:t>
            </w:r>
          </w:p>
        </w:tc>
      </w:tr>
      <w:tr w14:paraId="32BB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69" w:type="pct"/>
            <w:vAlign w:val="center"/>
          </w:tcPr>
          <w:p w14:paraId="07F09F4B">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746180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lang w:val="en-US" w:eastAsia="zh-CN"/>
              </w:rPr>
            </w:pPr>
            <w:r>
              <w:rPr>
                <w:rFonts w:hint="eastAsia" w:ascii="Times New Roman" w:hAnsi="Times New Roman" w:eastAsia="宋体" w:cs="Times New Roman"/>
                <w:bCs/>
                <w:sz w:val="22"/>
                <w:szCs w:val="22"/>
                <w:lang w:val="en-US" w:eastAsia="zh-CN"/>
              </w:rPr>
              <w:t>JT 2026-36</w:t>
            </w:r>
          </w:p>
        </w:tc>
        <w:tc>
          <w:tcPr>
            <w:tcW w:w="555" w:type="pct"/>
            <w:shd w:val="clear" w:color="auto" w:fill="auto"/>
            <w:vAlign w:val="center"/>
          </w:tcPr>
          <w:p w14:paraId="618452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bCs/>
                <w:sz w:val="22"/>
                <w:szCs w:val="22"/>
                <w:lang w:val="en-US" w:eastAsia="zh-CN"/>
              </w:rPr>
              <w:t>水上交通违法行为代码</w:t>
            </w:r>
          </w:p>
        </w:tc>
        <w:tc>
          <w:tcPr>
            <w:tcW w:w="1407" w:type="pct"/>
            <w:shd w:val="clear" w:color="auto" w:fill="auto"/>
            <w:vAlign w:val="center"/>
          </w:tcPr>
          <w:p w14:paraId="172C1A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现行标准规定了水上交通违法行为代码的编码原则、编码规则和代码表。</w:t>
            </w:r>
          </w:p>
          <w:p w14:paraId="1FB34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适用于海事管理机构对水上交通违法行为的标识、信息处理和交换。</w:t>
            </w:r>
          </w:p>
          <w:p w14:paraId="453E8D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bCs/>
                <w:sz w:val="22"/>
                <w:szCs w:val="22"/>
                <w:lang w:val="en-US" w:eastAsia="zh-CN"/>
              </w:rPr>
              <w:t>主要修订内容</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1.增加了主代码、扩展码术语和定义</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2.更改了编码规则，采用主代码</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扩展码的混合分类法进行编码，完善了代码修订内容</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3.更改了水上交通违法行为代码内容，以反映最新的法律、法规和规章的规定，并将水上交通违法行为代码作为本标准的附录进行呈现。</w:t>
            </w:r>
          </w:p>
        </w:tc>
        <w:tc>
          <w:tcPr>
            <w:tcW w:w="266" w:type="pct"/>
            <w:shd w:val="clear" w:color="auto" w:fill="auto"/>
            <w:vAlign w:val="center"/>
          </w:tcPr>
          <w:p w14:paraId="3BB02FA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bCs/>
                <w:sz w:val="22"/>
                <w:szCs w:val="22"/>
                <w:lang w:val="en-US" w:eastAsia="zh-CN"/>
              </w:rPr>
              <w:t>修订</w:t>
            </w:r>
          </w:p>
        </w:tc>
        <w:tc>
          <w:tcPr>
            <w:tcW w:w="383" w:type="pct"/>
            <w:shd w:val="clear" w:color="auto" w:fill="auto"/>
            <w:vAlign w:val="center"/>
          </w:tcPr>
          <w:p w14:paraId="25FA8893">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r>
              <w:rPr>
                <w:rFonts w:hint="default" w:ascii="Times New Roman" w:hAnsi="Times New Roman" w:eastAsia="宋体" w:cs="Times New Roman"/>
                <w:bCs/>
                <w:sz w:val="22"/>
                <w:szCs w:val="22"/>
                <w:lang w:val="en-US" w:eastAsia="zh-CN"/>
              </w:rPr>
              <w:t>JT/T 829</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2012</w:t>
            </w:r>
          </w:p>
        </w:tc>
        <w:tc>
          <w:tcPr>
            <w:tcW w:w="390" w:type="pct"/>
            <w:shd w:val="clear" w:color="auto" w:fill="auto"/>
            <w:vAlign w:val="center"/>
          </w:tcPr>
          <w:p w14:paraId="33B1799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bCs/>
                <w:sz w:val="22"/>
                <w:szCs w:val="22"/>
                <w:lang w:val="en-US" w:eastAsia="zh-CN"/>
              </w:rPr>
              <w:t>12</w:t>
            </w:r>
          </w:p>
        </w:tc>
        <w:tc>
          <w:tcPr>
            <w:tcW w:w="390" w:type="pct"/>
            <w:shd w:val="clear" w:color="auto" w:fill="auto"/>
            <w:vAlign w:val="center"/>
          </w:tcPr>
          <w:p w14:paraId="1174FB4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宋体"/>
                <w:bCs/>
                <w:sz w:val="21"/>
                <w:szCs w:val="21"/>
                <w:lang w:val="en-US" w:eastAsia="zh-CN"/>
              </w:rPr>
            </w:pPr>
            <w:r>
              <w:rPr>
                <w:rFonts w:hint="default" w:ascii="Times New Roman" w:hAnsi="Times New Roman" w:eastAsia="宋体" w:cs="Times New Roman"/>
                <w:bCs/>
                <w:sz w:val="22"/>
                <w:szCs w:val="22"/>
                <w:lang w:val="en-US" w:eastAsia="zh-CN"/>
              </w:rPr>
              <w:t>航海安全标委会</w:t>
            </w:r>
          </w:p>
        </w:tc>
        <w:tc>
          <w:tcPr>
            <w:tcW w:w="1017" w:type="pct"/>
            <w:shd w:val="clear" w:color="auto" w:fill="auto"/>
            <w:vAlign w:val="center"/>
          </w:tcPr>
          <w:p w14:paraId="2EC14E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hint="eastAsia" w:ascii="Times New Roman" w:hAnsi="Times New Roman" w:eastAsia="宋体" w:cs="Times New Roman"/>
                <w:szCs w:val="21"/>
                <w:lang w:val="en-US" w:eastAsia="zh-CN"/>
              </w:rPr>
            </w:pPr>
            <w:r>
              <w:rPr>
                <w:rFonts w:hint="eastAsia" w:ascii="Tahoma" w:hAnsi="Tahoma" w:eastAsia="Tahoma" w:cs="Tahoma"/>
                <w:i w:val="0"/>
                <w:iCs w:val="0"/>
                <w:caps w:val="0"/>
                <w:color w:val="333333"/>
                <w:spacing w:val="0"/>
                <w:sz w:val="22"/>
                <w:szCs w:val="22"/>
                <w:shd w:val="clear" w:fill="FFFFFF"/>
                <w:lang w:val="en-US" w:eastAsia="zh-CN"/>
              </w:rPr>
              <w:t>上海海事局、上海海事大学、广东海事局、上海旗帜技术信息有限公司</w:t>
            </w:r>
          </w:p>
        </w:tc>
      </w:tr>
      <w:tr w14:paraId="6457A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69" w:type="pct"/>
            <w:vAlign w:val="center"/>
          </w:tcPr>
          <w:p w14:paraId="4FD4E109">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537F1A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lang w:val="en-US" w:eastAsia="zh-CN"/>
              </w:rPr>
            </w:pPr>
            <w:r>
              <w:rPr>
                <w:rFonts w:hint="eastAsia" w:ascii="Times New Roman" w:hAnsi="Times New Roman" w:eastAsia="宋体" w:cs="Times New Roman"/>
                <w:bCs/>
                <w:sz w:val="22"/>
                <w:szCs w:val="22"/>
                <w:lang w:val="en-US" w:eastAsia="zh-CN"/>
              </w:rPr>
              <w:t>JT 2026-37</w:t>
            </w:r>
          </w:p>
        </w:tc>
        <w:tc>
          <w:tcPr>
            <w:tcW w:w="555" w:type="pct"/>
            <w:shd w:val="clear" w:color="auto" w:fill="auto"/>
            <w:vAlign w:val="center"/>
          </w:tcPr>
          <w:p w14:paraId="669D17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bCs/>
                <w:sz w:val="22"/>
                <w:szCs w:val="22"/>
                <w:lang w:val="en-US" w:eastAsia="zh-CN"/>
              </w:rPr>
              <w:t>交通运输应急指挥通信保障能力建设总体要求</w:t>
            </w:r>
          </w:p>
        </w:tc>
        <w:tc>
          <w:tcPr>
            <w:tcW w:w="1407" w:type="pct"/>
            <w:shd w:val="clear" w:color="auto" w:fill="auto"/>
            <w:vAlign w:val="center"/>
          </w:tcPr>
          <w:p w14:paraId="434423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拟规定交通运输应急指挥通信保障能力建设原则、建设内容，规定了组织管理能力、指挥协同能力、技术支撑能力、运</w:t>
            </w:r>
          </w:p>
          <w:p w14:paraId="2D3B88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行保能能力的建设要求以及能力评估的方法和应用。</w:t>
            </w:r>
          </w:p>
          <w:p w14:paraId="1FB983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bCs/>
                <w:sz w:val="22"/>
                <w:szCs w:val="22"/>
                <w:lang w:val="en-US" w:eastAsia="zh-CN"/>
              </w:rPr>
              <w:t>适用于交通运输领城，稷盖部级、省级、市级和现场四级交通运轮主管部门，同时为交通运箍企业（如道路运输、港口航运、铁路运营企业）承担交通运输应念通信保障任务提供参照依据。</w:t>
            </w:r>
          </w:p>
        </w:tc>
        <w:tc>
          <w:tcPr>
            <w:tcW w:w="266" w:type="pct"/>
            <w:shd w:val="clear" w:color="auto" w:fill="auto"/>
            <w:vAlign w:val="center"/>
          </w:tcPr>
          <w:p w14:paraId="0AB5B8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bCs/>
                <w:sz w:val="22"/>
                <w:szCs w:val="22"/>
                <w:lang w:val="en-US" w:eastAsia="zh-CN"/>
              </w:rPr>
              <w:t>制定</w:t>
            </w:r>
          </w:p>
        </w:tc>
        <w:tc>
          <w:tcPr>
            <w:tcW w:w="383" w:type="pct"/>
            <w:shd w:val="clear" w:color="auto" w:fill="auto"/>
            <w:vAlign w:val="center"/>
          </w:tcPr>
          <w:p w14:paraId="40B4E4EF">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shd w:val="clear" w:color="auto" w:fill="auto"/>
            <w:vAlign w:val="center"/>
          </w:tcPr>
          <w:p w14:paraId="59C5A0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bCs/>
                <w:sz w:val="22"/>
                <w:szCs w:val="22"/>
                <w:lang w:val="en-US" w:eastAsia="zh-CN"/>
              </w:rPr>
              <w:t>12</w:t>
            </w:r>
          </w:p>
        </w:tc>
        <w:tc>
          <w:tcPr>
            <w:tcW w:w="390" w:type="pct"/>
            <w:shd w:val="clear" w:color="auto" w:fill="auto"/>
            <w:vAlign w:val="center"/>
          </w:tcPr>
          <w:p w14:paraId="4E44583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宋体"/>
                <w:bCs/>
                <w:sz w:val="21"/>
                <w:szCs w:val="21"/>
                <w:lang w:val="en-US" w:eastAsia="zh-CN"/>
              </w:rPr>
            </w:pPr>
            <w:r>
              <w:rPr>
                <w:rFonts w:hint="default" w:ascii="Times New Roman" w:hAnsi="Times New Roman" w:eastAsia="宋体" w:cs="Times New Roman"/>
                <w:bCs/>
                <w:sz w:val="22"/>
                <w:szCs w:val="22"/>
                <w:lang w:val="en-US" w:eastAsia="zh-CN"/>
              </w:rPr>
              <w:t>搜救中心</w:t>
            </w:r>
          </w:p>
        </w:tc>
        <w:tc>
          <w:tcPr>
            <w:tcW w:w="1017" w:type="pct"/>
            <w:shd w:val="clear" w:color="auto" w:fill="auto"/>
            <w:vAlign w:val="center"/>
          </w:tcPr>
          <w:p w14:paraId="3C8877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hint="eastAsia" w:ascii="Times New Roman" w:hAnsi="Times New Roman" w:eastAsia="宋体" w:cs="Times New Roman"/>
                <w:szCs w:val="21"/>
                <w:lang w:val="en-US" w:eastAsia="zh-CN"/>
              </w:rPr>
            </w:pPr>
            <w:r>
              <w:rPr>
                <w:rFonts w:hint="default" w:ascii="Tahoma" w:hAnsi="Tahoma" w:eastAsia="Tahoma" w:cs="Tahoma"/>
                <w:i w:val="0"/>
                <w:iCs w:val="0"/>
                <w:caps w:val="0"/>
                <w:color w:val="333333"/>
                <w:spacing w:val="0"/>
                <w:sz w:val="22"/>
                <w:szCs w:val="22"/>
                <w:shd w:val="clear" w:fill="FFFFFF"/>
                <w:lang w:val="en-US" w:eastAsia="zh-CN"/>
              </w:rPr>
              <w:t>中国交通通信信息中心</w:t>
            </w:r>
          </w:p>
        </w:tc>
      </w:tr>
      <w:tr w14:paraId="2567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69" w:type="pct"/>
            <w:vAlign w:val="center"/>
          </w:tcPr>
          <w:p w14:paraId="7F770314">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4061F6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lang w:val="en-US" w:eastAsia="zh-CN"/>
              </w:rPr>
            </w:pPr>
            <w:r>
              <w:rPr>
                <w:rFonts w:hint="eastAsia" w:ascii="Times New Roman" w:hAnsi="Times New Roman" w:eastAsia="宋体" w:cs="Times New Roman"/>
                <w:bCs/>
                <w:sz w:val="22"/>
                <w:szCs w:val="22"/>
                <w:lang w:val="en-US" w:eastAsia="zh-CN"/>
              </w:rPr>
              <w:t>JT 2026-38</w:t>
            </w:r>
          </w:p>
        </w:tc>
        <w:tc>
          <w:tcPr>
            <w:tcW w:w="555" w:type="pct"/>
            <w:shd w:val="clear" w:color="auto" w:fill="auto"/>
            <w:vAlign w:val="center"/>
          </w:tcPr>
          <w:p w14:paraId="22313A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bCs/>
                <w:sz w:val="22"/>
                <w:szCs w:val="22"/>
                <w:lang w:val="en-US" w:eastAsia="zh-CN"/>
              </w:rPr>
              <w:t>公路水运试验检测数据报告编制导则</w:t>
            </w:r>
          </w:p>
        </w:tc>
        <w:tc>
          <w:tcPr>
            <w:tcW w:w="1407" w:type="pct"/>
            <w:shd w:val="clear" w:color="auto" w:fill="auto"/>
            <w:vAlign w:val="center"/>
          </w:tcPr>
          <w:p w14:paraId="3C28D8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现行标准规定了公路水运试验检测数据报告编制的基本规定，以及记录表、检测类报告和综合评价类报告编制的要求。</w:t>
            </w:r>
          </w:p>
          <w:p w14:paraId="020146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适用于公路水运工程试验检测机构及工地试验室的试验检测数据报告的编制。</w:t>
            </w:r>
          </w:p>
          <w:p w14:paraId="16293D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bCs/>
                <w:sz w:val="22"/>
                <w:szCs w:val="22"/>
                <w:lang w:val="en-US" w:eastAsia="zh-CN"/>
              </w:rPr>
              <w:t>主要修订内容</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增加了综合评价类报告的结论、样品调节和样品处置的内容、主要仪器设备编号和软件信息的内容、电子数据保存路径的要求、签字人员格的要求</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删除等级专用标识章的要求</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增加检测机构资质证书编号的要求、综合评价类报告结论的规定、信息化编制的规定。</w:t>
            </w:r>
          </w:p>
        </w:tc>
        <w:tc>
          <w:tcPr>
            <w:tcW w:w="266" w:type="pct"/>
            <w:shd w:val="clear" w:color="auto" w:fill="auto"/>
            <w:vAlign w:val="center"/>
          </w:tcPr>
          <w:p w14:paraId="3E36D7E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bCs/>
                <w:sz w:val="22"/>
                <w:szCs w:val="22"/>
                <w:lang w:val="en-US" w:eastAsia="zh-CN"/>
              </w:rPr>
              <w:t>修订</w:t>
            </w:r>
          </w:p>
        </w:tc>
        <w:tc>
          <w:tcPr>
            <w:tcW w:w="383" w:type="pct"/>
            <w:shd w:val="clear" w:color="auto" w:fill="auto"/>
            <w:vAlign w:val="center"/>
          </w:tcPr>
          <w:p w14:paraId="03F9F1FC">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r>
              <w:rPr>
                <w:rFonts w:hint="default" w:ascii="Times New Roman" w:hAnsi="Times New Roman" w:eastAsia="宋体" w:cs="Times New Roman"/>
                <w:bCs/>
                <w:sz w:val="22"/>
                <w:szCs w:val="22"/>
                <w:lang w:val="en-US" w:eastAsia="zh-CN"/>
              </w:rPr>
              <w:t>JT/T 828</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2019</w:t>
            </w:r>
          </w:p>
        </w:tc>
        <w:tc>
          <w:tcPr>
            <w:tcW w:w="390" w:type="pct"/>
            <w:shd w:val="clear" w:color="auto" w:fill="auto"/>
            <w:vAlign w:val="center"/>
          </w:tcPr>
          <w:p w14:paraId="49A096D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z w:val="21"/>
                <w:szCs w:val="21"/>
                <w:lang w:val="en-US" w:eastAsia="zh-CN"/>
              </w:rPr>
            </w:pPr>
            <w:r>
              <w:rPr>
                <w:rFonts w:hint="eastAsia" w:ascii="Times New Roman" w:hAnsi="Times New Roman" w:eastAsia="宋体" w:cs="Times New Roman"/>
                <w:bCs/>
                <w:sz w:val="22"/>
                <w:szCs w:val="22"/>
                <w:lang w:val="en-US" w:eastAsia="zh-CN"/>
              </w:rPr>
              <w:t>12</w:t>
            </w:r>
          </w:p>
        </w:tc>
        <w:tc>
          <w:tcPr>
            <w:tcW w:w="390" w:type="pct"/>
            <w:shd w:val="clear" w:color="auto" w:fill="auto"/>
            <w:vAlign w:val="center"/>
          </w:tcPr>
          <w:p w14:paraId="08E78E1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宋体"/>
                <w:bCs/>
                <w:sz w:val="21"/>
                <w:szCs w:val="21"/>
                <w:lang w:val="en-US" w:eastAsia="zh-CN"/>
              </w:rPr>
            </w:pPr>
            <w:r>
              <w:rPr>
                <w:rFonts w:hint="default" w:ascii="Times New Roman" w:hAnsi="Times New Roman" w:eastAsia="宋体" w:cs="Times New Roman"/>
                <w:bCs/>
                <w:sz w:val="22"/>
                <w:szCs w:val="22"/>
                <w:lang w:val="en-US" w:eastAsia="zh-CN"/>
              </w:rPr>
              <w:t>施工安全标委会</w:t>
            </w:r>
          </w:p>
        </w:tc>
        <w:tc>
          <w:tcPr>
            <w:tcW w:w="1017" w:type="pct"/>
            <w:shd w:val="clear" w:color="auto" w:fill="auto"/>
            <w:vAlign w:val="center"/>
          </w:tcPr>
          <w:p w14:paraId="3F9C37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hint="eastAsia" w:ascii="Times New Roman" w:hAnsi="Times New Roman" w:eastAsia="宋体" w:cs="Times New Roman"/>
                <w:szCs w:val="21"/>
                <w:lang w:val="en-US" w:eastAsia="zh-CN"/>
              </w:rPr>
            </w:pPr>
            <w:r>
              <w:rPr>
                <w:rFonts w:hint="default" w:ascii="Tahoma" w:hAnsi="Tahoma" w:eastAsia="Tahoma" w:cs="Tahoma"/>
                <w:i w:val="0"/>
                <w:iCs w:val="0"/>
                <w:caps w:val="0"/>
                <w:color w:val="333333"/>
                <w:spacing w:val="0"/>
                <w:sz w:val="22"/>
                <w:szCs w:val="22"/>
                <w:shd w:val="clear" w:fill="FFFFFF"/>
                <w:lang w:val="en-US" w:eastAsia="zh-CN"/>
              </w:rPr>
              <w:t>交通运输部公路科学研究所、重庆市交通规划和技术发展中心、北京市道路工程质量监督站、交通运输部天津水运工程科学研究所、广西交科集团有限公司、山东省交通运输厅工程建设事务中心、山东省交通科学研究院</w:t>
            </w:r>
          </w:p>
        </w:tc>
      </w:tr>
      <w:tr w14:paraId="6A2FE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69" w:type="pct"/>
            <w:vAlign w:val="center"/>
          </w:tcPr>
          <w:p w14:paraId="05C99ED9">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1189FC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lang w:val="en-US" w:eastAsia="zh-CN"/>
              </w:rPr>
            </w:pPr>
            <w:r>
              <w:rPr>
                <w:rFonts w:hint="eastAsia" w:ascii="Times New Roman" w:hAnsi="Times New Roman" w:eastAsia="宋体" w:cs="Times New Roman"/>
                <w:bCs/>
                <w:sz w:val="22"/>
                <w:szCs w:val="22"/>
                <w:lang w:val="en-US" w:eastAsia="zh-CN"/>
              </w:rPr>
              <w:t>JT 2026-39</w:t>
            </w:r>
          </w:p>
        </w:tc>
        <w:tc>
          <w:tcPr>
            <w:tcW w:w="555" w:type="pct"/>
            <w:shd w:val="clear" w:color="auto" w:fill="auto"/>
            <w:vAlign w:val="center"/>
          </w:tcPr>
          <w:p w14:paraId="47C40B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bCs/>
                <w:sz w:val="22"/>
                <w:szCs w:val="22"/>
                <w:lang w:val="en-US" w:eastAsia="zh-CN"/>
              </w:rPr>
              <w:t>公路水运工程试验检测等级管理要求</w:t>
            </w:r>
          </w:p>
        </w:tc>
        <w:tc>
          <w:tcPr>
            <w:tcW w:w="1407" w:type="pct"/>
            <w:shd w:val="clear" w:color="auto" w:fill="auto"/>
            <w:vAlign w:val="center"/>
          </w:tcPr>
          <w:p w14:paraId="5BFE68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现行标准规定了公路水运工程试验检测等级管理的要求，包括基本规定、试验检测分类及代码、公路水运工程试验检测机构等级标准和等级评定及换证复核工作程序的应用说明，以及检测机构运行通用要求。</w:t>
            </w:r>
          </w:p>
          <w:p w14:paraId="4BB919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适用于公路水运工程试验检测机构建设与管理、等级评定、换证复核、检查评价等工作，其他有关检验检测工作可参考使用。</w:t>
            </w:r>
          </w:p>
          <w:p w14:paraId="23CFAC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bCs/>
                <w:sz w:val="22"/>
                <w:szCs w:val="22"/>
                <w:lang w:val="en-US" w:eastAsia="zh-CN"/>
              </w:rPr>
              <w:t>主要修订内容</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1.重构以机构运行为核心的框架，删除与部令重复的等级评定程序条款</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2.明确质量体系、人员行为、仪器设备、样品及档案管理要求</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3.整合纳人工地试验室设立、建设、运行及外委管理细则</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4.新增数字化采集、智能化分析、全流程追溯的智慧检测管理体系，实现从事后处理向事前预防、事中管控转型。</w:t>
            </w:r>
          </w:p>
        </w:tc>
        <w:tc>
          <w:tcPr>
            <w:tcW w:w="266" w:type="pct"/>
            <w:shd w:val="clear" w:color="auto" w:fill="auto"/>
            <w:vAlign w:val="center"/>
          </w:tcPr>
          <w:p w14:paraId="45F353F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bCs/>
                <w:sz w:val="22"/>
                <w:szCs w:val="22"/>
                <w:lang w:val="en-US" w:eastAsia="zh-CN"/>
              </w:rPr>
              <w:t>修订</w:t>
            </w:r>
          </w:p>
        </w:tc>
        <w:tc>
          <w:tcPr>
            <w:tcW w:w="383" w:type="pct"/>
            <w:shd w:val="clear" w:color="auto" w:fill="auto"/>
            <w:vAlign w:val="center"/>
          </w:tcPr>
          <w:p w14:paraId="57977A8B">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r>
              <w:rPr>
                <w:rFonts w:hint="default" w:ascii="Times New Roman" w:hAnsi="Times New Roman" w:eastAsia="宋体" w:cs="Times New Roman"/>
                <w:bCs/>
                <w:sz w:val="22"/>
                <w:szCs w:val="22"/>
                <w:lang w:val="en-US" w:eastAsia="zh-CN"/>
              </w:rPr>
              <w:t>JT/T 1181</w:t>
            </w:r>
            <w:r>
              <w:rPr>
                <w:rFonts w:hint="eastAsia" w:ascii="Times New Roman" w:hAnsi="Times New Roman" w:eastAsia="宋体" w:cs="Times New Roman"/>
                <w:bCs/>
                <w:sz w:val="22"/>
                <w:szCs w:val="22"/>
                <w:lang w:val="en-US" w:eastAsia="zh-CN"/>
              </w:rPr>
              <w:t>—</w:t>
            </w:r>
            <w:r>
              <w:rPr>
                <w:rFonts w:hint="default" w:ascii="Times New Roman" w:hAnsi="Times New Roman" w:eastAsia="宋体" w:cs="Times New Roman"/>
                <w:bCs/>
                <w:sz w:val="22"/>
                <w:szCs w:val="22"/>
                <w:lang w:val="en-US" w:eastAsia="zh-CN"/>
              </w:rPr>
              <w:t>2018</w:t>
            </w:r>
          </w:p>
        </w:tc>
        <w:tc>
          <w:tcPr>
            <w:tcW w:w="390" w:type="pct"/>
            <w:shd w:val="clear" w:color="auto" w:fill="auto"/>
            <w:vAlign w:val="center"/>
          </w:tcPr>
          <w:p w14:paraId="051F380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bCs/>
                <w:sz w:val="22"/>
                <w:szCs w:val="22"/>
                <w:lang w:val="en-US" w:eastAsia="zh-CN"/>
              </w:rPr>
              <w:t>12</w:t>
            </w:r>
          </w:p>
        </w:tc>
        <w:tc>
          <w:tcPr>
            <w:tcW w:w="390" w:type="pct"/>
            <w:shd w:val="clear" w:color="auto" w:fill="auto"/>
            <w:vAlign w:val="center"/>
          </w:tcPr>
          <w:p w14:paraId="31A9B29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宋体"/>
                <w:bCs/>
                <w:sz w:val="21"/>
                <w:szCs w:val="21"/>
                <w:lang w:val="en-US" w:eastAsia="zh-CN"/>
              </w:rPr>
            </w:pPr>
            <w:r>
              <w:rPr>
                <w:rFonts w:hint="default" w:ascii="Times New Roman" w:hAnsi="Times New Roman" w:eastAsia="宋体" w:cs="Times New Roman"/>
                <w:bCs/>
                <w:sz w:val="22"/>
                <w:szCs w:val="22"/>
                <w:lang w:val="en-US" w:eastAsia="zh-CN"/>
              </w:rPr>
              <w:t>施工安全标委会</w:t>
            </w:r>
          </w:p>
        </w:tc>
        <w:tc>
          <w:tcPr>
            <w:tcW w:w="1017" w:type="pct"/>
            <w:shd w:val="clear" w:color="auto" w:fill="auto"/>
            <w:vAlign w:val="center"/>
          </w:tcPr>
          <w:p w14:paraId="51D1AB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hint="eastAsia" w:ascii="Times New Roman" w:hAnsi="Times New Roman" w:eastAsia="宋体" w:cs="Times New Roman"/>
                <w:szCs w:val="21"/>
                <w:lang w:val="en-US" w:eastAsia="zh-CN"/>
              </w:rPr>
            </w:pPr>
            <w:r>
              <w:rPr>
                <w:rFonts w:hint="default" w:ascii="Tahoma" w:hAnsi="Tahoma" w:eastAsia="Tahoma" w:cs="Tahoma"/>
                <w:i w:val="0"/>
                <w:iCs w:val="0"/>
                <w:caps w:val="0"/>
                <w:color w:val="333333"/>
                <w:spacing w:val="0"/>
                <w:sz w:val="22"/>
                <w:szCs w:val="22"/>
                <w:shd w:val="clear" w:fill="FFFFFF"/>
                <w:lang w:val="en-US" w:eastAsia="zh-CN"/>
              </w:rPr>
              <w:t>交通运输部公路科学研究所、重庆市交通规划和技术发展中心、北京市道路工程质量监督站、浙江省交通运输科学研究院、山东省交通运输厅工程建设事务中心、交通运输部天津水运工程科学研究所、河南省交通建设技术中心、同济大学</w:t>
            </w:r>
          </w:p>
        </w:tc>
      </w:tr>
      <w:tr w14:paraId="2DDB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69" w:type="pct"/>
            <w:vAlign w:val="center"/>
          </w:tcPr>
          <w:p w14:paraId="7AB32C4E">
            <w:pPr>
              <w:pStyle w:val="6"/>
              <w:numPr>
                <w:ilvl w:val="0"/>
                <w:numId w:val="1"/>
              </w:numPr>
              <w:adjustRightInd w:val="0"/>
              <w:snapToGrid w:val="0"/>
              <w:ind w:left="0" w:firstLine="0" w:firstLineChars="0"/>
              <w:jc w:val="center"/>
              <w:rPr>
                <w:rFonts w:ascii="Times New Roman" w:hAnsi="Times New Roman" w:eastAsia="宋体" w:cs="Times New Roman"/>
                <w:bCs/>
                <w:szCs w:val="21"/>
              </w:rPr>
            </w:pPr>
          </w:p>
        </w:tc>
        <w:tc>
          <w:tcPr>
            <w:tcW w:w="420" w:type="pct"/>
            <w:vAlign w:val="center"/>
          </w:tcPr>
          <w:p w14:paraId="179A68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eastAsia" w:ascii="Times New Roman" w:hAnsi="Times New Roman" w:eastAsia="宋体" w:cs="Times New Roman"/>
                <w:szCs w:val="21"/>
                <w:lang w:val="en-US" w:eastAsia="zh-CN"/>
              </w:rPr>
            </w:pPr>
            <w:r>
              <w:rPr>
                <w:rFonts w:hint="eastAsia" w:ascii="Times New Roman" w:hAnsi="Times New Roman" w:eastAsia="宋体" w:cs="Times New Roman"/>
                <w:bCs/>
                <w:sz w:val="22"/>
                <w:szCs w:val="22"/>
                <w:lang w:val="en-US" w:eastAsia="zh-CN"/>
              </w:rPr>
              <w:t>JT 2026-40</w:t>
            </w:r>
          </w:p>
        </w:tc>
        <w:tc>
          <w:tcPr>
            <w:tcW w:w="555" w:type="pct"/>
            <w:shd w:val="clear" w:color="auto" w:fill="auto"/>
            <w:vAlign w:val="center"/>
          </w:tcPr>
          <w:p w14:paraId="5AE8FB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bCs/>
                <w:sz w:val="22"/>
                <w:szCs w:val="22"/>
                <w:lang w:val="en-US" w:eastAsia="zh-CN"/>
              </w:rPr>
              <w:t>公路水运工程生产安全事故应急演练规范</w:t>
            </w:r>
          </w:p>
        </w:tc>
        <w:tc>
          <w:tcPr>
            <w:tcW w:w="1407" w:type="pct"/>
            <w:shd w:val="clear" w:color="auto" w:fill="auto"/>
            <w:vAlign w:val="center"/>
          </w:tcPr>
          <w:p w14:paraId="67CEE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bCs/>
                <w:sz w:val="22"/>
                <w:szCs w:val="22"/>
                <w:lang w:val="en-US" w:eastAsia="zh-CN"/>
              </w:rPr>
            </w:pPr>
            <w:r>
              <w:rPr>
                <w:rFonts w:hint="default" w:ascii="Times New Roman" w:hAnsi="Times New Roman" w:eastAsia="宋体" w:cs="Times New Roman"/>
                <w:bCs/>
                <w:sz w:val="22"/>
                <w:szCs w:val="22"/>
                <w:lang w:val="en-US" w:eastAsia="zh-CN"/>
              </w:rPr>
              <w:t>拟规定公路水运工程生产安全事故应急演练的计划、准备、实施、评估总结、持续改进等内容的规范性要求。</w:t>
            </w:r>
          </w:p>
          <w:p w14:paraId="17037C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jc w:val="left"/>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bCs/>
                <w:sz w:val="22"/>
                <w:szCs w:val="22"/>
                <w:lang w:val="en-US" w:eastAsia="zh-CN"/>
              </w:rPr>
              <w:t>适用于针对公路水运工程生产安全事故所开展的应急演练活动。</w:t>
            </w:r>
          </w:p>
        </w:tc>
        <w:tc>
          <w:tcPr>
            <w:tcW w:w="266" w:type="pct"/>
            <w:shd w:val="clear" w:color="auto" w:fill="auto"/>
            <w:vAlign w:val="center"/>
          </w:tcPr>
          <w:p w14:paraId="28B7FFD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bCs/>
                <w:sz w:val="22"/>
                <w:szCs w:val="22"/>
                <w:lang w:val="en-US" w:eastAsia="zh-CN"/>
              </w:rPr>
              <w:t>制定</w:t>
            </w:r>
          </w:p>
        </w:tc>
        <w:tc>
          <w:tcPr>
            <w:tcW w:w="383" w:type="pct"/>
            <w:shd w:val="clear" w:color="auto" w:fill="auto"/>
            <w:vAlign w:val="center"/>
          </w:tcPr>
          <w:p w14:paraId="1363CD37">
            <w:pPr>
              <w:keepNext w:val="0"/>
              <w:keepLines w:val="0"/>
              <w:suppressLineNumbers w:val="0"/>
              <w:spacing w:before="0" w:beforeAutospacing="0" w:after="0" w:afterAutospacing="0"/>
              <w:ind w:left="0" w:leftChars="0" w:right="0" w:rightChars="0"/>
              <w:jc w:val="center"/>
              <w:rPr>
                <w:rFonts w:ascii="Times New Roman" w:hAnsi="Times New Roman" w:eastAsia="宋体" w:cs="Times New Roman"/>
                <w:bCs/>
                <w:szCs w:val="21"/>
              </w:rPr>
            </w:pPr>
          </w:p>
        </w:tc>
        <w:tc>
          <w:tcPr>
            <w:tcW w:w="390" w:type="pct"/>
            <w:shd w:val="clear" w:color="auto" w:fill="auto"/>
            <w:vAlign w:val="center"/>
          </w:tcPr>
          <w:p w14:paraId="11A29A4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bCs/>
                <w:sz w:val="22"/>
                <w:szCs w:val="22"/>
                <w:lang w:val="en-US" w:eastAsia="zh-CN"/>
              </w:rPr>
              <w:t>12</w:t>
            </w:r>
          </w:p>
        </w:tc>
        <w:tc>
          <w:tcPr>
            <w:tcW w:w="390" w:type="pct"/>
            <w:shd w:val="clear" w:color="auto" w:fill="auto"/>
            <w:vAlign w:val="center"/>
          </w:tcPr>
          <w:p w14:paraId="54C8697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宋体"/>
                <w:bCs/>
                <w:sz w:val="21"/>
                <w:szCs w:val="21"/>
                <w:lang w:val="en-US" w:eastAsia="zh-CN"/>
              </w:rPr>
            </w:pPr>
            <w:r>
              <w:rPr>
                <w:rFonts w:hint="default" w:ascii="Times New Roman" w:hAnsi="Times New Roman" w:eastAsia="宋体" w:cs="Times New Roman"/>
                <w:bCs/>
                <w:sz w:val="22"/>
                <w:szCs w:val="22"/>
                <w:lang w:val="en-US" w:eastAsia="zh-CN"/>
              </w:rPr>
              <w:t>施工安全标委会</w:t>
            </w:r>
          </w:p>
        </w:tc>
        <w:tc>
          <w:tcPr>
            <w:tcW w:w="1017" w:type="pct"/>
            <w:shd w:val="clear" w:color="auto" w:fill="auto"/>
            <w:vAlign w:val="center"/>
          </w:tcPr>
          <w:p w14:paraId="123609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21" w:leftChars="10" w:right="0" w:rightChars="0"/>
              <w:textAlignment w:val="auto"/>
              <w:rPr>
                <w:rFonts w:hint="eastAsia" w:ascii="Times New Roman" w:hAnsi="Times New Roman" w:eastAsia="宋体" w:cs="Times New Roman"/>
                <w:szCs w:val="21"/>
                <w:lang w:val="en-US" w:eastAsia="zh-CN"/>
              </w:rPr>
            </w:pPr>
            <w:r>
              <w:rPr>
                <w:rFonts w:hint="default" w:ascii="Tahoma" w:hAnsi="Tahoma" w:eastAsia="Tahoma" w:cs="Tahoma"/>
                <w:i w:val="0"/>
                <w:iCs w:val="0"/>
                <w:caps w:val="0"/>
                <w:color w:val="333333"/>
                <w:spacing w:val="0"/>
                <w:sz w:val="22"/>
                <w:szCs w:val="22"/>
                <w:shd w:val="clear" w:fill="FFFFFF"/>
                <w:lang w:val="en-US" w:eastAsia="zh-CN"/>
              </w:rPr>
              <w:t>交通运输部科学研究院、交科院科技集团有限公司、广西交通投资集团有限公司、浙江交投建设管理有限公司、广东湾区交通建设投资有限公司、中交投资有限公司、中国交通建设股份有限公司总承包经营分公司、江西省港航建设投资集团有限公司、中交疏浚(集团)股份有限公司、中交第二航务工程局有限公司</w:t>
            </w:r>
          </w:p>
        </w:tc>
      </w:tr>
    </w:tbl>
    <w:p w14:paraId="30F3DC15">
      <w:pPr>
        <w:pStyle w:val="2"/>
        <w:sectPr>
          <w:pgSz w:w="16838" w:h="11906" w:orient="landscape"/>
          <w:pgMar w:top="1800" w:right="1440" w:bottom="1800" w:left="1440" w:header="851" w:footer="992" w:gutter="0"/>
          <w:cols w:space="425" w:num="1"/>
          <w:docGrid w:type="lines" w:linePitch="312" w:charSpace="0"/>
        </w:sectPr>
      </w:pPr>
    </w:p>
    <w:p w14:paraId="52FC009E">
      <w:pPr>
        <w:spacing w:line="360" w:lineRule="auto"/>
        <w:rPr>
          <w:rFonts w:ascii="Times New Roman" w:hAnsi="Times New Roman" w:eastAsia="黑体" w:cs="Times New Roman"/>
          <w:b/>
          <w:bCs/>
          <w:sz w:val="32"/>
          <w:szCs w:val="32"/>
        </w:rPr>
      </w:pPr>
      <w:r>
        <w:rPr>
          <w:rFonts w:hint="eastAsia" w:ascii="Times New Roman" w:hAnsi="Times New Roman" w:eastAsia="黑体" w:cs="Times New Roman"/>
          <w:b/>
          <w:bCs/>
          <w:sz w:val="32"/>
          <w:szCs w:val="32"/>
        </w:rPr>
        <w:t>二、部门计量检定规程</w:t>
      </w:r>
      <w:r>
        <w:rPr>
          <w:rFonts w:hint="eastAsia" w:ascii="Times New Roman" w:hAnsi="Times New Roman" w:eastAsia="黑体" w:cs="Times New Roman"/>
          <w:b/>
          <w:bCs/>
          <w:sz w:val="32"/>
          <w:szCs w:val="32"/>
          <w:lang w:eastAsia="zh-CN"/>
        </w:rPr>
        <w:t>（</w:t>
      </w:r>
      <w:r>
        <w:rPr>
          <w:rFonts w:hint="eastAsia" w:ascii="Times New Roman" w:hAnsi="Times New Roman" w:eastAsia="黑体" w:cs="Times New Roman"/>
          <w:b/>
          <w:bCs/>
          <w:sz w:val="32"/>
          <w:szCs w:val="32"/>
          <w:lang w:val="en-US" w:eastAsia="zh-CN"/>
        </w:rPr>
        <w:t>4项</w:t>
      </w:r>
      <w:r>
        <w:rPr>
          <w:rFonts w:hint="eastAsia" w:ascii="Times New Roman" w:hAnsi="Times New Roman" w:eastAsia="黑体" w:cs="Times New Roman"/>
          <w:b/>
          <w:bCs/>
          <w:sz w:val="32"/>
          <w:szCs w:val="32"/>
          <w:lang w:eastAsia="zh-CN"/>
        </w:rPr>
        <w:t>）</w:t>
      </w:r>
    </w:p>
    <w:tbl>
      <w:tblPr>
        <w:tblStyle w:val="4"/>
        <w:tblW w:w="5176" w:type="pct"/>
        <w:tblInd w:w="-2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80"/>
        <w:gridCol w:w="1379"/>
        <w:gridCol w:w="2002"/>
        <w:gridCol w:w="4253"/>
        <w:gridCol w:w="558"/>
        <w:gridCol w:w="921"/>
        <w:gridCol w:w="781"/>
        <w:gridCol w:w="949"/>
        <w:gridCol w:w="3185"/>
      </w:tblGrid>
      <w:tr w14:paraId="10C43D4F">
        <w:tblPrEx>
          <w:tblCellMar>
            <w:top w:w="0" w:type="dxa"/>
            <w:left w:w="28" w:type="dxa"/>
            <w:bottom w:w="0" w:type="dxa"/>
            <w:right w:w="28" w:type="dxa"/>
          </w:tblCellMar>
        </w:tblPrEx>
        <w:trPr>
          <w:cantSplit/>
          <w:trHeight w:val="604" w:hRule="atLeast"/>
          <w:tblHeader/>
        </w:trPr>
        <w:tc>
          <w:tcPr>
            <w:tcW w:w="165" w:type="pct"/>
            <w:vAlign w:val="center"/>
          </w:tcPr>
          <w:p w14:paraId="0DA5F02A">
            <w:pPr>
              <w:jc w:val="center"/>
              <w:rPr>
                <w:rFonts w:ascii="Times New Roman" w:hAnsi="Times New Roman" w:eastAsia="宋体" w:cs="Times New Roman"/>
                <w:b/>
                <w:bCs/>
                <w:szCs w:val="21"/>
              </w:rPr>
            </w:pPr>
            <w:r>
              <w:rPr>
                <w:rFonts w:ascii="Times New Roman" w:hAnsi="Times New Roman" w:eastAsia="宋体" w:cs="Times New Roman"/>
                <w:b/>
                <w:bCs/>
                <w:szCs w:val="21"/>
              </w:rPr>
              <w:t>序号</w:t>
            </w:r>
          </w:p>
        </w:tc>
        <w:tc>
          <w:tcPr>
            <w:tcW w:w="475" w:type="pct"/>
            <w:vAlign w:val="center"/>
          </w:tcPr>
          <w:p w14:paraId="1A8D3DBA">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计划编号</w:t>
            </w:r>
          </w:p>
        </w:tc>
        <w:tc>
          <w:tcPr>
            <w:tcW w:w="689" w:type="pct"/>
            <w:vAlign w:val="center"/>
          </w:tcPr>
          <w:p w14:paraId="12CBE7B0">
            <w:pPr>
              <w:jc w:val="center"/>
              <w:rPr>
                <w:rFonts w:ascii="Times New Roman" w:hAnsi="Times New Roman" w:eastAsia="宋体" w:cs="Times New Roman"/>
                <w:b/>
                <w:bCs/>
                <w:szCs w:val="21"/>
              </w:rPr>
            </w:pPr>
            <w:r>
              <w:rPr>
                <w:rFonts w:ascii="Times New Roman" w:hAnsi="Times New Roman" w:eastAsia="宋体" w:cs="Times New Roman"/>
                <w:b/>
                <w:bCs/>
                <w:szCs w:val="21"/>
              </w:rPr>
              <w:t>项目名称</w:t>
            </w:r>
          </w:p>
        </w:tc>
        <w:tc>
          <w:tcPr>
            <w:tcW w:w="1465" w:type="pct"/>
            <w:vAlign w:val="center"/>
          </w:tcPr>
          <w:p w14:paraId="612359BD">
            <w:pPr>
              <w:jc w:val="center"/>
              <w:rPr>
                <w:rFonts w:ascii="Times New Roman" w:hAnsi="Times New Roman" w:eastAsia="宋体" w:cs="Times New Roman"/>
                <w:b/>
                <w:bCs/>
                <w:szCs w:val="21"/>
              </w:rPr>
            </w:pPr>
            <w:r>
              <w:rPr>
                <w:rFonts w:ascii="Times New Roman" w:hAnsi="Times New Roman" w:eastAsia="宋体" w:cs="Times New Roman"/>
                <w:b/>
                <w:bCs/>
                <w:szCs w:val="21"/>
              </w:rPr>
              <w:t>范围和主要技术内容</w:t>
            </w:r>
          </w:p>
        </w:tc>
        <w:tc>
          <w:tcPr>
            <w:tcW w:w="192" w:type="pct"/>
            <w:vAlign w:val="center"/>
          </w:tcPr>
          <w:p w14:paraId="3BDE0D72">
            <w:pPr>
              <w:jc w:val="center"/>
              <w:rPr>
                <w:rFonts w:ascii="Times New Roman" w:hAnsi="Times New Roman" w:eastAsia="宋体" w:cs="Times New Roman"/>
                <w:b/>
                <w:bCs/>
                <w:szCs w:val="21"/>
              </w:rPr>
            </w:pPr>
            <w:r>
              <w:rPr>
                <w:rFonts w:ascii="Times New Roman" w:hAnsi="Times New Roman" w:eastAsia="宋体" w:cs="Times New Roman"/>
                <w:b/>
                <w:bCs/>
                <w:szCs w:val="21"/>
              </w:rPr>
              <w:t>制修订</w:t>
            </w:r>
          </w:p>
        </w:tc>
        <w:tc>
          <w:tcPr>
            <w:tcW w:w="317" w:type="pct"/>
            <w:vAlign w:val="center"/>
          </w:tcPr>
          <w:p w14:paraId="0C445561">
            <w:pPr>
              <w:jc w:val="center"/>
              <w:rPr>
                <w:rFonts w:ascii="Times New Roman" w:hAnsi="Times New Roman" w:eastAsia="宋体" w:cs="Times New Roman"/>
                <w:b/>
                <w:bCs/>
                <w:szCs w:val="21"/>
              </w:rPr>
            </w:pPr>
            <w:r>
              <w:rPr>
                <w:rFonts w:ascii="Times New Roman" w:hAnsi="Times New Roman" w:eastAsia="宋体" w:cs="Times New Roman"/>
                <w:b/>
                <w:bCs/>
                <w:szCs w:val="21"/>
              </w:rPr>
              <w:t>代替</w:t>
            </w:r>
          </w:p>
          <w:p w14:paraId="75BFE78C">
            <w:pPr>
              <w:jc w:val="center"/>
              <w:rPr>
                <w:rFonts w:ascii="Times New Roman" w:hAnsi="Times New Roman" w:eastAsia="宋体" w:cs="Times New Roman"/>
                <w:b/>
                <w:bCs/>
                <w:szCs w:val="21"/>
              </w:rPr>
            </w:pPr>
            <w:r>
              <w:rPr>
                <w:rFonts w:ascii="Times New Roman" w:hAnsi="Times New Roman" w:eastAsia="宋体" w:cs="Times New Roman"/>
                <w:b/>
                <w:bCs/>
                <w:szCs w:val="21"/>
              </w:rPr>
              <w:t>规程</w:t>
            </w:r>
          </w:p>
        </w:tc>
        <w:tc>
          <w:tcPr>
            <w:tcW w:w="269" w:type="pct"/>
            <w:vAlign w:val="center"/>
          </w:tcPr>
          <w:p w14:paraId="732E32C7">
            <w:pPr>
              <w:jc w:val="center"/>
              <w:rPr>
                <w:rFonts w:ascii="Times New Roman" w:hAnsi="Times New Roman" w:eastAsia="宋体" w:cs="Times New Roman"/>
                <w:b/>
                <w:bCs/>
                <w:szCs w:val="21"/>
              </w:rPr>
            </w:pPr>
            <w:r>
              <w:rPr>
                <w:rFonts w:ascii="Times New Roman" w:hAnsi="Times New Roman" w:eastAsia="宋体" w:cs="Times New Roman"/>
                <w:b/>
                <w:bCs/>
                <w:szCs w:val="21"/>
              </w:rPr>
              <w:t>完成周期(月)</w:t>
            </w:r>
          </w:p>
        </w:tc>
        <w:tc>
          <w:tcPr>
            <w:tcW w:w="327" w:type="pct"/>
            <w:vAlign w:val="center"/>
          </w:tcPr>
          <w:p w14:paraId="0BD93D63">
            <w:pPr>
              <w:jc w:val="center"/>
              <w:rPr>
                <w:rFonts w:ascii="Times New Roman" w:hAnsi="Times New Roman" w:eastAsia="宋体" w:cs="Times New Roman"/>
                <w:b/>
                <w:bCs/>
                <w:szCs w:val="21"/>
              </w:rPr>
            </w:pPr>
            <w:r>
              <w:rPr>
                <w:rFonts w:ascii="Times New Roman" w:hAnsi="Times New Roman" w:eastAsia="宋体" w:cs="Times New Roman"/>
                <w:b/>
                <w:bCs/>
                <w:szCs w:val="21"/>
              </w:rPr>
              <w:t>技术归口单位</w:t>
            </w:r>
          </w:p>
        </w:tc>
        <w:tc>
          <w:tcPr>
            <w:tcW w:w="1097" w:type="pct"/>
            <w:vAlign w:val="center"/>
          </w:tcPr>
          <w:p w14:paraId="36AF676D">
            <w:pPr>
              <w:jc w:val="center"/>
              <w:rPr>
                <w:rFonts w:ascii="Times New Roman" w:hAnsi="Times New Roman" w:eastAsia="宋体" w:cs="Times New Roman"/>
                <w:b/>
                <w:bCs/>
                <w:szCs w:val="21"/>
              </w:rPr>
            </w:pPr>
            <w:r>
              <w:rPr>
                <w:rFonts w:ascii="Times New Roman" w:hAnsi="Times New Roman" w:eastAsia="宋体" w:cs="Times New Roman"/>
                <w:b/>
                <w:bCs/>
                <w:szCs w:val="21"/>
              </w:rPr>
              <w:t>主要起草单位</w:t>
            </w:r>
          </w:p>
        </w:tc>
      </w:tr>
      <w:tr w14:paraId="7452B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98" w:hRule="atLeast"/>
        </w:trPr>
        <w:tc>
          <w:tcPr>
            <w:tcW w:w="165" w:type="pct"/>
            <w:vAlign w:val="center"/>
          </w:tcPr>
          <w:p w14:paraId="447B3249">
            <w:pPr>
              <w:jc w:val="center"/>
              <w:rPr>
                <w:rFonts w:ascii="Times New Roman" w:hAnsi="Times New Roman" w:eastAsia="宋体" w:cs="Times New Roman"/>
                <w:bCs/>
                <w:szCs w:val="21"/>
              </w:rPr>
            </w:pPr>
            <w:r>
              <w:rPr>
                <w:rFonts w:ascii="Times New Roman" w:hAnsi="Times New Roman" w:eastAsia="宋体" w:cs="Times New Roman"/>
                <w:bCs/>
                <w:szCs w:val="21"/>
              </w:rPr>
              <w:t>1</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0B0A3">
            <w:pPr>
              <w:keepNext w:val="0"/>
              <w:keepLines w:val="0"/>
              <w:numPr>
                <w:ilvl w:val="0"/>
                <w:numId w:val="0"/>
              </w:numPr>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szCs w:val="21"/>
                <w:lang w:eastAsia="zh-CN"/>
              </w:rPr>
            </w:pPr>
            <w:r>
              <w:rPr>
                <w:rFonts w:hint="default" w:ascii="Times New Roman" w:hAnsi="Times New Roman" w:eastAsia="宋体" w:cs="Times New Roman"/>
                <w:bCs/>
                <w:sz w:val="22"/>
                <w:szCs w:val="22"/>
                <w:lang w:val="en-US" w:eastAsia="zh-CN"/>
              </w:rPr>
              <w:t>J</w:t>
            </w:r>
            <w:r>
              <w:rPr>
                <w:rFonts w:hint="eastAsia" w:ascii="Times New Roman" w:hAnsi="Times New Roman" w:eastAsia="宋体" w:cs="Times New Roman"/>
                <w:bCs/>
                <w:sz w:val="22"/>
                <w:szCs w:val="22"/>
                <w:lang w:val="en-US" w:eastAsia="zh-CN"/>
              </w:rPr>
              <w:t>JG</w:t>
            </w:r>
            <w:r>
              <w:rPr>
                <w:rFonts w:hint="default" w:ascii="Times New Roman" w:hAnsi="Times New Roman" w:eastAsia="宋体" w:cs="Times New Roman"/>
                <w:bCs/>
                <w:sz w:val="22"/>
                <w:szCs w:val="22"/>
                <w:lang w:val="en-US" w:eastAsia="zh-CN"/>
              </w:rPr>
              <w:t xml:space="preserve"> 202</w:t>
            </w:r>
            <w:r>
              <w:rPr>
                <w:rFonts w:hint="eastAsia" w:ascii="Times New Roman" w:hAnsi="Times New Roman" w:eastAsia="宋体" w:cs="Times New Roman"/>
                <w:bCs/>
                <w:sz w:val="22"/>
                <w:szCs w:val="22"/>
                <w:lang w:val="en-US" w:eastAsia="zh-CN"/>
              </w:rPr>
              <w:t>6</w:t>
            </w:r>
            <w:r>
              <w:rPr>
                <w:rFonts w:hint="default" w:ascii="Times New Roman" w:hAnsi="Times New Roman" w:eastAsia="宋体" w:cs="Times New Roman"/>
                <w:bCs/>
                <w:sz w:val="22"/>
                <w:szCs w:val="22"/>
                <w:lang w:val="en-US" w:eastAsia="zh-CN"/>
              </w:rPr>
              <w:t>-0</w:t>
            </w:r>
            <w:r>
              <w:rPr>
                <w:rFonts w:hint="eastAsia" w:ascii="Times New Roman" w:hAnsi="Times New Roman" w:eastAsia="宋体" w:cs="Times New Roman"/>
                <w:bCs/>
                <w:sz w:val="22"/>
                <w:szCs w:val="22"/>
                <w:lang w:val="en-US" w:eastAsia="zh-CN"/>
              </w:rPr>
              <w:t>2</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83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ascii="Times New Roman" w:hAnsi="Times New Roman" w:eastAsia="宋体" w:cs="Times New Roman"/>
                <w:szCs w:val="21"/>
              </w:rPr>
            </w:pPr>
            <w:r>
              <w:rPr>
                <w:rFonts w:hint="eastAsia" w:ascii="Times New Roman" w:hAnsi="Times New Roman" w:eastAsia="宋体" w:cs="Times New Roman"/>
                <w:color w:val="000000"/>
                <w:kern w:val="0"/>
                <w:sz w:val="22"/>
                <w:szCs w:val="22"/>
                <w:lang w:val="en-US" w:eastAsia="zh-CN" w:bidi="ar"/>
              </w:rPr>
              <w:t>沥青混合料冻融劈裂试验仪</w:t>
            </w:r>
          </w:p>
        </w:tc>
        <w:tc>
          <w:tcPr>
            <w:tcW w:w="4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7F6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eastAsia" w:ascii="Times New Roman" w:hAnsi="Times New Roman" w:eastAsia="宋体" w:cs="Times New Roman"/>
                <w:color w:val="000000"/>
                <w:kern w:val="0"/>
                <w:sz w:val="22"/>
                <w:szCs w:val="22"/>
                <w:lang w:val="en-US" w:eastAsia="zh-CN" w:bidi="ar"/>
              </w:rPr>
            </w:pPr>
            <w:r>
              <w:rPr>
                <w:rFonts w:hint="eastAsia" w:ascii="Times New Roman" w:hAnsi="Times New Roman" w:eastAsia="宋体" w:cs="Times New Roman"/>
                <w:color w:val="000000"/>
                <w:kern w:val="0"/>
                <w:sz w:val="22"/>
                <w:szCs w:val="22"/>
                <w:lang w:val="en-US" w:eastAsia="zh-CN" w:bidi="ar"/>
              </w:rPr>
              <w:t>拟规定沥青混合料冻融劈裂试验仪的范围、引用文件、被检仪器简述、计量性能和要求、计量技术要求和计量控制等。</w:t>
            </w:r>
          </w:p>
          <w:p w14:paraId="5D9257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ascii="Times New Roman" w:hAnsi="Times New Roman" w:eastAsia="宋体" w:cs="Times New Roman"/>
                <w:szCs w:val="21"/>
              </w:rPr>
            </w:pPr>
            <w:r>
              <w:rPr>
                <w:rFonts w:hint="eastAsia" w:ascii="Times New Roman" w:hAnsi="Times New Roman" w:eastAsia="宋体" w:cs="Times New Roman"/>
                <w:color w:val="000000"/>
                <w:kern w:val="0"/>
                <w:sz w:val="22"/>
                <w:szCs w:val="22"/>
                <w:lang w:val="en-US" w:eastAsia="zh-CN" w:bidi="ar"/>
              </w:rPr>
              <w:t>适用于沥混合料冻融劈裂试验仪的首次检定、后续检定和使用中检查。</w:t>
            </w:r>
          </w:p>
        </w:tc>
        <w:tc>
          <w:tcPr>
            <w:tcW w:w="558" w:type="dxa"/>
            <w:vAlign w:val="center"/>
          </w:tcPr>
          <w:p w14:paraId="117120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center"/>
              <w:textAlignment w:val="center"/>
              <w:rPr>
                <w:rFonts w:ascii="Times New Roman" w:hAnsi="Times New Roman" w:eastAsia="宋体" w:cs="Times New Roman"/>
                <w:bCs/>
                <w:szCs w:val="21"/>
              </w:rPr>
            </w:pPr>
            <w:r>
              <w:rPr>
                <w:rFonts w:hint="eastAsia" w:ascii="Times New Roman" w:hAnsi="Times New Roman" w:eastAsia="宋体" w:cs="Times New Roman"/>
                <w:color w:val="000000"/>
                <w:kern w:val="0"/>
                <w:sz w:val="22"/>
                <w:szCs w:val="22"/>
                <w:lang w:val="en-US" w:eastAsia="zh-CN" w:bidi="ar"/>
              </w:rPr>
              <w:t>制定</w:t>
            </w:r>
          </w:p>
        </w:tc>
        <w:tc>
          <w:tcPr>
            <w:tcW w:w="921" w:type="dxa"/>
            <w:vAlign w:val="center"/>
          </w:tcPr>
          <w:p w14:paraId="0A08B2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center"/>
              <w:textAlignment w:val="center"/>
              <w:rPr>
                <w:rFonts w:ascii="Times New Roman" w:hAnsi="Times New Roman" w:eastAsia="宋体" w:cs="Times New Roman"/>
                <w:bCs/>
                <w:szCs w:val="21"/>
              </w:rPr>
            </w:pPr>
          </w:p>
        </w:tc>
        <w:tc>
          <w:tcPr>
            <w:tcW w:w="781" w:type="dxa"/>
            <w:vAlign w:val="center"/>
          </w:tcPr>
          <w:p w14:paraId="7C1CF1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center"/>
              <w:textAlignment w:val="center"/>
              <w:rPr>
                <w:rFonts w:ascii="Times New Roman" w:hAnsi="Times New Roman" w:eastAsia="宋体" w:cs="Times New Roman"/>
                <w:bCs/>
                <w:szCs w:val="21"/>
              </w:rPr>
            </w:pPr>
            <w:r>
              <w:rPr>
                <w:rFonts w:hint="eastAsia" w:ascii="Times New Roman" w:hAnsi="Times New Roman" w:eastAsia="宋体" w:cs="Times New Roman"/>
                <w:color w:val="000000"/>
                <w:kern w:val="0"/>
                <w:sz w:val="22"/>
                <w:szCs w:val="22"/>
                <w:lang w:val="en-US" w:eastAsia="zh-CN" w:bidi="ar"/>
              </w:rPr>
              <w:t>18</w:t>
            </w:r>
          </w:p>
        </w:tc>
        <w:tc>
          <w:tcPr>
            <w:tcW w:w="949" w:type="dxa"/>
            <w:vAlign w:val="center"/>
          </w:tcPr>
          <w:p w14:paraId="226EB8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center"/>
              <w:textAlignment w:val="center"/>
              <w:rPr>
                <w:rFonts w:ascii="Times New Roman" w:hAnsi="Times New Roman" w:eastAsia="宋体" w:cs="Times New Roman"/>
                <w:bCs/>
                <w:szCs w:val="21"/>
              </w:rPr>
            </w:pPr>
            <w:r>
              <w:rPr>
                <w:rFonts w:hint="eastAsia" w:ascii="Times New Roman" w:hAnsi="Times New Roman" w:eastAsia="宋体" w:cs="Times New Roman"/>
                <w:color w:val="000000"/>
                <w:kern w:val="0"/>
                <w:sz w:val="22"/>
                <w:szCs w:val="22"/>
                <w:lang w:val="en-US" w:eastAsia="zh-CN" w:bidi="ar"/>
              </w:rPr>
              <w:t>公路计量委员会</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4C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eastAsia" w:ascii="Times New Roman" w:hAnsi="Times New Roman" w:eastAsia="宋体" w:cs="Times New Roman"/>
                <w:color w:val="000000"/>
                <w:kern w:val="0"/>
                <w:sz w:val="22"/>
                <w:szCs w:val="22"/>
                <w:lang w:val="en-US" w:eastAsia="zh-CN" w:bidi="ar"/>
              </w:rPr>
            </w:pPr>
            <w:r>
              <w:rPr>
                <w:rFonts w:hint="eastAsia" w:ascii="Times New Roman" w:hAnsi="Times New Roman" w:eastAsia="宋体" w:cs="Times New Roman"/>
                <w:color w:val="000000"/>
                <w:kern w:val="0"/>
                <w:sz w:val="22"/>
                <w:szCs w:val="22"/>
                <w:lang w:val="en-US" w:eastAsia="zh-CN" w:bidi="ar"/>
              </w:rPr>
              <w:t>交通运输部公路科学研究所、中</w:t>
            </w:r>
          </w:p>
          <w:p w14:paraId="4A14CC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eastAsia" w:ascii="Times New Roman" w:hAnsi="Times New Roman" w:eastAsia="宋体" w:cs="Times New Roman"/>
                <w:color w:val="000000"/>
                <w:kern w:val="0"/>
                <w:sz w:val="22"/>
                <w:szCs w:val="22"/>
                <w:lang w:val="en-US" w:eastAsia="zh-CN" w:bidi="ar"/>
              </w:rPr>
            </w:pPr>
            <w:r>
              <w:rPr>
                <w:rFonts w:hint="eastAsia" w:ascii="Times New Roman" w:hAnsi="Times New Roman" w:eastAsia="宋体" w:cs="Times New Roman"/>
                <w:color w:val="000000"/>
                <w:kern w:val="0"/>
                <w:sz w:val="22"/>
                <w:szCs w:val="22"/>
                <w:lang w:val="en-US" w:eastAsia="zh-CN" w:bidi="ar"/>
              </w:rPr>
              <w:t>国合格评定国家认可中心、中国</w:t>
            </w:r>
          </w:p>
          <w:p w14:paraId="779C38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eastAsia" w:ascii="Times New Roman" w:hAnsi="Times New Roman" w:eastAsia="宋体" w:cs="Times New Roman"/>
                <w:color w:val="000000"/>
                <w:kern w:val="0"/>
                <w:sz w:val="22"/>
                <w:szCs w:val="22"/>
                <w:lang w:val="en-US" w:eastAsia="zh-CN" w:bidi="ar"/>
              </w:rPr>
            </w:pPr>
            <w:r>
              <w:rPr>
                <w:rFonts w:hint="eastAsia" w:ascii="Times New Roman" w:hAnsi="Times New Roman" w:eastAsia="宋体" w:cs="Times New Roman"/>
                <w:color w:val="000000"/>
                <w:kern w:val="0"/>
                <w:sz w:val="22"/>
                <w:szCs w:val="22"/>
                <w:lang w:val="en-US" w:eastAsia="zh-CN" w:bidi="ar"/>
              </w:rPr>
              <w:t>计量科学研究院、山东省交通科</w:t>
            </w:r>
          </w:p>
          <w:p w14:paraId="1C1BAB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eastAsia" w:ascii="Times New Roman" w:hAnsi="Times New Roman" w:eastAsia="宋体" w:cs="Times New Roman"/>
                <w:color w:val="000000"/>
                <w:kern w:val="0"/>
                <w:sz w:val="22"/>
                <w:szCs w:val="22"/>
                <w:lang w:val="en-US" w:eastAsia="zh-CN" w:bidi="ar"/>
              </w:rPr>
            </w:pPr>
            <w:r>
              <w:rPr>
                <w:rFonts w:hint="eastAsia" w:ascii="Times New Roman" w:hAnsi="Times New Roman" w:eastAsia="宋体" w:cs="Times New Roman"/>
                <w:color w:val="000000"/>
                <w:kern w:val="0"/>
                <w:sz w:val="22"/>
                <w:szCs w:val="22"/>
                <w:lang w:val="en-US" w:eastAsia="zh-CN" w:bidi="ar"/>
              </w:rPr>
              <w:t>学研究院、中路高科交通检测检</w:t>
            </w:r>
          </w:p>
          <w:p w14:paraId="081CE9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ascii="Times New Roman" w:hAnsi="Times New Roman" w:eastAsia="宋体" w:cs="Times New Roman"/>
                <w:szCs w:val="21"/>
              </w:rPr>
            </w:pPr>
            <w:r>
              <w:rPr>
                <w:rFonts w:hint="eastAsia" w:ascii="Times New Roman" w:hAnsi="Times New Roman" w:eastAsia="宋体" w:cs="Times New Roman"/>
                <w:color w:val="000000"/>
                <w:kern w:val="0"/>
                <w:sz w:val="22"/>
                <w:szCs w:val="22"/>
                <w:lang w:val="en-US" w:eastAsia="zh-CN" w:bidi="ar"/>
              </w:rPr>
              <w:t>验认证有限公司</w:t>
            </w:r>
          </w:p>
        </w:tc>
      </w:tr>
      <w:tr w14:paraId="22B03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98" w:hRule="atLeast"/>
        </w:trPr>
        <w:tc>
          <w:tcPr>
            <w:tcW w:w="165" w:type="pct"/>
            <w:vAlign w:val="center"/>
          </w:tcPr>
          <w:p w14:paraId="163E66AD">
            <w:pPr>
              <w:jc w:val="center"/>
              <w:rPr>
                <w:rFonts w:hint="eastAsia" w:ascii="Times New Roman" w:hAnsi="Times New Roman" w:eastAsia="宋体" w:cs="Times New Roman"/>
                <w:bCs/>
                <w:szCs w:val="21"/>
                <w:lang w:val="en-US" w:eastAsia="zh-CN"/>
              </w:rPr>
            </w:pPr>
            <w:r>
              <w:rPr>
                <w:rFonts w:hint="eastAsia" w:ascii="Times New Roman" w:hAnsi="Times New Roman" w:eastAsia="宋体" w:cs="Times New Roman"/>
                <w:bCs/>
                <w:szCs w:val="21"/>
                <w:lang w:val="en-US" w:eastAsia="zh-CN"/>
              </w:rPr>
              <w:t>2</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BE0F2">
            <w:pPr>
              <w:keepNext w:val="0"/>
              <w:keepLines w:val="0"/>
              <w:numPr>
                <w:ilvl w:val="0"/>
                <w:numId w:val="0"/>
              </w:numPr>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szCs w:val="21"/>
              </w:rPr>
            </w:pPr>
            <w:r>
              <w:rPr>
                <w:rFonts w:hint="default" w:ascii="Times New Roman" w:hAnsi="Times New Roman" w:eastAsia="宋体" w:cs="Times New Roman"/>
                <w:bCs/>
                <w:sz w:val="22"/>
                <w:szCs w:val="22"/>
                <w:lang w:val="en-US" w:eastAsia="zh-CN"/>
              </w:rPr>
              <w:t>J</w:t>
            </w:r>
            <w:r>
              <w:rPr>
                <w:rFonts w:hint="eastAsia" w:ascii="Times New Roman" w:hAnsi="Times New Roman" w:eastAsia="宋体" w:cs="Times New Roman"/>
                <w:bCs/>
                <w:sz w:val="22"/>
                <w:szCs w:val="22"/>
                <w:lang w:val="en-US" w:eastAsia="zh-CN"/>
              </w:rPr>
              <w:t>JG</w:t>
            </w:r>
            <w:r>
              <w:rPr>
                <w:rFonts w:hint="default" w:ascii="Times New Roman" w:hAnsi="Times New Roman" w:eastAsia="宋体" w:cs="Times New Roman"/>
                <w:bCs/>
                <w:sz w:val="22"/>
                <w:szCs w:val="22"/>
                <w:lang w:val="en-US" w:eastAsia="zh-CN"/>
              </w:rPr>
              <w:t xml:space="preserve"> 202</w:t>
            </w:r>
            <w:r>
              <w:rPr>
                <w:rFonts w:hint="eastAsia" w:ascii="Times New Roman" w:hAnsi="Times New Roman" w:eastAsia="宋体" w:cs="Times New Roman"/>
                <w:bCs/>
                <w:sz w:val="22"/>
                <w:szCs w:val="22"/>
                <w:lang w:val="en-US" w:eastAsia="zh-CN"/>
              </w:rPr>
              <w:t>6</w:t>
            </w:r>
            <w:r>
              <w:rPr>
                <w:rFonts w:hint="default" w:ascii="Times New Roman" w:hAnsi="Times New Roman" w:eastAsia="宋体" w:cs="Times New Roman"/>
                <w:bCs/>
                <w:sz w:val="22"/>
                <w:szCs w:val="22"/>
                <w:lang w:val="en-US" w:eastAsia="zh-CN"/>
              </w:rPr>
              <w:t>-0</w:t>
            </w:r>
            <w:r>
              <w:rPr>
                <w:rFonts w:hint="eastAsia" w:ascii="Times New Roman" w:hAnsi="Times New Roman" w:eastAsia="宋体" w:cs="Times New Roman"/>
                <w:bCs/>
                <w:sz w:val="22"/>
                <w:szCs w:val="22"/>
                <w:lang w:val="en-US" w:eastAsia="zh-CN"/>
              </w:rPr>
              <w:t>3</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007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color w:val="000000"/>
                <w:kern w:val="0"/>
                <w:sz w:val="22"/>
                <w:szCs w:val="22"/>
                <w:lang w:val="en-US" w:eastAsia="zh-CN" w:bidi="ar"/>
              </w:rPr>
              <w:t>船舶尾气嗅探检测仪</w:t>
            </w:r>
          </w:p>
        </w:tc>
        <w:tc>
          <w:tcPr>
            <w:tcW w:w="4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15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eastAsia" w:ascii="Times New Roman" w:hAnsi="Times New Roman" w:eastAsia="宋体" w:cs="Times New Roman"/>
                <w:color w:val="000000"/>
                <w:kern w:val="0"/>
                <w:sz w:val="22"/>
                <w:szCs w:val="22"/>
                <w:lang w:val="en-US" w:eastAsia="zh-CN" w:bidi="ar"/>
              </w:rPr>
            </w:pPr>
            <w:r>
              <w:rPr>
                <w:rFonts w:hint="eastAsia" w:ascii="Times New Roman" w:hAnsi="Times New Roman" w:eastAsia="宋体" w:cs="Times New Roman"/>
                <w:color w:val="000000"/>
                <w:kern w:val="0"/>
                <w:sz w:val="22"/>
                <w:szCs w:val="22"/>
                <w:lang w:val="en-US" w:eastAsia="zh-CN" w:bidi="ar"/>
              </w:rPr>
              <w:t>拟规定船舶尾气嗅探检测仪的计量特性和要求、计量技术要求和计量控制等技术内容。</w:t>
            </w:r>
          </w:p>
          <w:p w14:paraId="673A14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color w:val="000000"/>
                <w:kern w:val="0"/>
                <w:sz w:val="22"/>
                <w:szCs w:val="22"/>
                <w:lang w:val="en-US" w:eastAsia="zh-CN" w:bidi="ar"/>
              </w:rPr>
              <w:t>适用于船舶尾气嗅探检测仪的首次检定、后续检定和使用中检查。</w:t>
            </w:r>
          </w:p>
        </w:tc>
        <w:tc>
          <w:tcPr>
            <w:tcW w:w="558" w:type="dxa"/>
            <w:vAlign w:val="center"/>
          </w:tcPr>
          <w:p w14:paraId="15FEF3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center"/>
              <w:textAlignment w:val="center"/>
              <w:rPr>
                <w:rFonts w:ascii="Times New Roman" w:hAnsi="Times New Roman" w:eastAsia="宋体" w:cs="Times New Roman"/>
                <w:bCs/>
                <w:szCs w:val="21"/>
              </w:rPr>
            </w:pPr>
            <w:r>
              <w:rPr>
                <w:rFonts w:hint="eastAsia" w:ascii="Times New Roman" w:hAnsi="Times New Roman" w:eastAsia="宋体" w:cs="Times New Roman"/>
                <w:color w:val="000000"/>
                <w:kern w:val="0"/>
                <w:sz w:val="22"/>
                <w:szCs w:val="22"/>
                <w:lang w:val="en-US" w:eastAsia="zh-CN" w:bidi="ar"/>
              </w:rPr>
              <w:t>制定</w:t>
            </w:r>
          </w:p>
        </w:tc>
        <w:tc>
          <w:tcPr>
            <w:tcW w:w="921" w:type="dxa"/>
            <w:vAlign w:val="center"/>
          </w:tcPr>
          <w:p w14:paraId="52E245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center"/>
              <w:textAlignment w:val="center"/>
              <w:rPr>
                <w:rFonts w:ascii="Times New Roman" w:hAnsi="Times New Roman" w:eastAsia="宋体" w:cs="Times New Roman"/>
                <w:bCs/>
                <w:szCs w:val="21"/>
              </w:rPr>
            </w:pPr>
          </w:p>
        </w:tc>
        <w:tc>
          <w:tcPr>
            <w:tcW w:w="781" w:type="dxa"/>
            <w:vAlign w:val="center"/>
          </w:tcPr>
          <w:p w14:paraId="40B243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center"/>
              <w:textAlignment w:val="center"/>
              <w:rPr>
                <w:rFonts w:ascii="Times New Roman" w:hAnsi="Times New Roman" w:eastAsia="宋体" w:cs="Times New Roman"/>
                <w:bCs/>
                <w:szCs w:val="21"/>
              </w:rPr>
            </w:pPr>
            <w:r>
              <w:rPr>
                <w:rFonts w:hint="eastAsia" w:ascii="Times New Roman" w:hAnsi="Times New Roman" w:eastAsia="宋体" w:cs="Times New Roman"/>
                <w:color w:val="000000"/>
                <w:kern w:val="0"/>
                <w:sz w:val="22"/>
                <w:szCs w:val="22"/>
                <w:lang w:val="en-US" w:eastAsia="zh-CN" w:bidi="ar"/>
              </w:rPr>
              <w:t>12</w:t>
            </w:r>
          </w:p>
        </w:tc>
        <w:tc>
          <w:tcPr>
            <w:tcW w:w="949" w:type="dxa"/>
            <w:vAlign w:val="center"/>
          </w:tcPr>
          <w:p w14:paraId="686E8C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center"/>
              <w:textAlignment w:val="center"/>
              <w:rPr>
                <w:rFonts w:hint="eastAsia" w:ascii="Times New Roman" w:hAnsi="Times New Roman" w:eastAsia="宋体" w:cs="Times New Roman"/>
                <w:bCs/>
                <w:szCs w:val="21"/>
                <w:lang w:eastAsia="zh-CN"/>
              </w:rPr>
            </w:pPr>
            <w:r>
              <w:rPr>
                <w:rFonts w:hint="eastAsia" w:ascii="Times New Roman" w:hAnsi="Times New Roman" w:eastAsia="宋体" w:cs="Times New Roman"/>
                <w:color w:val="000000"/>
                <w:kern w:val="0"/>
                <w:sz w:val="22"/>
                <w:szCs w:val="22"/>
                <w:lang w:val="en-US" w:eastAsia="zh-CN" w:bidi="ar"/>
              </w:rPr>
              <w:t>水运计量委员会</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825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default" w:ascii="Times New Roman" w:hAnsi="Times New Roman" w:eastAsia="宋体" w:cs="Times New Roman"/>
                <w:color w:val="000000" w:themeColor="text1"/>
                <w:kern w:val="0"/>
                <w:sz w:val="22"/>
                <w:szCs w:val="22"/>
                <w:lang w:val="en-US" w:eastAsia="zh-CN" w:bidi="ar"/>
                <w14:textFill>
                  <w14:solidFill>
                    <w14:schemeClr w14:val="tx1"/>
                  </w14:solidFill>
                </w14:textFill>
              </w:rPr>
            </w:pPr>
            <w:r>
              <w:rPr>
                <w:rFonts w:hint="eastAsia" w:ascii="Times New Roman" w:hAnsi="Times New Roman" w:eastAsia="宋体" w:cs="Times New Roman"/>
                <w:color w:val="000000"/>
                <w:kern w:val="0"/>
                <w:sz w:val="22"/>
                <w:szCs w:val="22"/>
                <w:lang w:val="en-US" w:eastAsia="zh-CN" w:bidi="ar"/>
              </w:rPr>
              <w:t>交通运输部天津水运工程科学研究所、交通运输部东海航海保障中心、长航检测科技（武汉）有限公司、深圳市深圳港海洋发展有限公司</w:t>
            </w:r>
          </w:p>
        </w:tc>
      </w:tr>
      <w:tr w14:paraId="692DE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98" w:hRule="atLeast"/>
        </w:trPr>
        <w:tc>
          <w:tcPr>
            <w:tcW w:w="165" w:type="pct"/>
            <w:vAlign w:val="center"/>
          </w:tcPr>
          <w:p w14:paraId="6B8744AA">
            <w:pPr>
              <w:jc w:val="center"/>
              <w:rPr>
                <w:rFonts w:hint="default" w:ascii="Times New Roman" w:hAnsi="Times New Roman" w:eastAsia="宋体" w:cs="Times New Roman"/>
                <w:bCs/>
                <w:szCs w:val="21"/>
                <w:lang w:val="en-US" w:eastAsia="zh-CN"/>
              </w:rPr>
            </w:pPr>
            <w:r>
              <w:rPr>
                <w:rFonts w:hint="eastAsia" w:ascii="Times New Roman" w:hAnsi="Times New Roman" w:eastAsia="宋体" w:cs="Times New Roman"/>
                <w:bCs/>
                <w:szCs w:val="21"/>
                <w:lang w:val="en-US" w:eastAsia="zh-CN"/>
              </w:rPr>
              <w:t>3</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C14F">
            <w:pPr>
              <w:keepNext w:val="0"/>
              <w:keepLines w:val="0"/>
              <w:numPr>
                <w:ilvl w:val="0"/>
                <w:numId w:val="0"/>
              </w:numPr>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szCs w:val="21"/>
              </w:rPr>
            </w:pPr>
            <w:r>
              <w:rPr>
                <w:rFonts w:hint="default" w:ascii="Times New Roman" w:hAnsi="Times New Roman" w:eastAsia="宋体" w:cs="Times New Roman"/>
                <w:bCs/>
                <w:sz w:val="22"/>
                <w:szCs w:val="22"/>
                <w:lang w:val="en-US" w:eastAsia="zh-CN"/>
              </w:rPr>
              <w:t>J</w:t>
            </w:r>
            <w:r>
              <w:rPr>
                <w:rFonts w:hint="eastAsia" w:ascii="Times New Roman" w:hAnsi="Times New Roman" w:eastAsia="宋体" w:cs="Times New Roman"/>
                <w:bCs/>
                <w:sz w:val="22"/>
                <w:szCs w:val="22"/>
                <w:lang w:val="en-US" w:eastAsia="zh-CN"/>
              </w:rPr>
              <w:t>JG</w:t>
            </w:r>
            <w:r>
              <w:rPr>
                <w:rFonts w:hint="default" w:ascii="Times New Roman" w:hAnsi="Times New Roman" w:eastAsia="宋体" w:cs="Times New Roman"/>
                <w:bCs/>
                <w:sz w:val="22"/>
                <w:szCs w:val="22"/>
                <w:lang w:val="en-US" w:eastAsia="zh-CN"/>
              </w:rPr>
              <w:t xml:space="preserve"> 202</w:t>
            </w:r>
            <w:r>
              <w:rPr>
                <w:rFonts w:hint="eastAsia" w:ascii="Times New Roman" w:hAnsi="Times New Roman" w:eastAsia="宋体" w:cs="Times New Roman"/>
                <w:bCs/>
                <w:sz w:val="22"/>
                <w:szCs w:val="22"/>
                <w:lang w:val="en-US" w:eastAsia="zh-CN"/>
              </w:rPr>
              <w:t>6</w:t>
            </w:r>
            <w:r>
              <w:rPr>
                <w:rFonts w:hint="default" w:ascii="Times New Roman" w:hAnsi="Times New Roman" w:eastAsia="宋体" w:cs="Times New Roman"/>
                <w:bCs/>
                <w:sz w:val="22"/>
                <w:szCs w:val="22"/>
                <w:lang w:val="en-US" w:eastAsia="zh-CN"/>
              </w:rPr>
              <w:t>-0</w:t>
            </w:r>
            <w:r>
              <w:rPr>
                <w:rFonts w:hint="eastAsia" w:ascii="Times New Roman" w:hAnsi="Times New Roman" w:eastAsia="宋体" w:cs="Times New Roman"/>
                <w:bCs/>
                <w:sz w:val="22"/>
                <w:szCs w:val="22"/>
                <w:lang w:val="en-US" w:eastAsia="zh-CN"/>
              </w:rPr>
              <w:t>4</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49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color w:val="000000"/>
                <w:kern w:val="0"/>
                <w:sz w:val="22"/>
                <w:szCs w:val="22"/>
                <w:lang w:val="en-US" w:eastAsia="zh-CN" w:bidi="ar"/>
              </w:rPr>
              <w:t>港口机械 能量回馈测量系统</w:t>
            </w:r>
          </w:p>
        </w:tc>
        <w:tc>
          <w:tcPr>
            <w:tcW w:w="4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F67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eastAsia" w:ascii="Times New Roman" w:hAnsi="Times New Roman" w:eastAsia="宋体" w:cs="Times New Roman"/>
                <w:color w:val="000000"/>
                <w:kern w:val="0"/>
                <w:sz w:val="22"/>
                <w:szCs w:val="22"/>
                <w:lang w:val="en-US" w:eastAsia="zh-CN" w:bidi="ar"/>
              </w:rPr>
            </w:pPr>
            <w:r>
              <w:rPr>
                <w:rFonts w:hint="eastAsia" w:ascii="Times New Roman" w:hAnsi="Times New Roman" w:eastAsia="宋体" w:cs="Times New Roman"/>
                <w:color w:val="000000"/>
                <w:kern w:val="0"/>
                <w:sz w:val="22"/>
                <w:szCs w:val="22"/>
                <w:lang w:val="en-US" w:eastAsia="zh-CN" w:bidi="ar"/>
              </w:rPr>
              <w:t>拟规定能量回馈测量系统的电压示值误差、电流示值误差、电量示值误差等技术参数。</w:t>
            </w:r>
          </w:p>
          <w:p w14:paraId="2AAA29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color w:val="000000"/>
                <w:kern w:val="0"/>
                <w:sz w:val="22"/>
                <w:szCs w:val="22"/>
                <w:lang w:val="en-US" w:eastAsia="zh-CN" w:bidi="ar"/>
              </w:rPr>
              <w:t>适用于港口机械能量回馈测量系统的首次检定、后续检定和使用中检查。</w:t>
            </w:r>
          </w:p>
        </w:tc>
        <w:tc>
          <w:tcPr>
            <w:tcW w:w="558" w:type="dxa"/>
            <w:vAlign w:val="center"/>
          </w:tcPr>
          <w:p w14:paraId="370044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center"/>
              <w:textAlignment w:val="center"/>
              <w:rPr>
                <w:rFonts w:ascii="Times New Roman" w:hAnsi="Times New Roman" w:eastAsia="宋体" w:cs="Times New Roman"/>
                <w:bCs/>
                <w:szCs w:val="21"/>
              </w:rPr>
            </w:pPr>
            <w:r>
              <w:rPr>
                <w:rFonts w:hint="eastAsia" w:ascii="Times New Roman" w:hAnsi="Times New Roman" w:eastAsia="宋体" w:cs="Times New Roman"/>
                <w:color w:val="000000"/>
                <w:kern w:val="0"/>
                <w:sz w:val="22"/>
                <w:szCs w:val="22"/>
                <w:lang w:val="en-US" w:eastAsia="zh-CN" w:bidi="ar"/>
              </w:rPr>
              <w:t>制定</w:t>
            </w:r>
          </w:p>
        </w:tc>
        <w:tc>
          <w:tcPr>
            <w:tcW w:w="921" w:type="dxa"/>
            <w:vAlign w:val="center"/>
          </w:tcPr>
          <w:p w14:paraId="3DC826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center"/>
              <w:textAlignment w:val="center"/>
              <w:rPr>
                <w:rFonts w:ascii="Times New Roman" w:hAnsi="Times New Roman" w:eastAsia="宋体" w:cs="Times New Roman"/>
                <w:bCs/>
                <w:szCs w:val="21"/>
              </w:rPr>
            </w:pPr>
          </w:p>
        </w:tc>
        <w:tc>
          <w:tcPr>
            <w:tcW w:w="781" w:type="dxa"/>
            <w:vAlign w:val="center"/>
          </w:tcPr>
          <w:p w14:paraId="17CD9E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center"/>
              <w:textAlignment w:val="center"/>
              <w:rPr>
                <w:rFonts w:ascii="Times New Roman" w:hAnsi="Times New Roman" w:eastAsia="宋体" w:cs="Times New Roman"/>
                <w:bCs/>
                <w:szCs w:val="21"/>
              </w:rPr>
            </w:pPr>
            <w:r>
              <w:rPr>
                <w:rFonts w:hint="eastAsia" w:ascii="Times New Roman" w:hAnsi="Times New Roman" w:eastAsia="宋体" w:cs="Times New Roman"/>
                <w:color w:val="000000"/>
                <w:kern w:val="0"/>
                <w:sz w:val="22"/>
                <w:szCs w:val="22"/>
                <w:lang w:val="en-US" w:eastAsia="zh-CN" w:bidi="ar"/>
              </w:rPr>
              <w:t>12</w:t>
            </w:r>
          </w:p>
        </w:tc>
        <w:tc>
          <w:tcPr>
            <w:tcW w:w="949" w:type="dxa"/>
            <w:vAlign w:val="center"/>
          </w:tcPr>
          <w:p w14:paraId="184975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center"/>
              <w:textAlignment w:val="center"/>
              <w:rPr>
                <w:rFonts w:hint="eastAsia" w:ascii="Times New Roman" w:hAnsi="Times New Roman" w:eastAsia="宋体" w:cs="Times New Roman"/>
                <w:bCs/>
                <w:szCs w:val="21"/>
                <w:lang w:eastAsia="zh-CN"/>
              </w:rPr>
            </w:pPr>
            <w:r>
              <w:rPr>
                <w:rFonts w:hint="eastAsia" w:ascii="Times New Roman" w:hAnsi="Times New Roman" w:eastAsia="宋体" w:cs="Times New Roman"/>
                <w:color w:val="000000"/>
                <w:kern w:val="0"/>
                <w:sz w:val="22"/>
                <w:szCs w:val="22"/>
                <w:lang w:val="en-US" w:eastAsia="zh-CN" w:bidi="ar"/>
              </w:rPr>
              <w:t>水运计量委员会</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D0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default" w:ascii="Times New Roman" w:hAnsi="Times New Roman" w:eastAsia="宋体" w:cs="Times New Roman"/>
                <w:color w:val="000000" w:themeColor="text1"/>
                <w:kern w:val="0"/>
                <w:sz w:val="22"/>
                <w:szCs w:val="22"/>
                <w:lang w:val="en-US" w:eastAsia="zh-CN" w:bidi="ar"/>
                <w14:textFill>
                  <w14:solidFill>
                    <w14:schemeClr w14:val="tx1"/>
                  </w14:solidFill>
                </w14:textFill>
              </w:rPr>
            </w:pPr>
            <w:r>
              <w:rPr>
                <w:rFonts w:hint="eastAsia" w:ascii="Times New Roman" w:hAnsi="Times New Roman" w:eastAsia="宋体" w:cs="Times New Roman"/>
                <w:color w:val="000000"/>
                <w:kern w:val="0"/>
                <w:sz w:val="22"/>
                <w:szCs w:val="22"/>
                <w:lang w:val="en-US" w:eastAsia="zh-CN" w:bidi="ar"/>
              </w:rPr>
              <w:t>交通运输部天津水运工程科学研究所、天津港焦炭码头有限公司、天津大学</w:t>
            </w:r>
          </w:p>
        </w:tc>
      </w:tr>
      <w:tr w14:paraId="7213F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98" w:hRule="atLeast"/>
        </w:trPr>
        <w:tc>
          <w:tcPr>
            <w:tcW w:w="165" w:type="pct"/>
            <w:vAlign w:val="center"/>
          </w:tcPr>
          <w:p w14:paraId="518C21AE">
            <w:pPr>
              <w:jc w:val="center"/>
              <w:rPr>
                <w:rFonts w:hint="eastAsia" w:ascii="Times New Roman" w:hAnsi="Times New Roman" w:eastAsia="宋体" w:cs="Times New Roman"/>
                <w:bCs/>
                <w:szCs w:val="21"/>
                <w:lang w:val="en-US" w:eastAsia="zh-CN"/>
              </w:rPr>
            </w:pPr>
            <w:r>
              <w:rPr>
                <w:rFonts w:hint="eastAsia" w:ascii="Times New Roman" w:hAnsi="Times New Roman" w:eastAsia="宋体" w:cs="Times New Roman"/>
                <w:bCs/>
                <w:szCs w:val="21"/>
                <w:lang w:val="en-US" w:eastAsia="zh-CN"/>
              </w:rPr>
              <w:t>4</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7B0F">
            <w:pPr>
              <w:keepNext w:val="0"/>
              <w:keepLines w:val="0"/>
              <w:numPr>
                <w:ilvl w:val="0"/>
                <w:numId w:val="0"/>
              </w:numPr>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szCs w:val="21"/>
              </w:rPr>
            </w:pPr>
            <w:r>
              <w:rPr>
                <w:rFonts w:hint="default" w:ascii="Times New Roman" w:hAnsi="Times New Roman" w:eastAsia="宋体" w:cs="Times New Roman"/>
                <w:bCs/>
                <w:sz w:val="22"/>
                <w:szCs w:val="22"/>
                <w:lang w:val="en-US" w:eastAsia="zh-CN"/>
              </w:rPr>
              <w:t>J</w:t>
            </w:r>
            <w:r>
              <w:rPr>
                <w:rFonts w:hint="eastAsia" w:ascii="Times New Roman" w:hAnsi="Times New Roman" w:eastAsia="宋体" w:cs="Times New Roman"/>
                <w:bCs/>
                <w:sz w:val="22"/>
                <w:szCs w:val="22"/>
                <w:lang w:val="en-US" w:eastAsia="zh-CN"/>
              </w:rPr>
              <w:t>JG</w:t>
            </w:r>
            <w:r>
              <w:rPr>
                <w:rFonts w:hint="default" w:ascii="Times New Roman" w:hAnsi="Times New Roman" w:eastAsia="宋体" w:cs="Times New Roman"/>
                <w:bCs/>
                <w:sz w:val="22"/>
                <w:szCs w:val="22"/>
                <w:lang w:val="en-US" w:eastAsia="zh-CN"/>
              </w:rPr>
              <w:t xml:space="preserve"> 202</w:t>
            </w:r>
            <w:r>
              <w:rPr>
                <w:rFonts w:hint="eastAsia" w:ascii="Times New Roman" w:hAnsi="Times New Roman" w:eastAsia="宋体" w:cs="Times New Roman"/>
                <w:bCs/>
                <w:sz w:val="22"/>
                <w:szCs w:val="22"/>
                <w:lang w:val="en-US" w:eastAsia="zh-CN"/>
              </w:rPr>
              <w:t>6</w:t>
            </w:r>
            <w:r>
              <w:rPr>
                <w:rFonts w:hint="default" w:ascii="Times New Roman" w:hAnsi="Times New Roman" w:eastAsia="宋体" w:cs="Times New Roman"/>
                <w:bCs/>
                <w:sz w:val="22"/>
                <w:szCs w:val="22"/>
                <w:lang w:val="en-US" w:eastAsia="zh-CN"/>
              </w:rPr>
              <w:t>-0</w:t>
            </w:r>
            <w:r>
              <w:rPr>
                <w:rFonts w:hint="eastAsia" w:ascii="Times New Roman" w:hAnsi="Times New Roman" w:eastAsia="宋体" w:cs="Times New Roman"/>
                <w:bCs/>
                <w:sz w:val="22"/>
                <w:szCs w:val="22"/>
                <w:lang w:val="en-US" w:eastAsia="zh-CN"/>
              </w:rPr>
              <w:t>5</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4B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color w:val="000000"/>
                <w:kern w:val="0"/>
                <w:sz w:val="22"/>
                <w:szCs w:val="22"/>
                <w:lang w:val="en-US" w:eastAsia="zh-CN" w:bidi="ar"/>
              </w:rPr>
              <w:t>直读式测钙仪</w:t>
            </w:r>
          </w:p>
        </w:tc>
        <w:tc>
          <w:tcPr>
            <w:tcW w:w="4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374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eastAsia" w:ascii="Times New Roman" w:hAnsi="Times New Roman" w:eastAsia="宋体" w:cs="Times New Roman"/>
                <w:color w:val="000000"/>
                <w:kern w:val="0"/>
                <w:sz w:val="22"/>
                <w:szCs w:val="22"/>
                <w:lang w:val="en-US" w:eastAsia="zh-CN" w:bidi="ar"/>
              </w:rPr>
            </w:pPr>
            <w:r>
              <w:rPr>
                <w:rFonts w:hint="eastAsia" w:ascii="Times New Roman" w:hAnsi="Times New Roman" w:eastAsia="宋体" w:cs="Times New Roman"/>
                <w:color w:val="000000"/>
                <w:kern w:val="0"/>
                <w:sz w:val="22"/>
                <w:szCs w:val="22"/>
                <w:lang w:val="en-US" w:eastAsia="zh-CN" w:bidi="ar"/>
              </w:rPr>
              <w:t>拟规定直读式测钙仪的概述、计量性能要求、通用技术要求、计量器具控制等。</w:t>
            </w:r>
          </w:p>
          <w:p w14:paraId="366700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default" w:ascii="Times New Roman" w:hAnsi="Times New Roman" w:eastAsia="宋体" w:cs="Times New Roman"/>
                <w:szCs w:val="21"/>
                <w:lang w:val="en-US" w:eastAsia="zh-CN"/>
              </w:rPr>
            </w:pPr>
            <w:r>
              <w:rPr>
                <w:rFonts w:hint="eastAsia" w:ascii="Times New Roman" w:hAnsi="Times New Roman" w:eastAsia="宋体" w:cs="Times New Roman"/>
                <w:color w:val="000000"/>
                <w:kern w:val="0"/>
                <w:sz w:val="22"/>
                <w:szCs w:val="22"/>
                <w:lang w:val="en-US" w:eastAsia="zh-CN" w:bidi="ar"/>
              </w:rPr>
              <w:t>适用于直读式测钙仪的首次检定、后续检定和使用中检查。</w:t>
            </w:r>
          </w:p>
        </w:tc>
        <w:tc>
          <w:tcPr>
            <w:tcW w:w="558" w:type="dxa"/>
            <w:vAlign w:val="center"/>
          </w:tcPr>
          <w:p w14:paraId="730E96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center"/>
              <w:textAlignment w:val="center"/>
              <w:rPr>
                <w:rFonts w:ascii="Times New Roman" w:hAnsi="Times New Roman" w:eastAsia="宋体" w:cs="Times New Roman"/>
                <w:bCs/>
                <w:szCs w:val="21"/>
              </w:rPr>
            </w:pPr>
            <w:r>
              <w:rPr>
                <w:rFonts w:hint="eastAsia" w:ascii="Times New Roman" w:hAnsi="Times New Roman" w:eastAsia="宋体" w:cs="Times New Roman"/>
                <w:color w:val="000000"/>
                <w:kern w:val="0"/>
                <w:sz w:val="22"/>
                <w:szCs w:val="22"/>
                <w:lang w:val="en-US" w:eastAsia="zh-CN" w:bidi="ar"/>
              </w:rPr>
              <w:t>制定</w:t>
            </w:r>
          </w:p>
        </w:tc>
        <w:tc>
          <w:tcPr>
            <w:tcW w:w="921" w:type="dxa"/>
            <w:vAlign w:val="center"/>
          </w:tcPr>
          <w:p w14:paraId="3A87B0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center"/>
              <w:textAlignment w:val="center"/>
              <w:rPr>
                <w:rFonts w:ascii="Times New Roman" w:hAnsi="Times New Roman" w:eastAsia="宋体" w:cs="Times New Roman"/>
                <w:bCs/>
                <w:szCs w:val="21"/>
              </w:rPr>
            </w:pPr>
          </w:p>
        </w:tc>
        <w:tc>
          <w:tcPr>
            <w:tcW w:w="781" w:type="dxa"/>
            <w:vAlign w:val="center"/>
          </w:tcPr>
          <w:p w14:paraId="15B1A8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center"/>
              <w:textAlignment w:val="center"/>
              <w:rPr>
                <w:rFonts w:ascii="Times New Roman" w:hAnsi="Times New Roman" w:eastAsia="宋体" w:cs="Times New Roman"/>
                <w:bCs/>
                <w:szCs w:val="21"/>
              </w:rPr>
            </w:pPr>
            <w:r>
              <w:rPr>
                <w:rFonts w:hint="eastAsia" w:ascii="Times New Roman" w:hAnsi="Times New Roman" w:eastAsia="宋体" w:cs="Times New Roman"/>
                <w:color w:val="000000"/>
                <w:kern w:val="0"/>
                <w:sz w:val="22"/>
                <w:szCs w:val="22"/>
                <w:lang w:val="en-US" w:eastAsia="zh-CN" w:bidi="ar"/>
              </w:rPr>
              <w:t>12</w:t>
            </w:r>
          </w:p>
        </w:tc>
        <w:tc>
          <w:tcPr>
            <w:tcW w:w="949" w:type="dxa"/>
            <w:vAlign w:val="center"/>
          </w:tcPr>
          <w:p w14:paraId="277386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center"/>
              <w:textAlignment w:val="center"/>
              <w:rPr>
                <w:rFonts w:hint="eastAsia" w:ascii="Times New Roman" w:hAnsi="Times New Roman" w:eastAsia="宋体" w:cs="Times New Roman"/>
                <w:bCs/>
                <w:szCs w:val="21"/>
                <w:lang w:eastAsia="zh-CN"/>
              </w:rPr>
            </w:pPr>
            <w:r>
              <w:rPr>
                <w:rFonts w:hint="eastAsia" w:ascii="Times New Roman" w:hAnsi="Times New Roman" w:eastAsia="宋体" w:cs="Times New Roman"/>
                <w:color w:val="000000"/>
                <w:kern w:val="0"/>
                <w:sz w:val="22"/>
                <w:szCs w:val="22"/>
                <w:lang w:val="en-US" w:eastAsia="zh-CN" w:bidi="ar"/>
              </w:rPr>
              <w:t>水运计量委员会</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434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1" w:leftChars="10" w:right="0" w:rightChars="0"/>
              <w:jc w:val="left"/>
              <w:textAlignment w:val="center"/>
              <w:rPr>
                <w:rFonts w:hint="default" w:ascii="Times New Roman" w:hAnsi="Times New Roman" w:eastAsia="宋体" w:cs="Times New Roman"/>
                <w:color w:val="000000" w:themeColor="text1"/>
                <w:kern w:val="0"/>
                <w:sz w:val="22"/>
                <w:szCs w:val="22"/>
                <w:lang w:val="en-US" w:eastAsia="zh-CN" w:bidi="ar"/>
                <w14:textFill>
                  <w14:solidFill>
                    <w14:schemeClr w14:val="tx1"/>
                  </w14:solidFill>
                </w14:textFill>
              </w:rPr>
            </w:pPr>
            <w:r>
              <w:rPr>
                <w:rFonts w:hint="eastAsia" w:ascii="Times New Roman" w:hAnsi="Times New Roman" w:eastAsia="宋体" w:cs="Times New Roman"/>
                <w:color w:val="000000"/>
                <w:kern w:val="0"/>
                <w:sz w:val="22"/>
                <w:szCs w:val="22"/>
                <w:lang w:val="en-US" w:eastAsia="zh-CN" w:bidi="ar"/>
              </w:rPr>
              <w:t>交通运输部天津水运工程科学研究所、上海港湾工程质量检测有限公司</w:t>
            </w:r>
          </w:p>
        </w:tc>
      </w:tr>
    </w:tbl>
    <w:p w14:paraId="6F10A530">
      <w:pPr>
        <w:rPr>
          <w:rFonts w:ascii="Times New Roman" w:hAnsi="Times New Roman" w:eastAsia="仿宋_GB2312" w:cs="Times New Roman"/>
          <w:sz w:val="30"/>
          <w:szCs w:val="30"/>
        </w:rPr>
      </w:pPr>
    </w:p>
    <w:p w14:paraId="0A15CADD">
      <w:pPr>
        <w:rPr>
          <w:rFonts w:ascii="Times New Roman" w:hAnsi="Times New Roman" w:eastAsia="仿宋_GB2312" w:cs="Times New Roman"/>
          <w:sz w:val="30"/>
          <w:szCs w:val="30"/>
        </w:rPr>
      </w:pPr>
      <w:r>
        <w:rPr>
          <w:rFonts w:ascii="Times New Roman" w:hAnsi="Times New Roman" w:eastAsia="仿宋_GB2312" w:cs="Times New Roman"/>
          <w:sz w:val="30"/>
          <w:szCs w:val="30"/>
        </w:rPr>
        <w:br w:type="page"/>
      </w:r>
    </w:p>
    <w:p w14:paraId="79FF4E0F">
      <w:pPr>
        <w:rPr>
          <w:rFonts w:ascii="Times New Roman" w:hAnsi="Times New Roman" w:eastAsia="仿宋_GB2312" w:cs="Times New Roman"/>
          <w:sz w:val="30"/>
          <w:szCs w:val="30"/>
        </w:rPr>
        <w:sectPr>
          <w:pgSz w:w="16838" w:h="11906" w:orient="landscape"/>
          <w:pgMar w:top="1800" w:right="1440" w:bottom="1800" w:left="1440" w:header="851" w:footer="992" w:gutter="0"/>
          <w:cols w:space="425" w:num="1"/>
          <w:docGrid w:type="lines" w:linePitch="312" w:charSpace="0"/>
        </w:sectPr>
      </w:pPr>
    </w:p>
    <w:p w14:paraId="3E4E96C3">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注：技术归口单位列仅列出了简称，其全称如下所示。</w:t>
      </w:r>
    </w:p>
    <w:tbl>
      <w:tblPr>
        <w:tblStyle w:val="3"/>
        <w:tblW w:w="9057" w:type="dxa"/>
        <w:tblInd w:w="-3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5" w:type="dxa"/>
          <w:bottom w:w="0" w:type="dxa"/>
          <w:right w:w="15" w:type="dxa"/>
        </w:tblCellMar>
      </w:tblPr>
      <w:tblGrid>
        <w:gridCol w:w="555"/>
        <w:gridCol w:w="2715"/>
        <w:gridCol w:w="5787"/>
      </w:tblGrid>
      <w:tr w14:paraId="5588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448" w:hRule="atLeast"/>
        </w:trPr>
        <w:tc>
          <w:tcPr>
            <w:tcW w:w="555" w:type="dxa"/>
            <w:vAlign w:val="center"/>
          </w:tcPr>
          <w:p w14:paraId="13C74C3A">
            <w:pPr>
              <w:autoSpaceDN w:val="0"/>
              <w:spacing w:line="400" w:lineRule="exact"/>
              <w:jc w:val="center"/>
              <w:textAlignment w:val="center"/>
              <w:rPr>
                <w:rFonts w:ascii="Times New Roman" w:hAnsi="Times New Roman" w:eastAsia="宋体" w:cs="Times New Roman"/>
                <w:b/>
                <w:sz w:val="24"/>
                <w:szCs w:val="24"/>
              </w:rPr>
            </w:pPr>
            <w:r>
              <w:rPr>
                <w:rFonts w:ascii="Times New Roman" w:hAnsi="Times New Roman" w:eastAsia="宋体" w:cs="Times New Roman"/>
                <w:b/>
                <w:sz w:val="24"/>
                <w:szCs w:val="24"/>
              </w:rPr>
              <w:t>序号</w:t>
            </w:r>
          </w:p>
        </w:tc>
        <w:tc>
          <w:tcPr>
            <w:tcW w:w="2715" w:type="dxa"/>
            <w:vAlign w:val="center"/>
          </w:tcPr>
          <w:p w14:paraId="1AB2CC43">
            <w:pPr>
              <w:autoSpaceDN w:val="0"/>
              <w:spacing w:line="400" w:lineRule="exact"/>
              <w:jc w:val="center"/>
              <w:textAlignment w:val="center"/>
              <w:rPr>
                <w:rFonts w:ascii="Times New Roman" w:hAnsi="Times New Roman" w:eastAsia="宋体" w:cs="Times New Roman"/>
                <w:b/>
                <w:sz w:val="24"/>
                <w:szCs w:val="24"/>
              </w:rPr>
            </w:pPr>
            <w:r>
              <w:rPr>
                <w:rFonts w:ascii="Times New Roman" w:hAnsi="Times New Roman" w:eastAsia="宋体" w:cs="Times New Roman"/>
                <w:b/>
                <w:sz w:val="24"/>
                <w:szCs w:val="24"/>
              </w:rPr>
              <w:t>简</w:t>
            </w:r>
            <w:r>
              <w:rPr>
                <w:rFonts w:hint="eastAsia" w:ascii="Times New Roman" w:hAnsi="Times New Roman" w:eastAsia="宋体" w:cs="Times New Roman"/>
                <w:b/>
                <w:sz w:val="24"/>
                <w:szCs w:val="24"/>
              </w:rPr>
              <w:t xml:space="preserve">  </w:t>
            </w:r>
            <w:r>
              <w:rPr>
                <w:rFonts w:ascii="Times New Roman" w:hAnsi="Times New Roman" w:eastAsia="宋体" w:cs="Times New Roman"/>
                <w:b/>
                <w:sz w:val="24"/>
                <w:szCs w:val="24"/>
              </w:rPr>
              <w:t>称</w:t>
            </w:r>
          </w:p>
        </w:tc>
        <w:tc>
          <w:tcPr>
            <w:tcW w:w="5787" w:type="dxa"/>
            <w:vAlign w:val="center"/>
          </w:tcPr>
          <w:p w14:paraId="20F910A7">
            <w:pPr>
              <w:autoSpaceDN w:val="0"/>
              <w:spacing w:line="400" w:lineRule="exact"/>
              <w:jc w:val="center"/>
              <w:textAlignment w:val="center"/>
              <w:rPr>
                <w:rFonts w:ascii="Times New Roman" w:hAnsi="Times New Roman" w:eastAsia="宋体" w:cs="Times New Roman"/>
                <w:b/>
                <w:sz w:val="24"/>
                <w:szCs w:val="24"/>
              </w:rPr>
            </w:pPr>
            <w:r>
              <w:rPr>
                <w:rFonts w:ascii="Times New Roman" w:hAnsi="Times New Roman" w:eastAsia="宋体" w:cs="Times New Roman"/>
                <w:b/>
                <w:sz w:val="24"/>
                <w:szCs w:val="24"/>
              </w:rPr>
              <w:t>全</w:t>
            </w:r>
            <w:r>
              <w:rPr>
                <w:rFonts w:hint="eastAsia" w:ascii="Times New Roman" w:hAnsi="Times New Roman" w:eastAsia="宋体" w:cs="Times New Roman"/>
                <w:b/>
                <w:sz w:val="24"/>
                <w:szCs w:val="24"/>
              </w:rPr>
              <w:t xml:space="preserve">  </w:t>
            </w:r>
            <w:r>
              <w:rPr>
                <w:rFonts w:ascii="Times New Roman" w:hAnsi="Times New Roman" w:eastAsia="宋体" w:cs="Times New Roman"/>
                <w:b/>
                <w:sz w:val="24"/>
                <w:szCs w:val="24"/>
              </w:rPr>
              <w:t>称</w:t>
            </w:r>
          </w:p>
        </w:tc>
      </w:tr>
      <w:tr w14:paraId="3884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448" w:hRule="atLeast"/>
        </w:trPr>
        <w:tc>
          <w:tcPr>
            <w:tcW w:w="555" w:type="dxa"/>
            <w:shd w:val="clear" w:color="auto" w:fill="auto"/>
            <w:vAlign w:val="center"/>
          </w:tcPr>
          <w:p w14:paraId="2BF9463D">
            <w:pPr>
              <w:autoSpaceDN w:val="0"/>
              <w:spacing w:line="40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1</w:t>
            </w:r>
          </w:p>
        </w:tc>
        <w:tc>
          <w:tcPr>
            <w:tcW w:w="2715" w:type="dxa"/>
            <w:shd w:val="clear" w:color="auto" w:fill="auto"/>
            <w:vAlign w:val="center"/>
          </w:tcPr>
          <w:p w14:paraId="33F1C978">
            <w:pPr>
              <w:keepNext w:val="0"/>
              <w:keepLines w:val="0"/>
              <w:suppressLineNumbers w:val="0"/>
              <w:autoSpaceDN w:val="0"/>
              <w:spacing w:before="0" w:beforeAutospacing="0" w:after="0" w:afterAutospacing="0" w:line="400" w:lineRule="exact"/>
              <w:ind w:left="0" w:leftChars="0" w:right="0" w:rightChars="0"/>
              <w:jc w:val="center"/>
              <w:textAlignment w:val="center"/>
              <w:rPr>
                <w:rFonts w:hint="eastAsia" w:ascii="仿宋" w:hAnsi="仿宋" w:eastAsia="仿宋" w:cs="仿宋"/>
                <w:kern w:val="2"/>
                <w:sz w:val="24"/>
                <w:szCs w:val="22"/>
                <w:lang w:val="en-US" w:eastAsia="zh-CN" w:bidi="ar-SA"/>
              </w:rPr>
            </w:pPr>
            <w:r>
              <w:rPr>
                <w:rFonts w:hint="eastAsia" w:ascii="仿宋" w:hAnsi="仿宋" w:eastAsia="仿宋" w:cs="仿宋"/>
                <w:color w:val="auto"/>
                <w:sz w:val="24"/>
                <w:highlight w:val="none"/>
                <w:lang w:val="en-US" w:eastAsia="zh-CN"/>
              </w:rPr>
              <w:t>搜救中心</w:t>
            </w:r>
          </w:p>
        </w:tc>
        <w:tc>
          <w:tcPr>
            <w:tcW w:w="5787" w:type="dxa"/>
            <w:shd w:val="clear" w:color="auto" w:fill="auto"/>
            <w:vAlign w:val="center"/>
          </w:tcPr>
          <w:p w14:paraId="4C640A5D">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400" w:lineRule="exact"/>
              <w:ind w:left="105" w:leftChars="50" w:right="0" w:rightChars="0" w:firstLine="0" w:firstLineChars="0"/>
              <w:jc w:val="left"/>
              <w:textAlignment w:val="center"/>
              <w:rPr>
                <w:rFonts w:hint="eastAsia" w:ascii="仿宋" w:hAnsi="仿宋" w:eastAsia="仿宋" w:cs="仿宋"/>
                <w:kern w:val="2"/>
                <w:sz w:val="24"/>
                <w:szCs w:val="22"/>
                <w:lang w:val="en-US" w:eastAsia="zh-CN" w:bidi="ar-SA"/>
              </w:rPr>
            </w:pPr>
            <w:r>
              <w:rPr>
                <w:rFonts w:hint="eastAsia" w:ascii="仿宋" w:hAnsi="仿宋" w:eastAsia="仿宋" w:cs="仿宋"/>
                <w:color w:val="auto"/>
                <w:sz w:val="24"/>
                <w:highlight w:val="none"/>
              </w:rPr>
              <w:t>中国海上搜救中心</w:t>
            </w:r>
          </w:p>
        </w:tc>
      </w:tr>
      <w:tr w14:paraId="6026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448" w:hRule="atLeast"/>
        </w:trPr>
        <w:tc>
          <w:tcPr>
            <w:tcW w:w="555" w:type="dxa"/>
            <w:shd w:val="clear" w:color="auto" w:fill="auto"/>
            <w:vAlign w:val="center"/>
          </w:tcPr>
          <w:p w14:paraId="56E8AC16">
            <w:pPr>
              <w:autoSpaceDN w:val="0"/>
              <w:spacing w:line="40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2</w:t>
            </w:r>
          </w:p>
        </w:tc>
        <w:tc>
          <w:tcPr>
            <w:tcW w:w="2715" w:type="dxa"/>
            <w:shd w:val="clear" w:color="auto" w:fill="auto"/>
            <w:vAlign w:val="center"/>
          </w:tcPr>
          <w:p w14:paraId="4F9A0EE5">
            <w:pPr>
              <w:keepNext w:val="0"/>
              <w:keepLines w:val="0"/>
              <w:suppressLineNumbers w:val="0"/>
              <w:autoSpaceDN w:val="0"/>
              <w:spacing w:before="0" w:beforeAutospacing="0" w:after="0" w:afterAutospacing="0" w:line="400" w:lineRule="exact"/>
              <w:ind w:left="0" w:leftChars="0" w:right="0" w:rightChars="0"/>
              <w:jc w:val="center"/>
              <w:textAlignment w:val="center"/>
              <w:rPr>
                <w:rFonts w:hint="eastAsia" w:ascii="仿宋" w:hAnsi="仿宋" w:eastAsia="仿宋" w:cs="仿宋"/>
                <w:kern w:val="2"/>
                <w:sz w:val="24"/>
                <w:szCs w:val="22"/>
                <w:lang w:val="en-US" w:eastAsia="zh-CN" w:bidi="ar-SA"/>
              </w:rPr>
            </w:pPr>
            <w:r>
              <w:rPr>
                <w:rFonts w:hint="eastAsia" w:ascii="仿宋" w:hAnsi="仿宋" w:eastAsia="仿宋" w:cs="仿宋"/>
                <w:color w:val="auto"/>
                <w:sz w:val="24"/>
                <w:highlight w:val="none"/>
                <w:lang w:val="en-US" w:eastAsia="zh-CN"/>
              </w:rPr>
              <w:t>集装箱标委会</w:t>
            </w:r>
          </w:p>
        </w:tc>
        <w:tc>
          <w:tcPr>
            <w:tcW w:w="5787" w:type="dxa"/>
            <w:shd w:val="clear" w:color="auto" w:fill="auto"/>
            <w:vAlign w:val="center"/>
          </w:tcPr>
          <w:p w14:paraId="7170F070">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400" w:lineRule="exact"/>
              <w:ind w:left="105" w:leftChars="50" w:right="0" w:rightChars="0" w:firstLine="0" w:firstLineChars="0"/>
              <w:jc w:val="left"/>
              <w:textAlignment w:val="center"/>
              <w:rPr>
                <w:rFonts w:hint="eastAsia" w:ascii="仿宋" w:hAnsi="仿宋" w:eastAsia="仿宋" w:cs="仿宋"/>
                <w:kern w:val="2"/>
                <w:sz w:val="24"/>
                <w:szCs w:val="22"/>
                <w:lang w:val="en-US" w:eastAsia="zh-CN" w:bidi="ar-SA"/>
              </w:rPr>
            </w:pPr>
            <w:r>
              <w:rPr>
                <w:rFonts w:hint="eastAsia" w:ascii="仿宋" w:hAnsi="仿宋" w:eastAsia="仿宋" w:cs="仿宋"/>
                <w:color w:val="auto"/>
                <w:sz w:val="24"/>
                <w:highlight w:val="none"/>
              </w:rPr>
              <w:t>全国集装箱标准化技术委员会</w:t>
            </w:r>
          </w:p>
        </w:tc>
      </w:tr>
      <w:tr w14:paraId="25712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448" w:hRule="atLeast"/>
        </w:trPr>
        <w:tc>
          <w:tcPr>
            <w:tcW w:w="555" w:type="dxa"/>
            <w:shd w:val="clear" w:color="auto" w:fill="auto"/>
            <w:vAlign w:val="center"/>
          </w:tcPr>
          <w:p w14:paraId="31E9CF62">
            <w:pPr>
              <w:autoSpaceDN w:val="0"/>
              <w:spacing w:line="40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3</w:t>
            </w:r>
          </w:p>
        </w:tc>
        <w:tc>
          <w:tcPr>
            <w:tcW w:w="2715" w:type="dxa"/>
            <w:shd w:val="clear" w:color="auto" w:fill="auto"/>
            <w:vAlign w:val="center"/>
          </w:tcPr>
          <w:p w14:paraId="7DAE4D26">
            <w:pPr>
              <w:keepNext w:val="0"/>
              <w:keepLines w:val="0"/>
              <w:suppressLineNumbers w:val="0"/>
              <w:autoSpaceDN w:val="0"/>
              <w:spacing w:before="0" w:beforeAutospacing="0" w:after="0" w:afterAutospacing="0" w:line="400" w:lineRule="exact"/>
              <w:ind w:left="0" w:leftChars="0" w:right="0" w:rightChars="0"/>
              <w:jc w:val="center"/>
              <w:textAlignment w:val="center"/>
              <w:rPr>
                <w:rFonts w:hint="eastAsia" w:ascii="仿宋" w:hAnsi="仿宋" w:eastAsia="仿宋" w:cs="仿宋"/>
                <w:kern w:val="2"/>
                <w:sz w:val="24"/>
                <w:szCs w:val="22"/>
                <w:lang w:val="en-US" w:eastAsia="zh-CN" w:bidi="ar-SA"/>
              </w:rPr>
            </w:pPr>
            <w:r>
              <w:rPr>
                <w:rFonts w:hint="eastAsia" w:ascii="仿宋" w:hAnsi="仿宋" w:eastAsia="仿宋" w:cs="仿宋"/>
                <w:color w:val="auto"/>
                <w:sz w:val="24"/>
                <w:highlight w:val="none"/>
                <w:lang w:val="en-US" w:eastAsia="zh-CN"/>
              </w:rPr>
              <w:t>智能运输标委会</w:t>
            </w:r>
          </w:p>
        </w:tc>
        <w:tc>
          <w:tcPr>
            <w:tcW w:w="5787" w:type="dxa"/>
            <w:shd w:val="clear" w:color="auto" w:fill="auto"/>
            <w:vAlign w:val="center"/>
          </w:tcPr>
          <w:p w14:paraId="54BFAF4B">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400" w:lineRule="exact"/>
              <w:ind w:left="105" w:leftChars="50" w:right="0" w:rightChars="0" w:firstLine="0" w:firstLineChars="0"/>
              <w:jc w:val="left"/>
              <w:textAlignment w:val="center"/>
              <w:rPr>
                <w:rFonts w:hint="eastAsia" w:ascii="仿宋" w:hAnsi="仿宋" w:eastAsia="仿宋" w:cs="仿宋"/>
                <w:kern w:val="2"/>
                <w:sz w:val="24"/>
                <w:szCs w:val="22"/>
                <w:lang w:val="en-US" w:eastAsia="zh-CN" w:bidi="ar-SA"/>
              </w:rPr>
            </w:pPr>
            <w:r>
              <w:rPr>
                <w:rFonts w:hint="eastAsia" w:ascii="仿宋" w:hAnsi="仿宋" w:eastAsia="仿宋" w:cs="仿宋"/>
                <w:color w:val="auto"/>
                <w:sz w:val="24"/>
                <w:highlight w:val="none"/>
              </w:rPr>
              <w:t>全国智能运输系统标准化技术委员会</w:t>
            </w:r>
          </w:p>
        </w:tc>
      </w:tr>
      <w:tr w14:paraId="54787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448" w:hRule="atLeast"/>
        </w:trPr>
        <w:tc>
          <w:tcPr>
            <w:tcW w:w="555" w:type="dxa"/>
            <w:shd w:val="clear" w:color="auto" w:fill="auto"/>
            <w:vAlign w:val="center"/>
          </w:tcPr>
          <w:p w14:paraId="455C2C88">
            <w:pPr>
              <w:autoSpaceDN w:val="0"/>
              <w:spacing w:line="40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4</w:t>
            </w:r>
          </w:p>
        </w:tc>
        <w:tc>
          <w:tcPr>
            <w:tcW w:w="2715" w:type="dxa"/>
            <w:vAlign w:val="center"/>
          </w:tcPr>
          <w:p w14:paraId="0729EC5D">
            <w:pPr>
              <w:keepNext w:val="0"/>
              <w:keepLines w:val="0"/>
              <w:suppressLineNumbers w:val="0"/>
              <w:tabs>
                <w:tab w:val="left" w:pos="2076"/>
              </w:tabs>
              <w:autoSpaceDN w:val="0"/>
              <w:spacing w:before="0" w:beforeAutospacing="0" w:after="0" w:afterAutospacing="0" w:line="400" w:lineRule="exact"/>
              <w:ind w:left="0" w:leftChars="0" w:right="0" w:rightChars="0"/>
              <w:jc w:val="center"/>
              <w:textAlignment w:val="center"/>
              <w:rPr>
                <w:rFonts w:hint="eastAsia" w:ascii="仿宋" w:hAnsi="仿宋" w:eastAsia="仿宋" w:cs="仿宋"/>
                <w:sz w:val="24"/>
              </w:rPr>
            </w:pPr>
            <w:r>
              <w:rPr>
                <w:rFonts w:hint="eastAsia" w:ascii="仿宋" w:hAnsi="仿宋" w:eastAsia="仿宋" w:cs="仿宋"/>
                <w:color w:val="auto"/>
                <w:kern w:val="0"/>
                <w:sz w:val="24"/>
                <w:szCs w:val="24"/>
                <w:highlight w:val="none"/>
                <w:lang w:val="en-US" w:eastAsia="zh-CN"/>
              </w:rPr>
              <w:t>航海安全标委会</w:t>
            </w:r>
          </w:p>
        </w:tc>
        <w:tc>
          <w:tcPr>
            <w:tcW w:w="5787" w:type="dxa"/>
            <w:vAlign w:val="center"/>
          </w:tcPr>
          <w:p w14:paraId="3B3BE632">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400" w:lineRule="exact"/>
              <w:ind w:left="105" w:leftChars="50" w:right="0" w:rightChars="0" w:firstLine="0" w:firstLineChars="0"/>
              <w:jc w:val="left"/>
              <w:textAlignment w:val="center"/>
              <w:rPr>
                <w:rFonts w:hint="eastAsia" w:ascii="仿宋" w:hAnsi="仿宋" w:eastAsia="仿宋" w:cs="仿宋"/>
                <w:sz w:val="24"/>
              </w:rPr>
            </w:pPr>
            <w:r>
              <w:rPr>
                <w:rFonts w:hint="eastAsia" w:ascii="仿宋" w:hAnsi="仿宋" w:eastAsia="仿宋" w:cs="仿宋"/>
                <w:color w:val="auto"/>
                <w:sz w:val="24"/>
                <w:highlight w:val="none"/>
              </w:rPr>
              <w:t>交通运输航海安全标准化技术委员会</w:t>
            </w:r>
          </w:p>
        </w:tc>
      </w:tr>
      <w:tr w14:paraId="52752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448" w:hRule="atLeast"/>
        </w:trPr>
        <w:tc>
          <w:tcPr>
            <w:tcW w:w="555" w:type="dxa"/>
            <w:shd w:val="clear" w:color="auto" w:fill="auto"/>
            <w:vAlign w:val="center"/>
          </w:tcPr>
          <w:p w14:paraId="2A165EFD">
            <w:pPr>
              <w:autoSpaceDN w:val="0"/>
              <w:spacing w:line="40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5</w:t>
            </w:r>
          </w:p>
        </w:tc>
        <w:tc>
          <w:tcPr>
            <w:tcW w:w="2715" w:type="dxa"/>
            <w:shd w:val="clear" w:color="auto" w:fill="auto"/>
            <w:vAlign w:val="center"/>
          </w:tcPr>
          <w:p w14:paraId="41C18036">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400" w:lineRule="exact"/>
              <w:ind w:left="105" w:leftChars="50" w:right="0" w:rightChars="0" w:firstLine="0" w:firstLineChars="0"/>
              <w:jc w:val="center"/>
              <w:textAlignment w:val="center"/>
              <w:rPr>
                <w:rFonts w:hint="eastAsia" w:ascii="仿宋" w:hAnsi="仿宋" w:eastAsia="仿宋" w:cs="仿宋"/>
                <w:kern w:val="2"/>
                <w:sz w:val="24"/>
                <w:szCs w:val="22"/>
                <w:lang w:val="en-US" w:eastAsia="zh-CN" w:bidi="ar-SA"/>
              </w:rPr>
            </w:pPr>
            <w:r>
              <w:rPr>
                <w:rFonts w:hint="eastAsia" w:ascii="仿宋" w:hAnsi="仿宋" w:eastAsia="仿宋" w:cs="仿宋"/>
                <w:color w:val="auto"/>
                <w:sz w:val="24"/>
                <w:highlight w:val="none"/>
                <w:lang w:val="en-US" w:eastAsia="zh-CN"/>
              </w:rPr>
              <w:t>救捞标委会</w:t>
            </w:r>
          </w:p>
        </w:tc>
        <w:tc>
          <w:tcPr>
            <w:tcW w:w="5787" w:type="dxa"/>
            <w:shd w:val="clear" w:color="auto" w:fill="auto"/>
            <w:vAlign w:val="center"/>
          </w:tcPr>
          <w:p w14:paraId="295D780C">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400" w:lineRule="exact"/>
              <w:ind w:left="105" w:leftChars="50" w:right="0" w:rightChars="0" w:firstLine="0" w:firstLineChars="0"/>
              <w:jc w:val="left"/>
              <w:textAlignment w:val="center"/>
              <w:rPr>
                <w:rFonts w:hint="eastAsia" w:ascii="仿宋" w:hAnsi="仿宋" w:eastAsia="仿宋" w:cs="仿宋"/>
                <w:kern w:val="2"/>
                <w:sz w:val="24"/>
                <w:szCs w:val="22"/>
                <w:lang w:val="en-US" w:eastAsia="zh-CN" w:bidi="ar-SA"/>
              </w:rPr>
            </w:pPr>
            <w:r>
              <w:rPr>
                <w:rFonts w:hint="eastAsia" w:ascii="仿宋" w:hAnsi="仿宋" w:eastAsia="仿宋" w:cs="仿宋"/>
                <w:color w:val="auto"/>
                <w:sz w:val="24"/>
                <w:highlight w:val="none"/>
              </w:rPr>
              <w:t>交通运输救捞与水下工程标准化技术委员会</w:t>
            </w:r>
          </w:p>
        </w:tc>
      </w:tr>
      <w:tr w14:paraId="1FB4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448" w:hRule="atLeast"/>
        </w:trPr>
        <w:tc>
          <w:tcPr>
            <w:tcW w:w="555" w:type="dxa"/>
            <w:shd w:val="clear" w:color="auto" w:fill="auto"/>
            <w:vAlign w:val="center"/>
          </w:tcPr>
          <w:p w14:paraId="1C908921">
            <w:pPr>
              <w:autoSpaceDN w:val="0"/>
              <w:spacing w:line="40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6</w:t>
            </w:r>
          </w:p>
        </w:tc>
        <w:tc>
          <w:tcPr>
            <w:tcW w:w="2715" w:type="dxa"/>
            <w:shd w:val="clear" w:color="auto" w:fill="auto"/>
            <w:vAlign w:val="center"/>
          </w:tcPr>
          <w:p w14:paraId="4E2E4D08">
            <w:pPr>
              <w:keepNext w:val="0"/>
              <w:keepLines w:val="0"/>
              <w:suppressLineNumbers w:val="0"/>
              <w:autoSpaceDN w:val="0"/>
              <w:spacing w:before="0" w:beforeAutospacing="0" w:after="0" w:afterAutospacing="0" w:line="400" w:lineRule="exact"/>
              <w:ind w:left="0" w:leftChars="0" w:right="0" w:rightChars="0"/>
              <w:jc w:val="center"/>
              <w:textAlignment w:val="center"/>
              <w:rPr>
                <w:rFonts w:hint="eastAsia" w:ascii="仿宋" w:hAnsi="仿宋" w:eastAsia="仿宋" w:cs="仿宋"/>
                <w:kern w:val="2"/>
                <w:sz w:val="24"/>
                <w:szCs w:val="22"/>
                <w:lang w:val="en-US" w:eastAsia="zh-CN" w:bidi="ar-SA"/>
              </w:rPr>
            </w:pPr>
            <w:r>
              <w:rPr>
                <w:rFonts w:hint="eastAsia" w:ascii="仿宋" w:hAnsi="仿宋" w:eastAsia="仿宋" w:cs="仿宋"/>
                <w:color w:val="auto"/>
                <w:sz w:val="24"/>
                <w:highlight w:val="none"/>
              </w:rPr>
              <w:t>信息通导标委会</w:t>
            </w:r>
          </w:p>
        </w:tc>
        <w:tc>
          <w:tcPr>
            <w:tcW w:w="5787" w:type="dxa"/>
            <w:shd w:val="clear" w:color="auto" w:fill="auto"/>
            <w:vAlign w:val="center"/>
          </w:tcPr>
          <w:p w14:paraId="27C0B37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400" w:lineRule="exact"/>
              <w:ind w:left="105" w:leftChars="50" w:right="0" w:rightChars="0" w:firstLine="0" w:firstLineChars="0"/>
              <w:jc w:val="left"/>
              <w:textAlignment w:val="center"/>
              <w:rPr>
                <w:rFonts w:hint="eastAsia" w:ascii="仿宋" w:hAnsi="仿宋" w:eastAsia="仿宋" w:cs="仿宋"/>
                <w:kern w:val="2"/>
                <w:sz w:val="24"/>
                <w:szCs w:val="22"/>
                <w:lang w:val="en-US" w:eastAsia="zh-CN" w:bidi="ar-SA"/>
              </w:rPr>
            </w:pPr>
            <w:r>
              <w:rPr>
                <w:rFonts w:hint="eastAsia" w:ascii="仿宋" w:hAnsi="仿宋" w:eastAsia="仿宋" w:cs="仿宋"/>
                <w:color w:val="auto"/>
                <w:sz w:val="24"/>
                <w:highlight w:val="none"/>
              </w:rPr>
              <w:t>交通运输信息通信及导航标准化技术委员会</w:t>
            </w:r>
          </w:p>
        </w:tc>
      </w:tr>
      <w:tr w14:paraId="3A8E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448" w:hRule="atLeast"/>
        </w:trPr>
        <w:tc>
          <w:tcPr>
            <w:tcW w:w="555" w:type="dxa"/>
            <w:shd w:val="clear" w:color="auto" w:fill="auto"/>
            <w:vAlign w:val="center"/>
          </w:tcPr>
          <w:p w14:paraId="07ED895D">
            <w:pPr>
              <w:autoSpaceDN w:val="0"/>
              <w:spacing w:line="40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7</w:t>
            </w:r>
          </w:p>
        </w:tc>
        <w:tc>
          <w:tcPr>
            <w:tcW w:w="2715" w:type="dxa"/>
            <w:vAlign w:val="center"/>
          </w:tcPr>
          <w:p w14:paraId="6A8DE8E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400" w:lineRule="exact"/>
              <w:ind w:left="42" w:leftChars="20" w:right="0" w:rightChars="0" w:firstLine="0" w:firstLineChars="0"/>
              <w:jc w:val="center"/>
              <w:textAlignment w:val="center"/>
              <w:rPr>
                <w:rFonts w:hint="eastAsia" w:ascii="仿宋" w:hAnsi="仿宋" w:eastAsia="仿宋" w:cs="仿宋"/>
                <w:sz w:val="24"/>
              </w:rPr>
            </w:pPr>
            <w:r>
              <w:rPr>
                <w:rFonts w:hint="eastAsia" w:ascii="仿宋" w:hAnsi="仿宋" w:eastAsia="仿宋" w:cs="仿宋"/>
                <w:color w:val="auto"/>
                <w:sz w:val="24"/>
                <w:highlight w:val="none"/>
                <w:lang w:val="en-US" w:eastAsia="zh-CN"/>
              </w:rPr>
              <w:t>施工安全</w:t>
            </w:r>
            <w:r>
              <w:rPr>
                <w:rFonts w:hint="eastAsia" w:ascii="仿宋" w:hAnsi="仿宋" w:eastAsia="仿宋" w:cs="仿宋"/>
                <w:color w:val="auto"/>
                <w:sz w:val="24"/>
                <w:highlight w:val="none"/>
              </w:rPr>
              <w:t>标委会</w:t>
            </w:r>
          </w:p>
        </w:tc>
        <w:tc>
          <w:tcPr>
            <w:tcW w:w="5787" w:type="dxa"/>
            <w:vAlign w:val="center"/>
          </w:tcPr>
          <w:p w14:paraId="006BEB98">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400" w:lineRule="exact"/>
              <w:ind w:left="105" w:leftChars="50" w:right="0" w:rightChars="0" w:firstLine="0" w:firstLineChars="0"/>
              <w:jc w:val="left"/>
              <w:textAlignment w:val="center"/>
              <w:rPr>
                <w:rFonts w:hint="eastAsia" w:ascii="仿宋" w:hAnsi="仿宋" w:eastAsia="仿宋" w:cs="仿宋"/>
                <w:sz w:val="24"/>
              </w:rPr>
            </w:pPr>
            <w:r>
              <w:rPr>
                <w:rFonts w:hint="eastAsia" w:ascii="仿宋" w:hAnsi="仿宋" w:eastAsia="仿宋" w:cs="仿宋"/>
                <w:color w:val="auto"/>
                <w:sz w:val="24"/>
                <w:highlight w:val="none"/>
              </w:rPr>
              <w:t>交通运输建设工程施工安全标准化技术委员会</w:t>
            </w:r>
          </w:p>
        </w:tc>
      </w:tr>
      <w:tr w14:paraId="38C9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448" w:hRule="atLeast"/>
        </w:trPr>
        <w:tc>
          <w:tcPr>
            <w:tcW w:w="555" w:type="dxa"/>
            <w:shd w:val="clear" w:color="auto" w:fill="auto"/>
            <w:vAlign w:val="center"/>
          </w:tcPr>
          <w:p w14:paraId="4E47CDB2">
            <w:pPr>
              <w:autoSpaceDN w:val="0"/>
              <w:spacing w:line="40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8</w:t>
            </w:r>
          </w:p>
        </w:tc>
        <w:tc>
          <w:tcPr>
            <w:tcW w:w="2715" w:type="dxa"/>
            <w:shd w:val="clear" w:color="auto" w:fill="auto"/>
            <w:vAlign w:val="center"/>
          </w:tcPr>
          <w:p w14:paraId="38205027">
            <w:pPr>
              <w:keepNext w:val="0"/>
              <w:keepLines w:val="0"/>
              <w:suppressLineNumbers w:val="0"/>
              <w:autoSpaceDN w:val="0"/>
              <w:spacing w:before="0" w:beforeAutospacing="0" w:after="0" w:afterAutospacing="0" w:line="400" w:lineRule="exact"/>
              <w:ind w:left="0" w:leftChars="0" w:right="0" w:rightChars="0"/>
              <w:jc w:val="center"/>
              <w:textAlignment w:val="center"/>
              <w:rPr>
                <w:rFonts w:hint="eastAsia" w:ascii="仿宋" w:hAnsi="仿宋" w:eastAsia="仿宋" w:cs="仿宋"/>
                <w:kern w:val="2"/>
                <w:sz w:val="24"/>
                <w:szCs w:val="22"/>
                <w:lang w:val="en-US" w:eastAsia="zh-CN" w:bidi="ar-SA"/>
              </w:rPr>
            </w:pPr>
            <w:r>
              <w:rPr>
                <w:rFonts w:hint="eastAsia" w:ascii="仿宋" w:hAnsi="仿宋" w:eastAsia="仿宋" w:cs="仿宋"/>
                <w:color w:val="auto"/>
                <w:sz w:val="24"/>
                <w:highlight w:val="none"/>
                <w:lang w:val="en-US" w:eastAsia="zh-CN"/>
              </w:rPr>
              <w:t>公路</w:t>
            </w:r>
            <w:r>
              <w:rPr>
                <w:rFonts w:hint="eastAsia" w:ascii="仿宋" w:hAnsi="仿宋" w:eastAsia="仿宋" w:cs="仿宋"/>
                <w:color w:val="auto"/>
                <w:sz w:val="24"/>
                <w:highlight w:val="none"/>
              </w:rPr>
              <w:t>计量委员会</w:t>
            </w:r>
          </w:p>
        </w:tc>
        <w:tc>
          <w:tcPr>
            <w:tcW w:w="5787" w:type="dxa"/>
            <w:shd w:val="clear" w:color="auto" w:fill="auto"/>
            <w:vAlign w:val="center"/>
          </w:tcPr>
          <w:p w14:paraId="584BEA58">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400" w:lineRule="exact"/>
              <w:ind w:left="105" w:leftChars="50" w:right="0" w:rightChars="0" w:firstLine="0" w:firstLineChars="0"/>
              <w:jc w:val="left"/>
              <w:textAlignment w:val="center"/>
              <w:rPr>
                <w:rFonts w:hint="eastAsia" w:ascii="仿宋" w:hAnsi="仿宋" w:eastAsia="仿宋" w:cs="仿宋"/>
                <w:kern w:val="2"/>
                <w:sz w:val="24"/>
                <w:szCs w:val="22"/>
                <w:lang w:val="en-US" w:eastAsia="zh-CN" w:bidi="ar-SA"/>
              </w:rPr>
            </w:pPr>
            <w:r>
              <w:rPr>
                <w:rFonts w:hint="eastAsia" w:ascii="仿宋" w:hAnsi="仿宋" w:eastAsia="仿宋" w:cs="仿宋"/>
                <w:color w:val="auto"/>
                <w:sz w:val="24"/>
                <w:highlight w:val="none"/>
              </w:rPr>
              <w:t>全国</w:t>
            </w:r>
            <w:r>
              <w:rPr>
                <w:rFonts w:hint="eastAsia" w:ascii="仿宋" w:hAnsi="仿宋" w:eastAsia="仿宋" w:cs="仿宋"/>
                <w:color w:val="auto"/>
                <w:sz w:val="24"/>
                <w:highlight w:val="none"/>
                <w:lang w:val="en-US" w:eastAsia="zh-CN"/>
              </w:rPr>
              <w:t>公路</w:t>
            </w:r>
            <w:r>
              <w:rPr>
                <w:rFonts w:hint="eastAsia" w:ascii="仿宋" w:hAnsi="仿宋" w:eastAsia="仿宋" w:cs="仿宋"/>
                <w:color w:val="auto"/>
                <w:sz w:val="24"/>
                <w:highlight w:val="none"/>
              </w:rPr>
              <w:t>专用计量器具计量技术委员会</w:t>
            </w:r>
          </w:p>
        </w:tc>
      </w:tr>
      <w:tr w14:paraId="3E1D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430" w:hRule="atLeast"/>
        </w:trPr>
        <w:tc>
          <w:tcPr>
            <w:tcW w:w="555" w:type="dxa"/>
            <w:shd w:val="clear" w:color="auto" w:fill="auto"/>
            <w:vAlign w:val="center"/>
          </w:tcPr>
          <w:p w14:paraId="51B77366">
            <w:pPr>
              <w:autoSpaceDN w:val="0"/>
              <w:spacing w:line="40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9</w:t>
            </w:r>
          </w:p>
        </w:tc>
        <w:tc>
          <w:tcPr>
            <w:tcW w:w="2715" w:type="dxa"/>
            <w:shd w:val="clear" w:color="auto" w:fill="auto"/>
            <w:vAlign w:val="center"/>
          </w:tcPr>
          <w:p w14:paraId="20004F9C">
            <w:pPr>
              <w:keepNext w:val="0"/>
              <w:keepLines w:val="0"/>
              <w:suppressLineNumbers w:val="0"/>
              <w:autoSpaceDN w:val="0"/>
              <w:spacing w:before="0" w:beforeAutospacing="0" w:after="0" w:afterAutospacing="0" w:line="400" w:lineRule="exact"/>
              <w:ind w:left="0" w:leftChars="0" w:right="0" w:rightChars="0"/>
              <w:jc w:val="center"/>
              <w:textAlignment w:val="center"/>
              <w:rPr>
                <w:rFonts w:hint="eastAsia" w:ascii="仿宋" w:hAnsi="仿宋" w:eastAsia="仿宋" w:cs="仿宋"/>
                <w:kern w:val="2"/>
                <w:sz w:val="24"/>
                <w:szCs w:val="22"/>
                <w:lang w:val="en-US" w:eastAsia="zh-CN" w:bidi="ar-SA"/>
              </w:rPr>
            </w:pPr>
            <w:r>
              <w:rPr>
                <w:rFonts w:hint="eastAsia" w:ascii="仿宋" w:hAnsi="仿宋" w:eastAsia="仿宋" w:cs="仿宋"/>
                <w:color w:val="auto"/>
                <w:sz w:val="24"/>
                <w:highlight w:val="none"/>
              </w:rPr>
              <w:t>水运计量委员会</w:t>
            </w:r>
          </w:p>
        </w:tc>
        <w:tc>
          <w:tcPr>
            <w:tcW w:w="5787" w:type="dxa"/>
            <w:shd w:val="clear" w:color="auto" w:fill="auto"/>
            <w:vAlign w:val="center"/>
          </w:tcPr>
          <w:p w14:paraId="32E29093">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400" w:lineRule="exact"/>
              <w:ind w:left="105" w:leftChars="50" w:right="0" w:rightChars="0" w:firstLine="0" w:firstLineChars="0"/>
              <w:jc w:val="left"/>
              <w:textAlignment w:val="center"/>
              <w:rPr>
                <w:rFonts w:hint="eastAsia" w:ascii="仿宋" w:hAnsi="仿宋" w:eastAsia="仿宋" w:cs="仿宋"/>
                <w:kern w:val="2"/>
                <w:sz w:val="24"/>
                <w:szCs w:val="22"/>
                <w:lang w:val="en-US" w:eastAsia="zh-CN" w:bidi="ar-SA"/>
              </w:rPr>
            </w:pPr>
            <w:r>
              <w:rPr>
                <w:rFonts w:hint="eastAsia" w:ascii="仿宋" w:hAnsi="仿宋" w:eastAsia="仿宋" w:cs="仿宋"/>
                <w:color w:val="auto"/>
                <w:sz w:val="24"/>
                <w:highlight w:val="none"/>
              </w:rPr>
              <w:t>全国水运专用计量器具计量技术委员会</w:t>
            </w:r>
          </w:p>
        </w:tc>
      </w:tr>
    </w:tbl>
    <w:p w14:paraId="04D1D0F7"/>
    <w:p w14:paraId="680BB3D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DA0296"/>
    <w:multiLevelType w:val="multilevel"/>
    <w:tmpl w:val="2BDA0296"/>
    <w:lvl w:ilvl="0" w:tentative="0">
      <w:start w:val="1"/>
      <w:numFmt w:val="decimal"/>
      <w:lvlText w:val="%1"/>
      <w:lvlJc w:val="left"/>
      <w:pPr>
        <w:ind w:left="650" w:hanging="440"/>
      </w:pPr>
      <w:rPr>
        <w:rFonts w:hint="eastAsia" w:eastAsia="微软雅黑"/>
      </w:rPr>
    </w:lvl>
    <w:lvl w:ilvl="1" w:tentative="0">
      <w:start w:val="1"/>
      <w:numFmt w:val="lowerLetter"/>
      <w:lvlText w:val="%2)"/>
      <w:lvlJc w:val="left"/>
      <w:pPr>
        <w:ind w:left="1090" w:hanging="440"/>
      </w:pPr>
    </w:lvl>
    <w:lvl w:ilvl="2" w:tentative="0">
      <w:start w:val="1"/>
      <w:numFmt w:val="lowerRoman"/>
      <w:lvlText w:val="%3."/>
      <w:lvlJc w:val="right"/>
      <w:pPr>
        <w:ind w:left="1530" w:hanging="440"/>
      </w:pPr>
    </w:lvl>
    <w:lvl w:ilvl="3" w:tentative="0">
      <w:start w:val="1"/>
      <w:numFmt w:val="decimal"/>
      <w:lvlText w:val="%4."/>
      <w:lvlJc w:val="left"/>
      <w:pPr>
        <w:ind w:left="1970" w:hanging="440"/>
      </w:pPr>
    </w:lvl>
    <w:lvl w:ilvl="4" w:tentative="0">
      <w:start w:val="1"/>
      <w:numFmt w:val="lowerLetter"/>
      <w:lvlText w:val="%5)"/>
      <w:lvlJc w:val="left"/>
      <w:pPr>
        <w:ind w:left="2410" w:hanging="440"/>
      </w:pPr>
    </w:lvl>
    <w:lvl w:ilvl="5" w:tentative="0">
      <w:start w:val="1"/>
      <w:numFmt w:val="lowerRoman"/>
      <w:lvlText w:val="%6."/>
      <w:lvlJc w:val="right"/>
      <w:pPr>
        <w:ind w:left="2850" w:hanging="440"/>
      </w:pPr>
    </w:lvl>
    <w:lvl w:ilvl="6" w:tentative="0">
      <w:start w:val="1"/>
      <w:numFmt w:val="decimal"/>
      <w:lvlText w:val="%7."/>
      <w:lvlJc w:val="left"/>
      <w:pPr>
        <w:ind w:left="3290" w:hanging="440"/>
      </w:pPr>
    </w:lvl>
    <w:lvl w:ilvl="7" w:tentative="0">
      <w:start w:val="1"/>
      <w:numFmt w:val="lowerLetter"/>
      <w:lvlText w:val="%8)"/>
      <w:lvlJc w:val="left"/>
      <w:pPr>
        <w:ind w:left="3730" w:hanging="440"/>
      </w:pPr>
    </w:lvl>
    <w:lvl w:ilvl="8" w:tentative="0">
      <w:start w:val="1"/>
      <w:numFmt w:val="lowerRoman"/>
      <w:lvlText w:val="%9."/>
      <w:lvlJc w:val="right"/>
      <w:pPr>
        <w:ind w:left="417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AC07AC"/>
    <w:rsid w:val="001F5444"/>
    <w:rsid w:val="00962AB2"/>
    <w:rsid w:val="02192E10"/>
    <w:rsid w:val="1AAC07AC"/>
    <w:rsid w:val="38702BA7"/>
    <w:rsid w:val="40F66EF6"/>
    <w:rsid w:val="51AE0A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unhideWhenUsed/>
    <w:qFormat/>
    <w:uiPriority w:val="99"/>
    <w:pPr>
      <w:spacing w:after="120"/>
    </w:p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3922</Words>
  <Characters>4180</Characters>
  <Lines>0</Lines>
  <Paragraphs>0</Paragraphs>
  <TotalTime>46</TotalTime>
  <ScaleCrop>false</ScaleCrop>
  <LinksUpToDate>false</LinksUpToDate>
  <CharactersWithSpaces>4227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2025-09-08T07:00:00Z</dcterms:created>
  <dc:creator>faye</dc:creator>
  <cp:lastModifiedBy>faye</cp:lastModifiedBy>
  <dcterms:modified xsi:type="dcterms:W3CDTF">2026-10-12T03:27:25Z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2996559016EE404FB3054D02CC56CB09_13</vt:lpwstr>
  </property>
  <property fmtid="{D5CDD505-2E9C-101B-9397-08002B2CF9AE}" pid="4" name="KSOTemplateDocerSaveRecord">
    <vt:lpwstr>eyJoZGlkIjoiODVhYjNiNTRlM2VlOThlNjZkMTM1Y2RjZTQ0NTE0MjciLCJ1c2VySWQiOiIzODk3NjQ2OTYifQ==</vt:lpwstr>
  </property>
</Properties>
</file>