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689B4">
      <w:pPr>
        <w:widowControl/>
        <w:spacing w:line="580" w:lineRule="atLeast"/>
        <w:jc w:val="center"/>
        <w:rPr>
          <w:rFonts w:hint="eastAsia" w:ascii="方正小标宋简体" w:hAnsi="微软雅黑" w:eastAsia="方正小标宋简体" w:cs="Times New Roman"/>
          <w:sz w:val="44"/>
          <w:szCs w:val="44"/>
        </w:rPr>
      </w:pPr>
      <w:bookmarkStart w:id="1" w:name="_GoBack"/>
      <w:r>
        <w:rPr>
          <w:rFonts w:hint="eastAsia" w:ascii="方正小标宋简体" w:hAnsi="微软雅黑" w:eastAsia="方正小标宋简体" w:cs="Times New Roman"/>
          <w:sz w:val="44"/>
          <w:szCs w:val="44"/>
        </w:rPr>
        <w:t>2026年交通运输标准化计划项目（第三批）</w:t>
      </w:r>
      <w:bookmarkEnd w:id="1"/>
    </w:p>
    <w:p w14:paraId="47231604">
      <w:pPr>
        <w:outlineLvl w:val="0"/>
        <w:rPr>
          <w:rFonts w:hint="eastAsia" w:ascii="黑体" w:hAnsi="黑体" w:eastAsia="黑体" w:cs="黑体"/>
          <w:sz w:val="32"/>
          <w:szCs w:val="32"/>
        </w:rPr>
      </w:pPr>
      <w:r>
        <w:rPr>
          <w:rFonts w:hint="eastAsia" w:ascii="黑体" w:hAnsi="黑体" w:eastAsia="黑体" w:cs="黑体"/>
          <w:sz w:val="32"/>
          <w:szCs w:val="32"/>
        </w:rPr>
        <w:t>一、行业标准（14项）</w:t>
      </w:r>
    </w:p>
    <w:tbl>
      <w:tblPr>
        <w:tblStyle w:val="3"/>
        <w:tblW w:w="51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50"/>
        <w:gridCol w:w="1207"/>
        <w:gridCol w:w="1911"/>
        <w:gridCol w:w="3868"/>
        <w:gridCol w:w="717"/>
        <w:gridCol w:w="949"/>
        <w:gridCol w:w="780"/>
        <w:gridCol w:w="1083"/>
        <w:gridCol w:w="3396"/>
      </w:tblGrid>
      <w:tr w14:paraId="203E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75" w:hRule="atLeast"/>
          <w:tblHeader/>
        </w:trPr>
        <w:tc>
          <w:tcPr>
            <w:tcW w:w="223" w:type="pct"/>
            <w:vAlign w:val="center"/>
          </w:tcPr>
          <w:p w14:paraId="164B5EB1">
            <w:pPr>
              <w:jc w:val="center"/>
              <w:rPr>
                <w:rFonts w:hint="eastAsia" w:ascii="黑体" w:hAnsi="黑体" w:eastAsia="黑体" w:cs="黑体"/>
                <w:sz w:val="22"/>
              </w:rPr>
            </w:pPr>
            <w:bookmarkStart w:id="0" w:name="OLE_LINK11"/>
            <w:r>
              <w:rPr>
                <w:rFonts w:hint="eastAsia" w:ascii="黑体" w:hAnsi="黑体" w:eastAsia="黑体" w:cs="黑体"/>
                <w:sz w:val="22"/>
              </w:rPr>
              <w:t>序号</w:t>
            </w:r>
          </w:p>
        </w:tc>
        <w:tc>
          <w:tcPr>
            <w:tcW w:w="414" w:type="pct"/>
            <w:vAlign w:val="center"/>
          </w:tcPr>
          <w:p w14:paraId="18FFFE03">
            <w:pPr>
              <w:jc w:val="center"/>
              <w:rPr>
                <w:rFonts w:hint="eastAsia" w:ascii="黑体" w:hAnsi="黑体" w:eastAsia="黑体" w:cs="黑体"/>
                <w:sz w:val="22"/>
              </w:rPr>
            </w:pPr>
            <w:r>
              <w:rPr>
                <w:rFonts w:hint="eastAsia" w:ascii="黑体" w:hAnsi="黑体" w:eastAsia="黑体" w:cs="黑体"/>
                <w:sz w:val="22"/>
              </w:rPr>
              <w:t>计划编号</w:t>
            </w:r>
          </w:p>
        </w:tc>
        <w:tc>
          <w:tcPr>
            <w:tcW w:w="655" w:type="pct"/>
            <w:vAlign w:val="center"/>
          </w:tcPr>
          <w:p w14:paraId="3CF66ED9">
            <w:pPr>
              <w:jc w:val="center"/>
              <w:rPr>
                <w:rFonts w:hint="eastAsia" w:ascii="黑体" w:hAnsi="黑体" w:eastAsia="黑体" w:cs="黑体"/>
                <w:sz w:val="22"/>
              </w:rPr>
            </w:pPr>
            <w:r>
              <w:rPr>
                <w:rFonts w:hint="eastAsia" w:ascii="黑体" w:hAnsi="黑体" w:eastAsia="黑体" w:cs="黑体"/>
                <w:sz w:val="22"/>
              </w:rPr>
              <w:t>项目名称</w:t>
            </w:r>
          </w:p>
        </w:tc>
        <w:tc>
          <w:tcPr>
            <w:tcW w:w="1327" w:type="pct"/>
            <w:vAlign w:val="center"/>
          </w:tcPr>
          <w:p w14:paraId="5F56F1E1">
            <w:pPr>
              <w:jc w:val="center"/>
              <w:rPr>
                <w:rFonts w:hint="eastAsia" w:ascii="黑体" w:hAnsi="黑体" w:eastAsia="黑体" w:cs="黑体"/>
                <w:sz w:val="22"/>
              </w:rPr>
            </w:pPr>
            <w:r>
              <w:rPr>
                <w:rFonts w:hint="eastAsia" w:ascii="黑体" w:hAnsi="黑体" w:eastAsia="黑体" w:cs="黑体"/>
                <w:sz w:val="22"/>
              </w:rPr>
              <w:t>范围和主要技术内容</w:t>
            </w:r>
          </w:p>
        </w:tc>
        <w:tc>
          <w:tcPr>
            <w:tcW w:w="246" w:type="pct"/>
            <w:vAlign w:val="center"/>
          </w:tcPr>
          <w:p w14:paraId="1B473A41">
            <w:pPr>
              <w:jc w:val="center"/>
              <w:rPr>
                <w:rFonts w:hint="eastAsia" w:ascii="黑体" w:hAnsi="黑体" w:eastAsia="黑体" w:cs="黑体"/>
                <w:sz w:val="22"/>
              </w:rPr>
            </w:pPr>
            <w:r>
              <w:rPr>
                <w:rFonts w:hint="eastAsia" w:ascii="黑体" w:hAnsi="黑体" w:eastAsia="黑体" w:cs="黑体"/>
                <w:sz w:val="22"/>
              </w:rPr>
              <w:t>制修订</w:t>
            </w:r>
          </w:p>
        </w:tc>
        <w:tc>
          <w:tcPr>
            <w:tcW w:w="326" w:type="pct"/>
            <w:vAlign w:val="center"/>
          </w:tcPr>
          <w:p w14:paraId="200943A8">
            <w:pPr>
              <w:jc w:val="center"/>
              <w:rPr>
                <w:rFonts w:hint="eastAsia" w:ascii="黑体" w:hAnsi="黑体" w:eastAsia="黑体" w:cs="黑体"/>
                <w:sz w:val="22"/>
              </w:rPr>
            </w:pPr>
            <w:r>
              <w:rPr>
                <w:rFonts w:hint="eastAsia" w:ascii="黑体" w:hAnsi="黑体" w:eastAsia="黑体" w:cs="黑体"/>
                <w:sz w:val="22"/>
              </w:rPr>
              <w:t>代替标准</w:t>
            </w:r>
          </w:p>
        </w:tc>
        <w:tc>
          <w:tcPr>
            <w:tcW w:w="268" w:type="pct"/>
            <w:vAlign w:val="center"/>
          </w:tcPr>
          <w:p w14:paraId="42A7EE1B">
            <w:pPr>
              <w:jc w:val="center"/>
              <w:rPr>
                <w:rFonts w:hint="eastAsia" w:ascii="黑体" w:hAnsi="黑体" w:eastAsia="黑体" w:cs="黑体"/>
                <w:sz w:val="22"/>
              </w:rPr>
            </w:pPr>
            <w:r>
              <w:rPr>
                <w:rFonts w:hint="eastAsia" w:ascii="黑体" w:hAnsi="黑体" w:eastAsia="黑体" w:cs="黑体"/>
                <w:sz w:val="22"/>
              </w:rPr>
              <w:t>完成周期（月）</w:t>
            </w:r>
          </w:p>
        </w:tc>
        <w:tc>
          <w:tcPr>
            <w:tcW w:w="372" w:type="pct"/>
            <w:vAlign w:val="center"/>
          </w:tcPr>
          <w:p w14:paraId="287A73D4">
            <w:pPr>
              <w:jc w:val="center"/>
              <w:rPr>
                <w:rFonts w:hint="eastAsia" w:ascii="黑体" w:hAnsi="黑体" w:eastAsia="黑体" w:cs="黑体"/>
                <w:sz w:val="22"/>
              </w:rPr>
            </w:pPr>
            <w:r>
              <w:rPr>
                <w:rFonts w:hint="eastAsia" w:ascii="黑体" w:hAnsi="黑体" w:eastAsia="黑体" w:cs="黑体"/>
                <w:sz w:val="22"/>
              </w:rPr>
              <w:t>技术归口</w:t>
            </w:r>
          </w:p>
          <w:p w14:paraId="26B3CBFF">
            <w:pPr>
              <w:jc w:val="center"/>
              <w:rPr>
                <w:rFonts w:hint="eastAsia" w:ascii="黑体" w:hAnsi="黑体" w:eastAsia="黑体" w:cs="黑体"/>
                <w:sz w:val="22"/>
              </w:rPr>
            </w:pPr>
            <w:r>
              <w:rPr>
                <w:rFonts w:hint="eastAsia" w:ascii="黑体" w:hAnsi="黑体" w:eastAsia="黑体" w:cs="黑体"/>
                <w:sz w:val="22"/>
              </w:rPr>
              <w:t>单位</w:t>
            </w:r>
          </w:p>
        </w:tc>
        <w:tc>
          <w:tcPr>
            <w:tcW w:w="1165" w:type="pct"/>
            <w:vAlign w:val="center"/>
          </w:tcPr>
          <w:p w14:paraId="1C5A4D62">
            <w:pPr>
              <w:jc w:val="center"/>
              <w:rPr>
                <w:rFonts w:hint="eastAsia" w:ascii="黑体" w:hAnsi="黑体" w:eastAsia="黑体" w:cs="黑体"/>
                <w:sz w:val="22"/>
              </w:rPr>
            </w:pPr>
            <w:r>
              <w:rPr>
                <w:rFonts w:hint="eastAsia" w:ascii="黑体" w:hAnsi="黑体" w:eastAsia="黑体" w:cs="黑体"/>
                <w:sz w:val="22"/>
              </w:rPr>
              <w:t>主要起草单位</w:t>
            </w:r>
          </w:p>
        </w:tc>
      </w:tr>
      <w:tr w14:paraId="16FC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96" w:hRule="atLeast"/>
        </w:trPr>
        <w:tc>
          <w:tcPr>
            <w:tcW w:w="223" w:type="pct"/>
            <w:vAlign w:val="center"/>
          </w:tcPr>
          <w:p w14:paraId="2A6CC671">
            <w:pPr>
              <w:numPr>
                <w:ilvl w:val="0"/>
                <w:numId w:val="1"/>
              </w:numPr>
              <w:jc w:val="center"/>
              <w:rPr>
                <w:rFonts w:ascii="Times New Roman" w:hAnsi="Times New Roman" w:eastAsia="宋体" w:cs="Times New Roman"/>
                <w:bCs/>
                <w:sz w:val="22"/>
              </w:rPr>
            </w:pPr>
          </w:p>
        </w:tc>
        <w:tc>
          <w:tcPr>
            <w:tcW w:w="414" w:type="pct"/>
            <w:vAlign w:val="center"/>
          </w:tcPr>
          <w:p w14:paraId="5A7BF0AF">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2026-41</w:t>
            </w:r>
          </w:p>
        </w:tc>
        <w:tc>
          <w:tcPr>
            <w:tcW w:w="655" w:type="pct"/>
            <w:vAlign w:val="center"/>
          </w:tcPr>
          <w:p w14:paraId="01124599">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公路水路设施无人机巡检数据质量与处理技术要求</w:t>
            </w:r>
          </w:p>
        </w:tc>
        <w:tc>
          <w:tcPr>
            <w:tcW w:w="1327" w:type="pct"/>
            <w:vAlign w:val="center"/>
          </w:tcPr>
          <w:p w14:paraId="26D60B97">
            <w:pPr>
              <w:pStyle w:val="2"/>
              <w:spacing w:beforeAutospacing="0" w:afterAutospacing="0"/>
              <w:rPr>
                <w:rFonts w:ascii="Times New Roman" w:hAnsi="Times New Roman" w:eastAsiaTheme="minorEastAsia"/>
                <w:sz w:val="21"/>
                <w:szCs w:val="21"/>
              </w:rPr>
            </w:pPr>
            <w:r>
              <w:rPr>
                <w:rFonts w:hint="eastAsia" w:ascii="Times New Roman" w:hAnsi="Times New Roman" w:eastAsiaTheme="minorEastAsia"/>
                <w:sz w:val="21"/>
                <w:szCs w:val="21"/>
              </w:rPr>
              <w:t>拟规定公路水路设施无人机巡检数据总体要求和数据质量、数据处理分析，以及数据归档与管理等要求。</w:t>
            </w:r>
          </w:p>
          <w:p w14:paraId="44CC8750">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适用于公路水路设施无人机巡检数据质量管理与处理。</w:t>
            </w:r>
          </w:p>
        </w:tc>
        <w:tc>
          <w:tcPr>
            <w:tcW w:w="246" w:type="pct"/>
            <w:vAlign w:val="center"/>
          </w:tcPr>
          <w:p w14:paraId="11F3CF58">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4630D0FF">
            <w:pPr>
              <w:jc w:val="center"/>
              <w:rPr>
                <w:rFonts w:ascii="Times New Roman" w:hAnsi="Times New Roman" w:eastAsia="宋体" w:cs="Times New Roman"/>
                <w:bCs/>
                <w:sz w:val="22"/>
              </w:rPr>
            </w:pPr>
          </w:p>
        </w:tc>
        <w:tc>
          <w:tcPr>
            <w:tcW w:w="268" w:type="pct"/>
            <w:vAlign w:val="center"/>
          </w:tcPr>
          <w:p w14:paraId="1D84D045">
            <w:pPr>
              <w:jc w:val="center"/>
              <w:rPr>
                <w:rFonts w:ascii="Times New Roman" w:hAnsi="Times New Roman" w:eastAsia="宋体" w:cs="Times New Roman"/>
                <w:bCs/>
                <w:sz w:val="22"/>
              </w:rPr>
            </w:pPr>
            <w:r>
              <w:rPr>
                <w:rFonts w:hint="eastAsia" w:ascii="Times New Roman" w:hAnsi="Times New Roman" w:cs="Times New Roman"/>
                <w:bCs/>
                <w:szCs w:val="21"/>
              </w:rPr>
              <w:t>18</w:t>
            </w:r>
          </w:p>
        </w:tc>
        <w:tc>
          <w:tcPr>
            <w:tcW w:w="372" w:type="pct"/>
            <w:vAlign w:val="center"/>
          </w:tcPr>
          <w:p w14:paraId="07B2E10C">
            <w:pPr>
              <w:jc w:val="center"/>
              <w:rPr>
                <w:rFonts w:ascii="Times New Roman" w:hAnsi="Times New Roman" w:eastAsia="宋体" w:cs="Times New Roman"/>
                <w:bCs/>
                <w:sz w:val="22"/>
              </w:rPr>
            </w:pPr>
            <w:r>
              <w:rPr>
                <w:rFonts w:hint="eastAsia" w:ascii="Times New Roman" w:hAnsi="Times New Roman" w:cs="Times New Roman"/>
                <w:bCs/>
                <w:szCs w:val="21"/>
              </w:rPr>
              <w:t>综合运输标委会</w:t>
            </w:r>
          </w:p>
        </w:tc>
        <w:tc>
          <w:tcPr>
            <w:tcW w:w="1165" w:type="pct"/>
            <w:vAlign w:val="center"/>
          </w:tcPr>
          <w:p w14:paraId="0FE79064">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交通运输部科学研究院、北京工业大学、西安因诺航空科技股份有限公司、河北空天信息投资控股有限公司</w:t>
            </w:r>
          </w:p>
        </w:tc>
      </w:tr>
      <w:tr w14:paraId="64F6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586" w:hRule="atLeast"/>
        </w:trPr>
        <w:tc>
          <w:tcPr>
            <w:tcW w:w="223" w:type="pct"/>
            <w:vAlign w:val="center"/>
          </w:tcPr>
          <w:p w14:paraId="625BC33E">
            <w:pPr>
              <w:numPr>
                <w:ilvl w:val="0"/>
                <w:numId w:val="1"/>
              </w:numPr>
              <w:jc w:val="center"/>
              <w:rPr>
                <w:rFonts w:ascii="Times New Roman" w:hAnsi="Times New Roman" w:eastAsia="宋体" w:cs="Times New Roman"/>
                <w:bCs/>
                <w:sz w:val="22"/>
              </w:rPr>
            </w:pPr>
          </w:p>
        </w:tc>
        <w:tc>
          <w:tcPr>
            <w:tcW w:w="414" w:type="pct"/>
            <w:vAlign w:val="center"/>
          </w:tcPr>
          <w:p w14:paraId="70DBC87C">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2026-42</w:t>
            </w:r>
          </w:p>
        </w:tc>
        <w:tc>
          <w:tcPr>
            <w:tcW w:w="655" w:type="pct"/>
            <w:vAlign w:val="center"/>
          </w:tcPr>
          <w:p w14:paraId="0770DEAD">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电池动力船舶在线监测数据交换技术要求</w:t>
            </w:r>
          </w:p>
        </w:tc>
        <w:tc>
          <w:tcPr>
            <w:tcW w:w="1327" w:type="pct"/>
            <w:vAlign w:val="center"/>
          </w:tcPr>
          <w:p w14:paraId="1E0DE43B">
            <w:pPr>
              <w:pStyle w:val="2"/>
              <w:spacing w:beforeAutospacing="0" w:afterAutospacing="0"/>
              <w:rPr>
                <w:rFonts w:ascii="Times New Roman" w:hAnsi="Times New Roman" w:eastAsiaTheme="minorEastAsia"/>
                <w:sz w:val="21"/>
                <w:szCs w:val="21"/>
              </w:rPr>
            </w:pPr>
            <w:r>
              <w:rPr>
                <w:rFonts w:hint="eastAsia" w:ascii="Times New Roman" w:hAnsi="Times New Roman" w:eastAsiaTheme="minorEastAsia"/>
                <w:sz w:val="21"/>
                <w:szCs w:val="21"/>
              </w:rPr>
              <w:t>拟规定电池动力船舶在线监测过程中实施数据交换所需要遵循的技术要求，包括交换的数据内容、数据格式和交换方法。</w:t>
            </w:r>
          </w:p>
          <w:p w14:paraId="518E8ECC">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适用于电池动力船舶船载数据终端和/或岸基监测平台向监管检验相关系统报送数据，以及与其他系统之间交换数据。</w:t>
            </w:r>
          </w:p>
        </w:tc>
        <w:tc>
          <w:tcPr>
            <w:tcW w:w="246" w:type="pct"/>
            <w:vAlign w:val="center"/>
          </w:tcPr>
          <w:p w14:paraId="1F08D71F">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740C2561">
            <w:pPr>
              <w:jc w:val="center"/>
              <w:rPr>
                <w:rFonts w:ascii="Times New Roman" w:hAnsi="Times New Roman" w:eastAsia="宋体" w:cs="Times New Roman"/>
                <w:bCs/>
                <w:sz w:val="22"/>
              </w:rPr>
            </w:pPr>
          </w:p>
        </w:tc>
        <w:tc>
          <w:tcPr>
            <w:tcW w:w="268" w:type="pct"/>
            <w:vAlign w:val="center"/>
          </w:tcPr>
          <w:p w14:paraId="6F466F0A">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50AEDE21">
            <w:pPr>
              <w:jc w:val="center"/>
              <w:rPr>
                <w:rFonts w:ascii="Times New Roman" w:hAnsi="Times New Roman" w:eastAsia="宋体" w:cs="Times New Roman"/>
                <w:bCs/>
                <w:sz w:val="22"/>
              </w:rPr>
            </w:pPr>
            <w:r>
              <w:rPr>
                <w:rFonts w:hint="eastAsia" w:ascii="Times New Roman" w:hAnsi="Times New Roman" w:cs="Times New Roman"/>
                <w:bCs/>
                <w:szCs w:val="21"/>
              </w:rPr>
              <w:t>内河船与水路运输标委会</w:t>
            </w:r>
          </w:p>
        </w:tc>
        <w:tc>
          <w:tcPr>
            <w:tcW w:w="1165" w:type="pct"/>
            <w:vAlign w:val="center"/>
          </w:tcPr>
          <w:p w14:paraId="3E941EDF">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中国船级社武汉规范研究所、交通运输部长江航务管理局、中船赛思亿（无锡）电气科技有限公司、中国船舶集团有限公司第七一二研究所、中国船舶集团有限公司第七〇四研究所、中国船舶集团有限公司第七一一研究所、中国船级社信息开发咨询中心</w:t>
            </w:r>
          </w:p>
        </w:tc>
      </w:tr>
      <w:tr w14:paraId="28D7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377" w:hRule="atLeast"/>
        </w:trPr>
        <w:tc>
          <w:tcPr>
            <w:tcW w:w="223" w:type="pct"/>
            <w:vAlign w:val="center"/>
          </w:tcPr>
          <w:p w14:paraId="201464DF">
            <w:pPr>
              <w:numPr>
                <w:ilvl w:val="0"/>
                <w:numId w:val="1"/>
              </w:numPr>
              <w:jc w:val="center"/>
              <w:rPr>
                <w:rFonts w:ascii="Times New Roman" w:hAnsi="Times New Roman" w:eastAsia="宋体" w:cs="Times New Roman"/>
                <w:bCs/>
                <w:sz w:val="22"/>
              </w:rPr>
            </w:pPr>
          </w:p>
        </w:tc>
        <w:tc>
          <w:tcPr>
            <w:tcW w:w="414" w:type="pct"/>
            <w:vAlign w:val="center"/>
          </w:tcPr>
          <w:p w14:paraId="2369CB37">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2026-43</w:t>
            </w:r>
          </w:p>
        </w:tc>
        <w:tc>
          <w:tcPr>
            <w:tcW w:w="655" w:type="pct"/>
            <w:vAlign w:val="center"/>
          </w:tcPr>
          <w:p w14:paraId="192A7930">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公路工程施工装备智能化多源传感三维控制系统技术条件</w:t>
            </w:r>
          </w:p>
        </w:tc>
        <w:tc>
          <w:tcPr>
            <w:tcW w:w="1327" w:type="pct"/>
            <w:vAlign w:val="center"/>
          </w:tcPr>
          <w:p w14:paraId="2AFA02E3">
            <w:pPr>
              <w:pStyle w:val="2"/>
              <w:spacing w:beforeAutospacing="0" w:afterAutospacing="0"/>
              <w:rPr>
                <w:rFonts w:ascii="Times New Roman" w:hAnsi="Times New Roman" w:eastAsiaTheme="minorEastAsia"/>
                <w:sz w:val="21"/>
                <w:szCs w:val="21"/>
              </w:rPr>
            </w:pPr>
            <w:r>
              <w:rPr>
                <w:rFonts w:hint="eastAsia" w:ascii="Times New Roman" w:hAnsi="Times New Roman" w:eastAsiaTheme="minorEastAsia"/>
                <w:sz w:val="21"/>
                <w:szCs w:val="21"/>
              </w:rPr>
              <w:t>拟规定公路工程施工装备智能化多源传感三维控制系统的基本规定、系统架构、系统硬件、建模、施工控制系统应用等内容。</w:t>
            </w:r>
          </w:p>
          <w:p w14:paraId="5C931674">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适用于沥青路面摊铺机、水泥路面滑模摊铺机、路面铣刨机、整平机等公路工程施工装备智能化多源传感三维控制系统设计与应用。</w:t>
            </w:r>
          </w:p>
        </w:tc>
        <w:tc>
          <w:tcPr>
            <w:tcW w:w="246" w:type="pct"/>
            <w:vAlign w:val="center"/>
          </w:tcPr>
          <w:p w14:paraId="12ED80B0">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2C2227A0">
            <w:pPr>
              <w:jc w:val="center"/>
              <w:rPr>
                <w:rFonts w:ascii="Times New Roman" w:hAnsi="Times New Roman" w:eastAsia="宋体" w:cs="Times New Roman"/>
                <w:bCs/>
                <w:sz w:val="22"/>
              </w:rPr>
            </w:pPr>
          </w:p>
        </w:tc>
        <w:tc>
          <w:tcPr>
            <w:tcW w:w="268" w:type="pct"/>
            <w:vAlign w:val="center"/>
          </w:tcPr>
          <w:p w14:paraId="76026EB4">
            <w:pPr>
              <w:jc w:val="center"/>
              <w:rPr>
                <w:rFonts w:ascii="Times New Roman" w:hAnsi="Times New Roman" w:eastAsia="宋体" w:cs="Times New Roman"/>
                <w:bCs/>
                <w:sz w:val="22"/>
              </w:rPr>
            </w:pPr>
            <w:r>
              <w:rPr>
                <w:rFonts w:hint="eastAsia" w:ascii="Times New Roman" w:hAnsi="Times New Roman" w:cs="Times New Roman"/>
                <w:bCs/>
                <w:szCs w:val="21"/>
              </w:rPr>
              <w:t>12</w:t>
            </w:r>
          </w:p>
        </w:tc>
        <w:tc>
          <w:tcPr>
            <w:tcW w:w="372" w:type="pct"/>
            <w:vAlign w:val="center"/>
          </w:tcPr>
          <w:p w14:paraId="17DF88F2">
            <w:pPr>
              <w:jc w:val="center"/>
              <w:rPr>
                <w:rFonts w:ascii="Times New Roman" w:hAnsi="Times New Roman" w:eastAsia="宋体" w:cs="Times New Roman"/>
                <w:bCs/>
                <w:sz w:val="22"/>
              </w:rPr>
            </w:pPr>
            <w:r>
              <w:rPr>
                <w:rFonts w:hint="eastAsia" w:ascii="Times New Roman" w:hAnsi="Times New Roman" w:cs="Times New Roman"/>
                <w:bCs/>
                <w:szCs w:val="21"/>
              </w:rPr>
              <w:t>交通工程标委会</w:t>
            </w:r>
          </w:p>
        </w:tc>
        <w:tc>
          <w:tcPr>
            <w:tcW w:w="1165" w:type="pct"/>
            <w:vAlign w:val="center"/>
          </w:tcPr>
          <w:p w14:paraId="45250D61">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交通运输部公路科学研究所、北京中元浩业科技有限公司</w:t>
            </w:r>
          </w:p>
        </w:tc>
      </w:tr>
      <w:tr w14:paraId="1860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770" w:hRule="atLeast"/>
        </w:trPr>
        <w:tc>
          <w:tcPr>
            <w:tcW w:w="223" w:type="pct"/>
            <w:vAlign w:val="center"/>
          </w:tcPr>
          <w:p w14:paraId="0FB0A3B8">
            <w:pPr>
              <w:numPr>
                <w:ilvl w:val="0"/>
                <w:numId w:val="1"/>
              </w:numPr>
              <w:jc w:val="center"/>
              <w:rPr>
                <w:rFonts w:ascii="Times New Roman" w:hAnsi="Times New Roman" w:eastAsia="宋体" w:cs="Times New Roman"/>
                <w:bCs/>
                <w:sz w:val="22"/>
              </w:rPr>
            </w:pPr>
          </w:p>
        </w:tc>
        <w:tc>
          <w:tcPr>
            <w:tcW w:w="414" w:type="pct"/>
            <w:vAlign w:val="center"/>
          </w:tcPr>
          <w:p w14:paraId="741BF61D">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2026-44</w:t>
            </w:r>
          </w:p>
        </w:tc>
        <w:tc>
          <w:tcPr>
            <w:tcW w:w="655" w:type="pct"/>
            <w:vAlign w:val="center"/>
          </w:tcPr>
          <w:p w14:paraId="384BF73F">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新能源汽车维修人员技能要求</w:t>
            </w:r>
          </w:p>
        </w:tc>
        <w:tc>
          <w:tcPr>
            <w:tcW w:w="1327" w:type="pct"/>
            <w:vAlign w:val="center"/>
          </w:tcPr>
          <w:p w14:paraId="704E8E80">
            <w:pPr>
              <w:pStyle w:val="2"/>
              <w:spacing w:beforeAutospacing="0" w:afterAutospacing="0"/>
              <w:rPr>
                <w:rFonts w:ascii="Times New Roman" w:hAnsi="Times New Roman" w:eastAsiaTheme="minorEastAsia"/>
                <w:sz w:val="21"/>
                <w:szCs w:val="21"/>
              </w:rPr>
            </w:pPr>
            <w:r>
              <w:rPr>
                <w:rFonts w:hint="eastAsia" w:ascii="Times New Roman" w:hAnsi="Times New Roman" w:eastAsiaTheme="minorEastAsia"/>
                <w:sz w:val="21"/>
                <w:szCs w:val="21"/>
              </w:rPr>
              <w:t>拟规定从事新能源汽车维修人员的通用要求和专业技术能力要求。</w:t>
            </w:r>
          </w:p>
          <w:p w14:paraId="6FAEC047">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适用于纯电动汽车、插电式混合动力电动汽车以及使用氢燃料电池电动汽车的维修技术人员的能力培养、培训指导等活动。</w:t>
            </w:r>
          </w:p>
        </w:tc>
        <w:tc>
          <w:tcPr>
            <w:tcW w:w="246" w:type="pct"/>
            <w:vAlign w:val="center"/>
          </w:tcPr>
          <w:p w14:paraId="78631603">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3997BD24">
            <w:pPr>
              <w:jc w:val="center"/>
              <w:rPr>
                <w:rFonts w:ascii="Times New Roman" w:hAnsi="Times New Roman" w:eastAsia="宋体" w:cs="Times New Roman"/>
                <w:bCs/>
                <w:sz w:val="22"/>
              </w:rPr>
            </w:pPr>
          </w:p>
        </w:tc>
        <w:tc>
          <w:tcPr>
            <w:tcW w:w="268" w:type="pct"/>
            <w:vAlign w:val="center"/>
          </w:tcPr>
          <w:p w14:paraId="5CFFABAC">
            <w:pPr>
              <w:jc w:val="center"/>
              <w:rPr>
                <w:rFonts w:ascii="Times New Roman" w:hAnsi="Times New Roman" w:eastAsia="宋体" w:cs="Times New Roman"/>
                <w:bCs/>
                <w:sz w:val="22"/>
              </w:rPr>
            </w:pPr>
            <w:r>
              <w:rPr>
                <w:rFonts w:hint="eastAsia" w:ascii="Times New Roman" w:hAnsi="Times New Roman" w:cs="Times New Roman"/>
                <w:bCs/>
                <w:szCs w:val="21"/>
              </w:rPr>
              <w:t>12</w:t>
            </w:r>
          </w:p>
        </w:tc>
        <w:tc>
          <w:tcPr>
            <w:tcW w:w="372" w:type="pct"/>
            <w:vAlign w:val="center"/>
          </w:tcPr>
          <w:p w14:paraId="20338F42">
            <w:pPr>
              <w:jc w:val="center"/>
              <w:rPr>
                <w:rFonts w:ascii="Times New Roman" w:hAnsi="Times New Roman" w:eastAsia="宋体" w:cs="Times New Roman"/>
                <w:bCs/>
                <w:sz w:val="22"/>
              </w:rPr>
            </w:pPr>
            <w:r>
              <w:rPr>
                <w:rFonts w:hint="eastAsia" w:ascii="Times New Roman" w:hAnsi="Times New Roman" w:cs="Times New Roman"/>
                <w:bCs/>
                <w:szCs w:val="21"/>
              </w:rPr>
              <w:t>汽车维修标委会</w:t>
            </w:r>
          </w:p>
        </w:tc>
        <w:tc>
          <w:tcPr>
            <w:tcW w:w="1165" w:type="pct"/>
            <w:vAlign w:val="center"/>
          </w:tcPr>
          <w:p w14:paraId="77771012">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交通运输部公路科学研究所、宁德时代新能源科技股份有限公司</w:t>
            </w:r>
          </w:p>
        </w:tc>
      </w:tr>
      <w:tr w14:paraId="6EA1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480" w:hRule="atLeast"/>
        </w:trPr>
        <w:tc>
          <w:tcPr>
            <w:tcW w:w="223" w:type="pct"/>
            <w:vAlign w:val="center"/>
          </w:tcPr>
          <w:p w14:paraId="51FF241E">
            <w:pPr>
              <w:numPr>
                <w:ilvl w:val="0"/>
                <w:numId w:val="1"/>
              </w:numPr>
              <w:jc w:val="center"/>
              <w:rPr>
                <w:rFonts w:ascii="Times New Roman" w:hAnsi="Times New Roman" w:eastAsia="宋体" w:cs="Times New Roman"/>
                <w:bCs/>
                <w:sz w:val="22"/>
              </w:rPr>
            </w:pPr>
          </w:p>
        </w:tc>
        <w:tc>
          <w:tcPr>
            <w:tcW w:w="414" w:type="pct"/>
            <w:vAlign w:val="center"/>
          </w:tcPr>
          <w:p w14:paraId="0F90BA6A">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2026-45</w:t>
            </w:r>
          </w:p>
        </w:tc>
        <w:tc>
          <w:tcPr>
            <w:tcW w:w="655" w:type="pct"/>
            <w:vAlign w:val="center"/>
          </w:tcPr>
          <w:p w14:paraId="1301AACE">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城市定制公交服务规范</w:t>
            </w:r>
          </w:p>
        </w:tc>
        <w:tc>
          <w:tcPr>
            <w:tcW w:w="1327" w:type="pct"/>
            <w:vAlign w:val="center"/>
          </w:tcPr>
          <w:p w14:paraId="364490CA">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现行标准规定了城市定制公交服务的总体要求、运营线路、运营车辆、服务信息系统、服务要求和服务监督与评价等内容。</w:t>
            </w:r>
          </w:p>
          <w:p w14:paraId="7B7AE9C7">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适用于城市定制公交服务。</w:t>
            </w:r>
          </w:p>
          <w:p w14:paraId="116461D9">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主要修订内容：1.修改了定制公交票价的要求。将运营线路章节修改为服务网络与线路，将定制公交运营线路划分为预约响应服务线路与需求响应服务线路两类；2.运营车辆一章增加了需求响应线路车辆使用要求；3.服务信息系统一章，细化了乘客服务功能要求，运营调度功能要求、服务形态适配要求、数据管理功能要求；4.服务要求一章，增加了将原乘客出行需求调查修改为需求获取，增加了动态响应服务要求；5.增加了运力资源配置与调度一章；6.服务监督与评价一章，增加了服务评价指标，增加了监督管理要求。</w:t>
            </w:r>
          </w:p>
        </w:tc>
        <w:tc>
          <w:tcPr>
            <w:tcW w:w="246" w:type="pct"/>
            <w:vAlign w:val="center"/>
          </w:tcPr>
          <w:p w14:paraId="2AB332A7">
            <w:pPr>
              <w:jc w:val="center"/>
              <w:rPr>
                <w:rFonts w:ascii="Times New Roman" w:hAnsi="Times New Roman" w:eastAsia="宋体" w:cs="Times New Roman"/>
                <w:bCs/>
                <w:sz w:val="22"/>
              </w:rPr>
            </w:pPr>
            <w:r>
              <w:rPr>
                <w:rFonts w:ascii="Times New Roman" w:hAnsi="Times New Roman" w:cs="Times New Roman"/>
                <w:bCs/>
                <w:szCs w:val="21"/>
              </w:rPr>
              <w:t>修订</w:t>
            </w:r>
          </w:p>
        </w:tc>
        <w:tc>
          <w:tcPr>
            <w:tcW w:w="326" w:type="pct"/>
            <w:vAlign w:val="center"/>
          </w:tcPr>
          <w:p w14:paraId="064B8F1C">
            <w:pPr>
              <w:jc w:val="center"/>
              <w:rPr>
                <w:rFonts w:ascii="Times New Roman" w:hAnsi="Times New Roman" w:eastAsia="宋体" w:cs="Times New Roman"/>
                <w:bCs/>
                <w:sz w:val="22"/>
              </w:rPr>
            </w:pPr>
            <w:r>
              <w:rPr>
                <w:rFonts w:ascii="Times New Roman" w:hAnsi="Times New Roman" w:cs="Times New Roman"/>
                <w:bCs/>
                <w:szCs w:val="21"/>
              </w:rPr>
              <w:t>JT/T 1355—2020</w:t>
            </w:r>
          </w:p>
        </w:tc>
        <w:tc>
          <w:tcPr>
            <w:tcW w:w="268" w:type="pct"/>
            <w:vAlign w:val="center"/>
          </w:tcPr>
          <w:p w14:paraId="6202CB5C">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0D6829E7">
            <w:pPr>
              <w:jc w:val="center"/>
              <w:rPr>
                <w:rFonts w:ascii="Times New Roman" w:hAnsi="Times New Roman" w:eastAsia="宋体" w:cs="Times New Roman"/>
                <w:bCs/>
                <w:sz w:val="22"/>
              </w:rPr>
            </w:pPr>
            <w:r>
              <w:rPr>
                <w:rFonts w:ascii="Times New Roman" w:hAnsi="Times New Roman" w:cs="Times New Roman"/>
                <w:bCs/>
                <w:szCs w:val="21"/>
              </w:rPr>
              <w:t>城市客运</w:t>
            </w:r>
            <w:r>
              <w:rPr>
                <w:rFonts w:hint="eastAsia" w:ascii="Times New Roman" w:hAnsi="Times New Roman" w:cs="Times New Roman"/>
                <w:bCs/>
                <w:szCs w:val="21"/>
              </w:rPr>
              <w:t>标委会</w:t>
            </w:r>
          </w:p>
        </w:tc>
        <w:tc>
          <w:tcPr>
            <w:tcW w:w="1165" w:type="pct"/>
            <w:vAlign w:val="center"/>
          </w:tcPr>
          <w:p w14:paraId="0E292C50">
            <w:pPr>
              <w:jc w:val="left"/>
              <w:rPr>
                <w:rFonts w:ascii="Tahoma" w:hAnsi="Tahoma" w:eastAsia="Tahoma" w:cs="Tahoma"/>
                <w:color w:val="333333"/>
                <w:sz w:val="22"/>
                <w:shd w:val="clear" w:color="auto" w:fill="FFFFFF"/>
              </w:rPr>
            </w:pPr>
            <w:r>
              <w:rPr>
                <w:rFonts w:ascii="Times New Roman" w:hAnsi="Times New Roman" w:cs="Times New Roman"/>
                <w:bCs/>
                <w:szCs w:val="21"/>
              </w:rPr>
              <w:t>济南市城市交通研究中心有限公司</w:t>
            </w:r>
            <w:r>
              <w:rPr>
                <w:rFonts w:hint="eastAsia" w:ascii="Times New Roman" w:hAnsi="Times New Roman" w:cs="Times New Roman"/>
                <w:bCs/>
                <w:szCs w:val="21"/>
              </w:rPr>
              <w:t>、交通运输部科学研究院</w:t>
            </w:r>
          </w:p>
        </w:tc>
      </w:tr>
      <w:tr w14:paraId="0B73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12" w:hRule="atLeast"/>
        </w:trPr>
        <w:tc>
          <w:tcPr>
            <w:tcW w:w="223" w:type="pct"/>
            <w:vAlign w:val="center"/>
          </w:tcPr>
          <w:p w14:paraId="1B40C7B9">
            <w:pPr>
              <w:numPr>
                <w:ilvl w:val="0"/>
                <w:numId w:val="1"/>
              </w:numPr>
              <w:jc w:val="center"/>
              <w:rPr>
                <w:rFonts w:ascii="Times New Roman" w:hAnsi="Times New Roman" w:eastAsia="宋体" w:cs="Times New Roman"/>
                <w:bCs/>
                <w:sz w:val="22"/>
              </w:rPr>
            </w:pPr>
          </w:p>
        </w:tc>
        <w:tc>
          <w:tcPr>
            <w:tcW w:w="414" w:type="pct"/>
            <w:vAlign w:val="center"/>
          </w:tcPr>
          <w:p w14:paraId="0F5573FB">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2026-46</w:t>
            </w:r>
          </w:p>
        </w:tc>
        <w:tc>
          <w:tcPr>
            <w:tcW w:w="655" w:type="pct"/>
            <w:vAlign w:val="center"/>
          </w:tcPr>
          <w:p w14:paraId="6CD5FF40">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港口货场用化纤涂塑苫布技术条件</w:t>
            </w:r>
          </w:p>
        </w:tc>
        <w:tc>
          <w:tcPr>
            <w:tcW w:w="1327" w:type="pct"/>
            <w:vAlign w:val="center"/>
          </w:tcPr>
          <w:p w14:paraId="5D339C89">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现行标准规定了港口货场用化纤涂塑苫布及材料的规格、尺寸、技术要求、试验方法、检验规则</w:t>
            </w:r>
            <w:r>
              <w:rPr>
                <w:rFonts w:hint="eastAsia" w:ascii="Times New Roman" w:hAnsi="Times New Roman" w:eastAsiaTheme="minorEastAsia"/>
                <w:sz w:val="21"/>
                <w:szCs w:val="21"/>
              </w:rPr>
              <w:t>，</w:t>
            </w:r>
            <w:r>
              <w:rPr>
                <w:rFonts w:ascii="Times New Roman" w:hAnsi="Times New Roman" w:eastAsiaTheme="minorEastAsia"/>
                <w:sz w:val="21"/>
                <w:szCs w:val="21"/>
              </w:rPr>
              <w:t>以及标志、包装、运输、贮存等。</w:t>
            </w:r>
          </w:p>
          <w:p w14:paraId="2A53D3B2">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适用于以高强度涤纶丝“双轴向”经编织物为主要布基，以聚氯乙烯树脂为主要成分，加入增塑剂和其他添加剂等辅助原料，经涂刮等加工处理复合而成和/或防污等表面处理的防水苫布。</w:t>
            </w:r>
          </w:p>
          <w:p w14:paraId="3AE1DEF1">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主要修订内容：</w:t>
            </w:r>
            <w:r>
              <w:rPr>
                <w:rFonts w:hint="eastAsia" w:ascii="Times New Roman" w:hAnsi="Times New Roman" w:eastAsiaTheme="minorEastAsia"/>
                <w:sz w:val="21"/>
                <w:szCs w:val="21"/>
              </w:rPr>
              <w:t>1.</w:t>
            </w:r>
            <w:r>
              <w:rPr>
                <w:rFonts w:ascii="Times New Roman" w:hAnsi="Times New Roman" w:eastAsiaTheme="minorEastAsia"/>
                <w:sz w:val="21"/>
                <w:szCs w:val="21"/>
              </w:rPr>
              <w:t>更改产品代号</w:t>
            </w:r>
            <w:r>
              <w:rPr>
                <w:rFonts w:hint="eastAsia" w:ascii="Times New Roman" w:hAnsi="Times New Roman" w:eastAsiaTheme="minorEastAsia"/>
                <w:sz w:val="21"/>
                <w:szCs w:val="21"/>
              </w:rPr>
              <w:t>、涂覆布物理机械性能、试验方法等</w:t>
            </w:r>
            <w:r>
              <w:rPr>
                <w:rFonts w:ascii="Times New Roman" w:hAnsi="Times New Roman" w:eastAsiaTheme="minorEastAsia"/>
                <w:sz w:val="21"/>
                <w:szCs w:val="21"/>
              </w:rPr>
              <w:t>要求</w:t>
            </w:r>
            <w:r>
              <w:rPr>
                <w:rFonts w:hint="eastAsia" w:ascii="Times New Roman" w:hAnsi="Times New Roman" w:eastAsiaTheme="minorEastAsia"/>
                <w:sz w:val="21"/>
                <w:szCs w:val="21"/>
              </w:rPr>
              <w:t>；2.</w:t>
            </w:r>
            <w:r>
              <w:rPr>
                <w:rFonts w:ascii="Times New Roman" w:hAnsi="Times New Roman" w:eastAsiaTheme="minorEastAsia"/>
                <w:sz w:val="21"/>
                <w:szCs w:val="21"/>
              </w:rPr>
              <w:t>删除质量的测定</w:t>
            </w:r>
            <w:r>
              <w:rPr>
                <w:rFonts w:hint="eastAsia" w:ascii="Times New Roman" w:hAnsi="Times New Roman" w:eastAsiaTheme="minorEastAsia"/>
                <w:sz w:val="21"/>
                <w:szCs w:val="21"/>
              </w:rPr>
              <w:t>、</w:t>
            </w:r>
            <w:r>
              <w:rPr>
                <w:rFonts w:ascii="Times New Roman" w:hAnsi="Times New Roman" w:eastAsiaTheme="minorEastAsia"/>
                <w:sz w:val="21"/>
                <w:szCs w:val="21"/>
              </w:rPr>
              <w:t>防霉性能、毒性试验、苫布的制作</w:t>
            </w:r>
            <w:r>
              <w:rPr>
                <w:rFonts w:hint="eastAsia" w:ascii="Times New Roman" w:hAnsi="Times New Roman" w:eastAsiaTheme="minorEastAsia"/>
                <w:sz w:val="21"/>
                <w:szCs w:val="21"/>
              </w:rPr>
              <w:t>等内容；3.</w:t>
            </w:r>
            <w:r>
              <w:rPr>
                <w:rFonts w:ascii="Times New Roman" w:hAnsi="Times New Roman" w:eastAsiaTheme="minorEastAsia"/>
                <w:sz w:val="21"/>
                <w:szCs w:val="21"/>
              </w:rPr>
              <w:t>增加</w:t>
            </w:r>
            <w:r>
              <w:rPr>
                <w:rFonts w:hint="eastAsia" w:ascii="Times New Roman" w:hAnsi="Times New Roman" w:eastAsiaTheme="minorEastAsia"/>
                <w:sz w:val="21"/>
                <w:szCs w:val="21"/>
              </w:rPr>
              <w:t>涂覆布尺寸偏差、</w:t>
            </w:r>
            <w:r>
              <w:rPr>
                <w:rFonts w:ascii="Times New Roman" w:hAnsi="Times New Roman" w:eastAsiaTheme="minorEastAsia"/>
                <w:sz w:val="21"/>
                <w:szCs w:val="21"/>
              </w:rPr>
              <w:t>单位面积质量偏差</w:t>
            </w:r>
            <w:r>
              <w:rPr>
                <w:rFonts w:hint="eastAsia" w:ascii="Times New Roman" w:hAnsi="Times New Roman" w:eastAsiaTheme="minorEastAsia"/>
                <w:sz w:val="21"/>
                <w:szCs w:val="21"/>
              </w:rPr>
              <w:t>等要求。</w:t>
            </w:r>
          </w:p>
        </w:tc>
        <w:tc>
          <w:tcPr>
            <w:tcW w:w="246" w:type="pct"/>
            <w:vAlign w:val="center"/>
          </w:tcPr>
          <w:p w14:paraId="77902D0D">
            <w:pPr>
              <w:jc w:val="center"/>
              <w:rPr>
                <w:rFonts w:ascii="Times New Roman" w:hAnsi="Times New Roman" w:eastAsia="宋体" w:cs="Times New Roman"/>
                <w:bCs/>
                <w:sz w:val="22"/>
              </w:rPr>
            </w:pPr>
            <w:r>
              <w:rPr>
                <w:rFonts w:ascii="Times New Roman" w:hAnsi="Times New Roman" w:cs="Times New Roman"/>
                <w:bCs/>
                <w:szCs w:val="21"/>
              </w:rPr>
              <w:t>修订</w:t>
            </w:r>
          </w:p>
        </w:tc>
        <w:tc>
          <w:tcPr>
            <w:tcW w:w="326" w:type="pct"/>
            <w:vAlign w:val="center"/>
          </w:tcPr>
          <w:p w14:paraId="1BE7E1F4">
            <w:pPr>
              <w:jc w:val="center"/>
              <w:rPr>
                <w:rFonts w:ascii="Times New Roman" w:hAnsi="Times New Roman" w:eastAsia="宋体" w:cs="Times New Roman"/>
                <w:bCs/>
                <w:sz w:val="22"/>
              </w:rPr>
            </w:pPr>
            <w:r>
              <w:rPr>
                <w:rFonts w:ascii="Times New Roman" w:hAnsi="Times New Roman" w:cs="Times New Roman"/>
                <w:bCs/>
                <w:szCs w:val="21"/>
              </w:rPr>
              <w:t>JT/T 441—2021</w:t>
            </w:r>
          </w:p>
        </w:tc>
        <w:tc>
          <w:tcPr>
            <w:tcW w:w="268" w:type="pct"/>
            <w:vAlign w:val="center"/>
          </w:tcPr>
          <w:p w14:paraId="1805F928">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284ECEBF">
            <w:pPr>
              <w:jc w:val="center"/>
              <w:rPr>
                <w:rFonts w:ascii="Times New Roman" w:hAnsi="Times New Roman" w:eastAsia="宋体" w:cs="Times New Roman"/>
                <w:bCs/>
                <w:sz w:val="22"/>
              </w:rPr>
            </w:pPr>
            <w:r>
              <w:rPr>
                <w:rFonts w:ascii="Times New Roman" w:hAnsi="Times New Roman" w:cs="Times New Roman"/>
                <w:bCs/>
                <w:szCs w:val="21"/>
              </w:rPr>
              <w:t>港口</w:t>
            </w:r>
            <w:r>
              <w:rPr>
                <w:rFonts w:hint="eastAsia" w:ascii="Times New Roman" w:hAnsi="Times New Roman" w:cs="Times New Roman"/>
                <w:bCs/>
                <w:szCs w:val="21"/>
              </w:rPr>
              <w:t>标委会</w:t>
            </w:r>
          </w:p>
        </w:tc>
        <w:tc>
          <w:tcPr>
            <w:tcW w:w="1165" w:type="pct"/>
            <w:vAlign w:val="center"/>
          </w:tcPr>
          <w:p w14:paraId="117E202A">
            <w:pPr>
              <w:jc w:val="left"/>
              <w:rPr>
                <w:rFonts w:ascii="Tahoma" w:hAnsi="Tahoma" w:eastAsia="Tahoma" w:cs="Tahoma"/>
                <w:color w:val="333333"/>
                <w:sz w:val="22"/>
                <w:shd w:val="clear" w:color="auto" w:fill="FFFFFF"/>
              </w:rPr>
            </w:pPr>
            <w:r>
              <w:rPr>
                <w:rFonts w:ascii="Times New Roman" w:hAnsi="Times New Roman" w:cs="Times New Roman"/>
                <w:bCs/>
                <w:szCs w:val="21"/>
              </w:rPr>
              <w:t>交通运输部科学研究院</w:t>
            </w:r>
            <w:r>
              <w:rPr>
                <w:rFonts w:hint="eastAsia" w:ascii="Times New Roman" w:hAnsi="Times New Roman" w:cs="Times New Roman"/>
                <w:bCs/>
                <w:szCs w:val="21"/>
              </w:rPr>
              <w:t>、</w:t>
            </w:r>
            <w:r>
              <w:rPr>
                <w:rFonts w:ascii="Times New Roman" w:hAnsi="Times New Roman" w:cs="Times New Roman"/>
                <w:bCs/>
                <w:szCs w:val="21"/>
              </w:rPr>
              <w:t>青岛青港通达能源有限公司</w:t>
            </w:r>
          </w:p>
        </w:tc>
      </w:tr>
      <w:tr w14:paraId="63D6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12" w:hRule="atLeast"/>
        </w:trPr>
        <w:tc>
          <w:tcPr>
            <w:tcW w:w="223" w:type="pct"/>
            <w:vAlign w:val="center"/>
          </w:tcPr>
          <w:p w14:paraId="1FDB9CE1">
            <w:pPr>
              <w:numPr>
                <w:ilvl w:val="0"/>
                <w:numId w:val="1"/>
              </w:numPr>
              <w:jc w:val="center"/>
              <w:rPr>
                <w:rFonts w:ascii="Times New Roman" w:hAnsi="Times New Roman" w:eastAsia="宋体" w:cs="Times New Roman"/>
                <w:bCs/>
                <w:sz w:val="22"/>
              </w:rPr>
            </w:pPr>
          </w:p>
        </w:tc>
        <w:tc>
          <w:tcPr>
            <w:tcW w:w="414" w:type="pct"/>
            <w:vAlign w:val="center"/>
          </w:tcPr>
          <w:p w14:paraId="05EE3A41">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2026-47</w:t>
            </w:r>
          </w:p>
        </w:tc>
        <w:tc>
          <w:tcPr>
            <w:tcW w:w="655" w:type="pct"/>
            <w:vAlign w:val="center"/>
          </w:tcPr>
          <w:p w14:paraId="7EB069F6">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天然气燃料动力船舶罐车加注作业技术要求</w:t>
            </w:r>
          </w:p>
        </w:tc>
        <w:tc>
          <w:tcPr>
            <w:tcW w:w="1327" w:type="pct"/>
            <w:vAlign w:val="center"/>
          </w:tcPr>
          <w:p w14:paraId="10E7085D">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现行标准规定了在沿海港口使用液化天然气罐车对天然气燃料动力船舶加注液化天然气作业的基本要求、作业区域、设施设备配备、安全管理和作业要求。</w:t>
            </w:r>
          </w:p>
          <w:p w14:paraId="4BA85898">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 xml:space="preserve">适用于在沿海港口使用液化天然气罐车对天然气燃料动力船舶C型独立燃料舱加注液化天然气燃料。 </w:t>
            </w:r>
          </w:p>
          <w:p w14:paraId="54D57FAE">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主要修订内容：1.增加标准规范性引用文件；2.增加“液化天然气受注船”术语和定义；3.更改“加注系统”术语和定义；4.增加标准的基本要求；5.更改标准有关作业区域的内容；6.增加标准有关设施设备配备的内容。</w:t>
            </w:r>
          </w:p>
        </w:tc>
        <w:tc>
          <w:tcPr>
            <w:tcW w:w="246" w:type="pct"/>
            <w:vAlign w:val="center"/>
          </w:tcPr>
          <w:p w14:paraId="6F6B5833">
            <w:pPr>
              <w:jc w:val="center"/>
              <w:rPr>
                <w:rFonts w:ascii="Times New Roman" w:hAnsi="Times New Roman" w:eastAsia="宋体" w:cs="Times New Roman"/>
                <w:bCs/>
                <w:sz w:val="22"/>
              </w:rPr>
            </w:pPr>
            <w:r>
              <w:rPr>
                <w:rFonts w:ascii="Times New Roman" w:hAnsi="Times New Roman" w:cs="Times New Roman"/>
                <w:bCs/>
                <w:szCs w:val="21"/>
              </w:rPr>
              <w:t>修订</w:t>
            </w:r>
          </w:p>
        </w:tc>
        <w:tc>
          <w:tcPr>
            <w:tcW w:w="326" w:type="pct"/>
            <w:vAlign w:val="center"/>
          </w:tcPr>
          <w:p w14:paraId="3604C90A">
            <w:pPr>
              <w:jc w:val="center"/>
              <w:rPr>
                <w:rFonts w:ascii="Times New Roman" w:hAnsi="Times New Roman" w:eastAsia="宋体" w:cs="Times New Roman"/>
                <w:bCs/>
                <w:sz w:val="22"/>
              </w:rPr>
            </w:pPr>
            <w:r>
              <w:rPr>
                <w:rFonts w:ascii="Times New Roman" w:hAnsi="Times New Roman" w:cs="Times New Roman"/>
                <w:bCs/>
                <w:szCs w:val="21"/>
              </w:rPr>
              <w:t>JT/T 1319—2020</w:t>
            </w:r>
          </w:p>
        </w:tc>
        <w:tc>
          <w:tcPr>
            <w:tcW w:w="268" w:type="pct"/>
            <w:vAlign w:val="center"/>
          </w:tcPr>
          <w:p w14:paraId="373BE907">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0B4A553A">
            <w:pPr>
              <w:jc w:val="center"/>
              <w:rPr>
                <w:rFonts w:ascii="Times New Roman" w:hAnsi="Times New Roman" w:eastAsia="宋体" w:cs="Times New Roman"/>
                <w:bCs/>
                <w:sz w:val="22"/>
              </w:rPr>
            </w:pPr>
            <w:r>
              <w:rPr>
                <w:rFonts w:ascii="Times New Roman" w:hAnsi="Times New Roman" w:cs="Times New Roman"/>
                <w:bCs/>
                <w:szCs w:val="21"/>
              </w:rPr>
              <w:t>港口</w:t>
            </w:r>
            <w:r>
              <w:rPr>
                <w:rFonts w:hint="eastAsia" w:ascii="Times New Roman" w:hAnsi="Times New Roman" w:cs="Times New Roman"/>
                <w:bCs/>
                <w:szCs w:val="21"/>
              </w:rPr>
              <w:t>标委会</w:t>
            </w:r>
          </w:p>
        </w:tc>
        <w:tc>
          <w:tcPr>
            <w:tcW w:w="1165" w:type="pct"/>
            <w:vAlign w:val="center"/>
          </w:tcPr>
          <w:p w14:paraId="55C87552">
            <w:pPr>
              <w:jc w:val="left"/>
              <w:rPr>
                <w:rFonts w:ascii="Tahoma" w:hAnsi="Tahoma" w:eastAsia="Tahoma" w:cs="Tahoma"/>
                <w:color w:val="333333"/>
                <w:sz w:val="22"/>
                <w:shd w:val="clear" w:color="auto" w:fill="FFFFFF"/>
              </w:rPr>
            </w:pPr>
            <w:r>
              <w:rPr>
                <w:rFonts w:ascii="Times New Roman" w:hAnsi="Times New Roman" w:cs="Times New Roman"/>
                <w:bCs/>
                <w:szCs w:val="21"/>
              </w:rPr>
              <w:t>交通运输部水运科学研究所、中华人民共和国海口海事局、中海油海南天然气利用有限公司</w:t>
            </w:r>
          </w:p>
        </w:tc>
      </w:tr>
      <w:tr w14:paraId="7501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28" w:hRule="atLeast"/>
        </w:trPr>
        <w:tc>
          <w:tcPr>
            <w:tcW w:w="223" w:type="pct"/>
            <w:vAlign w:val="center"/>
          </w:tcPr>
          <w:p w14:paraId="0FAA4326">
            <w:pPr>
              <w:numPr>
                <w:ilvl w:val="0"/>
                <w:numId w:val="1"/>
              </w:numPr>
              <w:jc w:val="center"/>
              <w:rPr>
                <w:rFonts w:ascii="Times New Roman" w:hAnsi="Times New Roman" w:eastAsia="宋体" w:cs="Times New Roman"/>
                <w:bCs/>
                <w:sz w:val="22"/>
              </w:rPr>
            </w:pPr>
          </w:p>
        </w:tc>
        <w:tc>
          <w:tcPr>
            <w:tcW w:w="414" w:type="pct"/>
            <w:vAlign w:val="center"/>
          </w:tcPr>
          <w:p w14:paraId="38760B2F">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2026-48</w:t>
            </w:r>
          </w:p>
        </w:tc>
        <w:tc>
          <w:tcPr>
            <w:tcW w:w="655" w:type="pct"/>
            <w:vAlign w:val="center"/>
          </w:tcPr>
          <w:p w14:paraId="173DC7FC">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电子海图瓦片产品服务技术要求</w:t>
            </w:r>
          </w:p>
        </w:tc>
        <w:tc>
          <w:tcPr>
            <w:tcW w:w="1327" w:type="pct"/>
            <w:vAlign w:val="center"/>
          </w:tcPr>
          <w:p w14:paraId="1D054A77">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拟规定电子海图瓦片产品服务的总则，以及栅格瓦片产品服务和矢量瓦片产品服务的要求。适用于中国民用海事电子海图瓦片产品服务的设计、开发和应用，其他类型的电子海图参照使用。</w:t>
            </w:r>
          </w:p>
        </w:tc>
        <w:tc>
          <w:tcPr>
            <w:tcW w:w="246" w:type="pct"/>
            <w:vAlign w:val="center"/>
          </w:tcPr>
          <w:p w14:paraId="54E8C061">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3DD9E252">
            <w:pPr>
              <w:jc w:val="center"/>
              <w:rPr>
                <w:rFonts w:ascii="Times New Roman" w:hAnsi="Times New Roman" w:eastAsia="宋体" w:cs="Times New Roman"/>
                <w:bCs/>
                <w:sz w:val="22"/>
              </w:rPr>
            </w:pPr>
          </w:p>
        </w:tc>
        <w:tc>
          <w:tcPr>
            <w:tcW w:w="268" w:type="pct"/>
            <w:vAlign w:val="center"/>
          </w:tcPr>
          <w:p w14:paraId="3744CDF6">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3E97924E">
            <w:pPr>
              <w:jc w:val="center"/>
              <w:rPr>
                <w:rFonts w:ascii="Times New Roman" w:hAnsi="Times New Roman" w:eastAsia="宋体" w:cs="Times New Roman"/>
                <w:bCs/>
                <w:sz w:val="22"/>
              </w:rPr>
            </w:pPr>
            <w:r>
              <w:rPr>
                <w:rFonts w:hint="eastAsia" w:ascii="Times New Roman" w:hAnsi="Times New Roman" w:cs="Times New Roman"/>
                <w:bCs/>
                <w:szCs w:val="21"/>
              </w:rPr>
              <w:t>航测标委会</w:t>
            </w:r>
          </w:p>
        </w:tc>
        <w:tc>
          <w:tcPr>
            <w:tcW w:w="1165" w:type="pct"/>
            <w:vAlign w:val="center"/>
          </w:tcPr>
          <w:p w14:paraId="17E5C119">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交通运输部东海航海保障中心上海海图中心、交通运输部水运科学研究所、国信司南（北京）地理信息技术有限公司</w:t>
            </w:r>
          </w:p>
        </w:tc>
      </w:tr>
      <w:tr w14:paraId="67ED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96" w:hRule="atLeast"/>
        </w:trPr>
        <w:tc>
          <w:tcPr>
            <w:tcW w:w="223" w:type="pct"/>
            <w:vAlign w:val="center"/>
          </w:tcPr>
          <w:p w14:paraId="494CEBCB">
            <w:pPr>
              <w:numPr>
                <w:ilvl w:val="0"/>
                <w:numId w:val="1"/>
              </w:numPr>
              <w:jc w:val="center"/>
              <w:rPr>
                <w:rFonts w:ascii="Times New Roman" w:hAnsi="Times New Roman" w:eastAsia="宋体" w:cs="Times New Roman"/>
                <w:bCs/>
                <w:sz w:val="22"/>
              </w:rPr>
            </w:pPr>
          </w:p>
        </w:tc>
        <w:tc>
          <w:tcPr>
            <w:tcW w:w="414" w:type="pct"/>
            <w:vAlign w:val="center"/>
          </w:tcPr>
          <w:p w14:paraId="2A157CD0">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2026-49</w:t>
            </w:r>
          </w:p>
        </w:tc>
        <w:tc>
          <w:tcPr>
            <w:tcW w:w="655" w:type="pct"/>
            <w:vAlign w:val="center"/>
          </w:tcPr>
          <w:p w14:paraId="416CBE20">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电子海图在线更新技术要求</w:t>
            </w:r>
          </w:p>
        </w:tc>
        <w:tc>
          <w:tcPr>
            <w:tcW w:w="1327" w:type="pct"/>
            <w:vAlign w:val="center"/>
          </w:tcPr>
          <w:p w14:paraId="4F32C3FD">
            <w:pPr>
              <w:pStyle w:val="2"/>
              <w:spacing w:beforeAutospacing="0" w:afterAutospacing="0"/>
              <w:rPr>
                <w:rFonts w:ascii="Times New Roman" w:hAnsi="Times New Roman" w:eastAsiaTheme="minorEastAsia"/>
                <w:sz w:val="21"/>
                <w:szCs w:val="21"/>
              </w:rPr>
            </w:pPr>
            <w:r>
              <w:rPr>
                <w:rFonts w:hint="eastAsia" w:ascii="Times New Roman" w:hAnsi="Times New Roman" w:eastAsiaTheme="minorEastAsia"/>
                <w:sz w:val="21"/>
                <w:szCs w:val="21"/>
              </w:rPr>
              <w:t>拟规定利用互联网技术进行电子海图在线更新的基本要求，涵盖电子海图数据提供、在线更新技术接口、ECDIS/ECS设备端实现，以及性能与可靠性等方面的标准。确保电子海图数据的实时、安全、高效更新。</w:t>
            </w:r>
          </w:p>
          <w:p w14:paraId="41924009">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适用于电子海图数据服务方、ECDIS/ECS设备制造商、航运企业及相关监管机构。</w:t>
            </w:r>
          </w:p>
        </w:tc>
        <w:tc>
          <w:tcPr>
            <w:tcW w:w="246" w:type="pct"/>
            <w:vAlign w:val="center"/>
          </w:tcPr>
          <w:p w14:paraId="4C62147B">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27B85CA6">
            <w:pPr>
              <w:jc w:val="center"/>
              <w:rPr>
                <w:rFonts w:ascii="Times New Roman" w:hAnsi="Times New Roman" w:eastAsia="宋体" w:cs="Times New Roman"/>
                <w:bCs/>
                <w:sz w:val="22"/>
              </w:rPr>
            </w:pPr>
          </w:p>
        </w:tc>
        <w:tc>
          <w:tcPr>
            <w:tcW w:w="268" w:type="pct"/>
            <w:vAlign w:val="center"/>
          </w:tcPr>
          <w:p w14:paraId="2716FD42">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0983DA1B">
            <w:pPr>
              <w:jc w:val="center"/>
              <w:rPr>
                <w:rFonts w:ascii="Times New Roman" w:hAnsi="Times New Roman" w:eastAsia="宋体" w:cs="Times New Roman"/>
                <w:bCs/>
                <w:sz w:val="22"/>
              </w:rPr>
            </w:pPr>
            <w:r>
              <w:rPr>
                <w:rFonts w:hint="eastAsia" w:ascii="Times New Roman" w:hAnsi="Times New Roman" w:cs="Times New Roman"/>
                <w:bCs/>
                <w:szCs w:val="21"/>
              </w:rPr>
              <w:t>航测标委会</w:t>
            </w:r>
          </w:p>
        </w:tc>
        <w:tc>
          <w:tcPr>
            <w:tcW w:w="1165" w:type="pct"/>
            <w:vAlign w:val="center"/>
          </w:tcPr>
          <w:p w14:paraId="7BC03B15">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交通运输部东海航海保障中心上海海图中心等</w:t>
            </w:r>
          </w:p>
        </w:tc>
      </w:tr>
      <w:tr w14:paraId="5278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96" w:hRule="atLeast"/>
        </w:trPr>
        <w:tc>
          <w:tcPr>
            <w:tcW w:w="223" w:type="pct"/>
            <w:vAlign w:val="center"/>
          </w:tcPr>
          <w:p w14:paraId="6C1EF88D">
            <w:pPr>
              <w:numPr>
                <w:ilvl w:val="0"/>
                <w:numId w:val="1"/>
              </w:numPr>
              <w:jc w:val="center"/>
              <w:rPr>
                <w:rFonts w:ascii="Times New Roman" w:hAnsi="Times New Roman" w:eastAsia="宋体" w:cs="Times New Roman"/>
                <w:bCs/>
                <w:sz w:val="22"/>
              </w:rPr>
            </w:pPr>
          </w:p>
        </w:tc>
        <w:tc>
          <w:tcPr>
            <w:tcW w:w="414" w:type="pct"/>
            <w:vAlign w:val="center"/>
          </w:tcPr>
          <w:p w14:paraId="5FEE49FB">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2026-50</w:t>
            </w:r>
          </w:p>
        </w:tc>
        <w:tc>
          <w:tcPr>
            <w:tcW w:w="655" w:type="pct"/>
            <w:vAlign w:val="center"/>
          </w:tcPr>
          <w:p w14:paraId="27055617">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无人巡检测量船</w:t>
            </w:r>
          </w:p>
        </w:tc>
        <w:tc>
          <w:tcPr>
            <w:tcW w:w="1327" w:type="pct"/>
            <w:vAlign w:val="center"/>
          </w:tcPr>
          <w:p w14:paraId="5B8B7B82">
            <w:pPr>
              <w:pStyle w:val="2"/>
              <w:spacing w:beforeAutospacing="0" w:afterAutospacing="0"/>
              <w:rPr>
                <w:rFonts w:ascii="Times New Roman" w:hAnsi="Times New Roman" w:eastAsiaTheme="minorEastAsia"/>
                <w:sz w:val="21"/>
                <w:szCs w:val="21"/>
              </w:rPr>
            </w:pPr>
            <w:r>
              <w:rPr>
                <w:rFonts w:hint="eastAsia" w:ascii="Times New Roman" w:hAnsi="Times New Roman" w:eastAsiaTheme="minorEastAsia"/>
                <w:sz w:val="21"/>
                <w:szCs w:val="21"/>
              </w:rPr>
              <w:t>拟规定用于航标巡检、水上无线电监测和海道测量的水面无人巡检测量船的分类和组成、通用要求、性能要求、试验方法、标志、包装、运输和贮存等要求。</w:t>
            </w:r>
          </w:p>
          <w:p w14:paraId="13D5F305">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适用于船长大于等于1 m但小于15 m的水面无人巡检测量船的生产、检验、使用和验收。</w:t>
            </w:r>
          </w:p>
        </w:tc>
        <w:tc>
          <w:tcPr>
            <w:tcW w:w="246" w:type="pct"/>
            <w:vAlign w:val="center"/>
          </w:tcPr>
          <w:p w14:paraId="7DD79747">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0DAA8BD5">
            <w:pPr>
              <w:jc w:val="center"/>
              <w:rPr>
                <w:rFonts w:ascii="Times New Roman" w:hAnsi="Times New Roman" w:eastAsia="宋体" w:cs="Times New Roman"/>
                <w:bCs/>
                <w:sz w:val="22"/>
              </w:rPr>
            </w:pPr>
          </w:p>
        </w:tc>
        <w:tc>
          <w:tcPr>
            <w:tcW w:w="268" w:type="pct"/>
            <w:vAlign w:val="center"/>
          </w:tcPr>
          <w:p w14:paraId="7467568F">
            <w:pPr>
              <w:jc w:val="center"/>
              <w:rPr>
                <w:rFonts w:ascii="Times New Roman" w:hAnsi="Times New Roman" w:eastAsia="宋体" w:cs="Times New Roman"/>
                <w:bCs/>
                <w:sz w:val="22"/>
              </w:rPr>
            </w:pPr>
            <w:r>
              <w:rPr>
                <w:rFonts w:ascii="Times New Roman" w:hAnsi="Times New Roman" w:cs="Times New Roman"/>
                <w:bCs/>
                <w:szCs w:val="21"/>
              </w:rPr>
              <w:t>18</w:t>
            </w:r>
          </w:p>
        </w:tc>
        <w:tc>
          <w:tcPr>
            <w:tcW w:w="372" w:type="pct"/>
            <w:vAlign w:val="center"/>
          </w:tcPr>
          <w:p w14:paraId="7248DC66">
            <w:pPr>
              <w:jc w:val="center"/>
              <w:rPr>
                <w:rFonts w:ascii="Times New Roman" w:hAnsi="Times New Roman" w:eastAsia="宋体" w:cs="Times New Roman"/>
                <w:bCs/>
                <w:sz w:val="22"/>
              </w:rPr>
            </w:pPr>
            <w:r>
              <w:rPr>
                <w:rFonts w:hint="eastAsia" w:ascii="Times New Roman" w:hAnsi="Times New Roman" w:cs="Times New Roman"/>
                <w:bCs/>
                <w:szCs w:val="21"/>
              </w:rPr>
              <w:t>航测标委会</w:t>
            </w:r>
          </w:p>
        </w:tc>
        <w:tc>
          <w:tcPr>
            <w:tcW w:w="1165" w:type="pct"/>
            <w:vAlign w:val="center"/>
          </w:tcPr>
          <w:p w14:paraId="4C665446">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交通运输部东海航海保障中心、交通运输部天津水运工程科学研究所、中国船舶集团有限公司第七〇八研究所、国防科技大学、哈尔滨工程大学、上海交通大学、上海大学、上海华测导航技术股份有限公司、珠海云洲智能科技股份有限公司</w:t>
            </w:r>
          </w:p>
        </w:tc>
      </w:tr>
      <w:tr w14:paraId="7A51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28" w:hRule="atLeast"/>
        </w:trPr>
        <w:tc>
          <w:tcPr>
            <w:tcW w:w="223" w:type="pct"/>
            <w:vAlign w:val="center"/>
          </w:tcPr>
          <w:p w14:paraId="09ED50E5">
            <w:pPr>
              <w:numPr>
                <w:ilvl w:val="0"/>
                <w:numId w:val="1"/>
              </w:numPr>
              <w:jc w:val="center"/>
              <w:rPr>
                <w:rFonts w:ascii="Times New Roman" w:hAnsi="Times New Roman" w:eastAsia="宋体" w:cs="Times New Roman"/>
                <w:bCs/>
                <w:sz w:val="22"/>
              </w:rPr>
            </w:pPr>
          </w:p>
        </w:tc>
        <w:tc>
          <w:tcPr>
            <w:tcW w:w="414" w:type="pct"/>
            <w:vAlign w:val="center"/>
          </w:tcPr>
          <w:p w14:paraId="6ED3C417">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2026-51</w:t>
            </w:r>
          </w:p>
        </w:tc>
        <w:tc>
          <w:tcPr>
            <w:tcW w:w="655" w:type="pct"/>
            <w:vAlign w:val="center"/>
          </w:tcPr>
          <w:p w14:paraId="7F3CDDDD">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E航海技术服务规范 第2部分：航行警告</w:t>
            </w:r>
          </w:p>
        </w:tc>
        <w:tc>
          <w:tcPr>
            <w:tcW w:w="1327" w:type="pct"/>
            <w:vAlign w:val="center"/>
          </w:tcPr>
          <w:p w14:paraId="1D7B8C6F">
            <w:pPr>
              <w:pStyle w:val="2"/>
              <w:spacing w:beforeAutospacing="0" w:afterAutospacing="0"/>
              <w:rPr>
                <w:rFonts w:ascii="Times New Roman" w:hAnsi="Times New Roman" w:eastAsiaTheme="minorEastAsia"/>
                <w:sz w:val="21"/>
                <w:szCs w:val="21"/>
              </w:rPr>
            </w:pPr>
            <w:r>
              <w:rPr>
                <w:rFonts w:hint="eastAsia" w:ascii="Times New Roman" w:hAnsi="Times New Roman" w:eastAsiaTheme="minorEastAsia"/>
                <w:sz w:val="21"/>
                <w:szCs w:val="21"/>
              </w:rPr>
              <w:t>拟规定E航海技术服务涉及航行警告部分的总体架构，以及服务规格、服务技术设计等要求。</w:t>
            </w:r>
          </w:p>
          <w:p w14:paraId="5E02C23D">
            <w:pPr>
              <w:pStyle w:val="2"/>
              <w:spacing w:beforeAutospacing="0" w:afterAutospacing="0"/>
              <w:rPr>
                <w:rFonts w:ascii="Times New Roman" w:hAnsi="Times New Roman" w:eastAsia="宋体"/>
                <w:bCs/>
                <w:sz w:val="22"/>
              </w:rPr>
            </w:pPr>
            <w:r>
              <w:rPr>
                <w:rFonts w:hint="eastAsia" w:ascii="Times New Roman" w:hAnsi="Times New Roman" w:eastAsiaTheme="minorEastAsia"/>
                <w:sz w:val="21"/>
                <w:szCs w:val="21"/>
              </w:rPr>
              <w:t>适用于E航海技术服务涉及航行警告部分的设计、开发与应用。</w:t>
            </w:r>
          </w:p>
        </w:tc>
        <w:tc>
          <w:tcPr>
            <w:tcW w:w="246" w:type="pct"/>
            <w:vAlign w:val="center"/>
          </w:tcPr>
          <w:p w14:paraId="38CF4FE5">
            <w:pPr>
              <w:jc w:val="center"/>
              <w:rPr>
                <w:rFonts w:ascii="Times New Roman" w:hAnsi="Times New Roman" w:eastAsia="宋体" w:cs="Times New Roman"/>
                <w:bCs/>
                <w:sz w:val="22"/>
              </w:rPr>
            </w:pPr>
            <w:r>
              <w:rPr>
                <w:rFonts w:hint="eastAsia" w:ascii="Times New Roman" w:hAnsi="Times New Roman" w:cs="Times New Roman"/>
                <w:bCs/>
                <w:szCs w:val="21"/>
              </w:rPr>
              <w:t>制定</w:t>
            </w:r>
          </w:p>
        </w:tc>
        <w:tc>
          <w:tcPr>
            <w:tcW w:w="326" w:type="pct"/>
            <w:vAlign w:val="center"/>
          </w:tcPr>
          <w:p w14:paraId="4A805DCB">
            <w:pPr>
              <w:jc w:val="center"/>
              <w:rPr>
                <w:rFonts w:ascii="Times New Roman" w:hAnsi="Times New Roman" w:eastAsia="宋体" w:cs="Times New Roman"/>
                <w:bCs/>
                <w:sz w:val="22"/>
              </w:rPr>
            </w:pPr>
          </w:p>
        </w:tc>
        <w:tc>
          <w:tcPr>
            <w:tcW w:w="268" w:type="pct"/>
            <w:vAlign w:val="center"/>
          </w:tcPr>
          <w:p w14:paraId="41459E7C">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14423285">
            <w:pPr>
              <w:jc w:val="center"/>
              <w:rPr>
                <w:rFonts w:ascii="Times New Roman" w:hAnsi="Times New Roman" w:eastAsia="宋体" w:cs="Times New Roman"/>
                <w:bCs/>
                <w:sz w:val="22"/>
              </w:rPr>
            </w:pPr>
            <w:r>
              <w:rPr>
                <w:rFonts w:hint="eastAsia" w:ascii="Times New Roman" w:hAnsi="Times New Roman" w:cs="Times New Roman"/>
                <w:bCs/>
                <w:szCs w:val="21"/>
              </w:rPr>
              <w:t>航测标委会</w:t>
            </w:r>
          </w:p>
        </w:tc>
        <w:tc>
          <w:tcPr>
            <w:tcW w:w="1165" w:type="pct"/>
            <w:vAlign w:val="center"/>
          </w:tcPr>
          <w:p w14:paraId="2BA566A6">
            <w:pPr>
              <w:jc w:val="left"/>
              <w:rPr>
                <w:rFonts w:ascii="Tahoma" w:hAnsi="Tahoma" w:eastAsia="Tahoma" w:cs="Tahoma"/>
                <w:color w:val="333333"/>
                <w:sz w:val="22"/>
                <w:shd w:val="clear" w:color="auto" w:fill="FFFFFF"/>
              </w:rPr>
            </w:pPr>
            <w:r>
              <w:rPr>
                <w:rFonts w:hint="eastAsia" w:ascii="Times New Roman" w:hAnsi="Times New Roman" w:cs="Times New Roman"/>
                <w:bCs/>
                <w:szCs w:val="21"/>
              </w:rPr>
              <w:t>交通运输部南海航海保障中心、广州航海学院</w:t>
            </w:r>
          </w:p>
        </w:tc>
      </w:tr>
      <w:tr w14:paraId="36D1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480" w:hRule="atLeast"/>
        </w:trPr>
        <w:tc>
          <w:tcPr>
            <w:tcW w:w="223" w:type="pct"/>
            <w:vAlign w:val="center"/>
          </w:tcPr>
          <w:p w14:paraId="6DE9844C">
            <w:pPr>
              <w:numPr>
                <w:ilvl w:val="0"/>
                <w:numId w:val="1"/>
              </w:numPr>
              <w:jc w:val="center"/>
              <w:rPr>
                <w:rFonts w:ascii="Times New Roman" w:hAnsi="Times New Roman" w:eastAsia="宋体" w:cs="Times New Roman"/>
                <w:bCs/>
                <w:sz w:val="22"/>
              </w:rPr>
            </w:pPr>
          </w:p>
        </w:tc>
        <w:tc>
          <w:tcPr>
            <w:tcW w:w="414" w:type="pct"/>
            <w:vAlign w:val="center"/>
          </w:tcPr>
          <w:p w14:paraId="6D73E801">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2026-52</w:t>
            </w:r>
          </w:p>
        </w:tc>
        <w:tc>
          <w:tcPr>
            <w:tcW w:w="655" w:type="pct"/>
            <w:vAlign w:val="center"/>
          </w:tcPr>
          <w:p w14:paraId="7FA49DDD">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沿海港口航道基础地理信息要素 第1部分：分类与编码</w:t>
            </w:r>
          </w:p>
        </w:tc>
        <w:tc>
          <w:tcPr>
            <w:tcW w:w="1327" w:type="pct"/>
            <w:vAlign w:val="center"/>
          </w:tcPr>
          <w:p w14:paraId="422F6DD2">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现行标准规定了沿海港口航道基础地理信息要素分类与编码原则、内容以及扩充规则。</w:t>
            </w:r>
          </w:p>
          <w:p w14:paraId="26015354">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适用于沿海港口航道基础地理信息数据的采集、整理、建库、更新、管理、共享、交换、制图和产品开发等过程中要素的标识。</w:t>
            </w:r>
          </w:p>
          <w:p w14:paraId="73C4E336">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主要修订内容：按照规范性引用文件“GB/T 13923 基础地理信息要素分类与代码”2022年的修订内容，对现行标准进行修订，具体包括海上救助站、救生艇站、引桥式码头、道头、破坏的码头、系船柱、罗经校正系船柱、浮船坞、船台、滑道、船架、雷达标、无线电标、引航站、引航处、废船等要素的分类编码。</w:t>
            </w:r>
          </w:p>
        </w:tc>
        <w:tc>
          <w:tcPr>
            <w:tcW w:w="246" w:type="pct"/>
            <w:vAlign w:val="center"/>
          </w:tcPr>
          <w:p w14:paraId="73E592EF">
            <w:pPr>
              <w:jc w:val="center"/>
              <w:rPr>
                <w:rFonts w:ascii="Times New Roman" w:hAnsi="Times New Roman" w:eastAsia="宋体" w:cs="Times New Roman"/>
                <w:bCs/>
                <w:sz w:val="22"/>
              </w:rPr>
            </w:pPr>
            <w:r>
              <w:rPr>
                <w:rFonts w:ascii="Times New Roman" w:hAnsi="Times New Roman" w:cs="Times New Roman"/>
                <w:bCs/>
                <w:szCs w:val="21"/>
              </w:rPr>
              <w:t>修订</w:t>
            </w:r>
          </w:p>
        </w:tc>
        <w:tc>
          <w:tcPr>
            <w:tcW w:w="326" w:type="pct"/>
            <w:vAlign w:val="center"/>
          </w:tcPr>
          <w:p w14:paraId="6964AB38">
            <w:pPr>
              <w:jc w:val="center"/>
              <w:rPr>
                <w:rFonts w:ascii="Times New Roman" w:hAnsi="Times New Roman" w:eastAsia="宋体" w:cs="Times New Roman"/>
                <w:bCs/>
                <w:sz w:val="22"/>
              </w:rPr>
            </w:pPr>
            <w:r>
              <w:rPr>
                <w:rFonts w:ascii="Times New Roman" w:hAnsi="Times New Roman" w:cs="Times New Roman"/>
                <w:bCs/>
                <w:szCs w:val="21"/>
              </w:rPr>
              <w:t>JT/T 1161.1—2017</w:t>
            </w:r>
          </w:p>
        </w:tc>
        <w:tc>
          <w:tcPr>
            <w:tcW w:w="268" w:type="pct"/>
            <w:vAlign w:val="center"/>
          </w:tcPr>
          <w:p w14:paraId="3AE691E9">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18BD8FB9">
            <w:pPr>
              <w:jc w:val="center"/>
              <w:rPr>
                <w:rFonts w:ascii="Times New Roman" w:hAnsi="Times New Roman" w:eastAsia="宋体" w:cs="Times New Roman"/>
                <w:bCs/>
                <w:sz w:val="22"/>
              </w:rPr>
            </w:pPr>
            <w:r>
              <w:rPr>
                <w:rFonts w:ascii="Times New Roman" w:hAnsi="Times New Roman" w:cs="Times New Roman"/>
                <w:bCs/>
                <w:szCs w:val="21"/>
              </w:rPr>
              <w:t>航测</w:t>
            </w:r>
            <w:r>
              <w:rPr>
                <w:rFonts w:hint="eastAsia" w:ascii="Times New Roman" w:hAnsi="Times New Roman" w:cs="Times New Roman"/>
                <w:bCs/>
                <w:szCs w:val="21"/>
              </w:rPr>
              <w:t>标委会</w:t>
            </w:r>
          </w:p>
        </w:tc>
        <w:tc>
          <w:tcPr>
            <w:tcW w:w="1165" w:type="pct"/>
            <w:vAlign w:val="center"/>
          </w:tcPr>
          <w:p w14:paraId="7153CAC2">
            <w:pPr>
              <w:jc w:val="left"/>
              <w:rPr>
                <w:rFonts w:ascii="Tahoma" w:hAnsi="Tahoma" w:eastAsia="Tahoma" w:cs="Tahoma"/>
                <w:color w:val="333333"/>
                <w:sz w:val="22"/>
                <w:shd w:val="clear" w:color="auto" w:fill="FFFFFF"/>
              </w:rPr>
            </w:pPr>
            <w:r>
              <w:rPr>
                <w:rFonts w:ascii="Times New Roman" w:hAnsi="Times New Roman" w:cs="Times New Roman"/>
                <w:bCs/>
                <w:szCs w:val="21"/>
              </w:rPr>
              <w:t>交通运输部南海航海保障中心、交通运输部水运科学研究</w:t>
            </w:r>
            <w:r>
              <w:rPr>
                <w:rFonts w:hint="eastAsia" w:ascii="Times New Roman" w:hAnsi="Times New Roman" w:cs="Times New Roman"/>
                <w:bCs/>
                <w:szCs w:val="21"/>
              </w:rPr>
              <w:t>所</w:t>
            </w:r>
            <w:r>
              <w:rPr>
                <w:rFonts w:ascii="Times New Roman" w:hAnsi="Times New Roman" w:cs="Times New Roman"/>
                <w:bCs/>
                <w:szCs w:val="21"/>
              </w:rPr>
              <w:t>、海军工程大学</w:t>
            </w:r>
          </w:p>
        </w:tc>
      </w:tr>
      <w:tr w14:paraId="66E0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33" w:hRule="atLeast"/>
        </w:trPr>
        <w:tc>
          <w:tcPr>
            <w:tcW w:w="223" w:type="pct"/>
            <w:vAlign w:val="center"/>
          </w:tcPr>
          <w:p w14:paraId="26EA7643">
            <w:pPr>
              <w:numPr>
                <w:ilvl w:val="0"/>
                <w:numId w:val="1"/>
              </w:numPr>
              <w:jc w:val="center"/>
              <w:rPr>
                <w:rFonts w:ascii="Times New Roman" w:hAnsi="Times New Roman" w:eastAsia="宋体" w:cs="Times New Roman"/>
                <w:bCs/>
                <w:sz w:val="22"/>
              </w:rPr>
            </w:pPr>
          </w:p>
        </w:tc>
        <w:tc>
          <w:tcPr>
            <w:tcW w:w="414" w:type="pct"/>
            <w:vAlign w:val="center"/>
          </w:tcPr>
          <w:p w14:paraId="5879CC36">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2026-53</w:t>
            </w:r>
          </w:p>
        </w:tc>
        <w:tc>
          <w:tcPr>
            <w:tcW w:w="655" w:type="pct"/>
            <w:vAlign w:val="center"/>
          </w:tcPr>
          <w:p w14:paraId="43740992">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沿海港口航道基础地理信息要素 第2部分：要素表达</w:t>
            </w:r>
          </w:p>
        </w:tc>
        <w:tc>
          <w:tcPr>
            <w:tcW w:w="1327" w:type="pct"/>
            <w:vAlign w:val="center"/>
          </w:tcPr>
          <w:p w14:paraId="75824631">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现行标准规定了沿海港口航道基础地理信息要素的表达格式、要素类型和描述，以及属性分类和描述。</w:t>
            </w:r>
          </w:p>
          <w:p w14:paraId="205DE5C5">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适用于沿海港口航道基础地理信息数据的采集、整理、建库、更新和管理等。</w:t>
            </w:r>
          </w:p>
          <w:p w14:paraId="0CFC7F4D">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主要修订内容：</w:t>
            </w:r>
            <w:r>
              <w:rPr>
                <w:rFonts w:hint="eastAsia" w:ascii="Times New Roman" w:hAnsi="Times New Roman" w:eastAsiaTheme="minorEastAsia"/>
                <w:sz w:val="21"/>
                <w:szCs w:val="21"/>
              </w:rPr>
              <w:t>1.</w:t>
            </w:r>
            <w:r>
              <w:rPr>
                <w:rFonts w:ascii="Times New Roman" w:hAnsi="Times New Roman" w:eastAsiaTheme="minorEastAsia"/>
                <w:sz w:val="21"/>
                <w:szCs w:val="21"/>
              </w:rPr>
              <w:t>将IHO S-101 纳入规范性引用文件；</w:t>
            </w:r>
            <w:r>
              <w:rPr>
                <w:rFonts w:hint="eastAsia" w:ascii="Times New Roman" w:hAnsi="Times New Roman" w:eastAsiaTheme="minorEastAsia"/>
                <w:sz w:val="21"/>
                <w:szCs w:val="21"/>
              </w:rPr>
              <w:t>2.</w:t>
            </w:r>
            <w:r>
              <w:rPr>
                <w:rFonts w:ascii="Times New Roman" w:hAnsi="Times New Roman" w:eastAsiaTheme="minorEastAsia"/>
                <w:sz w:val="21"/>
                <w:szCs w:val="21"/>
              </w:rPr>
              <w:t>重点参考IHO S-101附录1对本标准要素和属性的表达方法进行全面修订，具体包括现行标准5.1、5.2、7.1节要素、元要素和属性表的对照修订、第6章和第7章的逐一要素表达对照修改。</w:t>
            </w:r>
          </w:p>
        </w:tc>
        <w:tc>
          <w:tcPr>
            <w:tcW w:w="246" w:type="pct"/>
            <w:vAlign w:val="center"/>
          </w:tcPr>
          <w:p w14:paraId="029B4BA7">
            <w:pPr>
              <w:jc w:val="center"/>
              <w:rPr>
                <w:rFonts w:ascii="Times New Roman" w:hAnsi="Times New Roman" w:eastAsia="宋体" w:cs="Times New Roman"/>
                <w:bCs/>
                <w:sz w:val="22"/>
              </w:rPr>
            </w:pPr>
            <w:r>
              <w:rPr>
                <w:rFonts w:ascii="Times New Roman" w:hAnsi="Times New Roman" w:cs="Times New Roman"/>
                <w:bCs/>
                <w:szCs w:val="21"/>
              </w:rPr>
              <w:t>修订</w:t>
            </w:r>
          </w:p>
        </w:tc>
        <w:tc>
          <w:tcPr>
            <w:tcW w:w="326" w:type="pct"/>
            <w:vAlign w:val="center"/>
          </w:tcPr>
          <w:p w14:paraId="1313D318">
            <w:pPr>
              <w:jc w:val="center"/>
              <w:rPr>
                <w:rFonts w:ascii="Times New Roman" w:hAnsi="Times New Roman" w:eastAsia="宋体" w:cs="Times New Roman"/>
                <w:bCs/>
                <w:sz w:val="22"/>
              </w:rPr>
            </w:pPr>
            <w:r>
              <w:rPr>
                <w:rFonts w:ascii="Times New Roman" w:hAnsi="Times New Roman" w:cs="Times New Roman"/>
                <w:bCs/>
                <w:szCs w:val="21"/>
              </w:rPr>
              <w:t>JT/T 1161.2—2017</w:t>
            </w:r>
          </w:p>
        </w:tc>
        <w:tc>
          <w:tcPr>
            <w:tcW w:w="268" w:type="pct"/>
            <w:vAlign w:val="center"/>
          </w:tcPr>
          <w:p w14:paraId="45940C94">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668C6DFF">
            <w:pPr>
              <w:jc w:val="center"/>
              <w:rPr>
                <w:rFonts w:ascii="Times New Roman" w:hAnsi="Times New Roman" w:eastAsia="宋体" w:cs="Times New Roman"/>
                <w:bCs/>
                <w:sz w:val="22"/>
              </w:rPr>
            </w:pPr>
            <w:r>
              <w:rPr>
                <w:rFonts w:ascii="Times New Roman" w:hAnsi="Times New Roman" w:cs="Times New Roman"/>
                <w:bCs/>
                <w:szCs w:val="21"/>
              </w:rPr>
              <w:t>航测</w:t>
            </w:r>
            <w:r>
              <w:rPr>
                <w:rFonts w:hint="eastAsia" w:ascii="Times New Roman" w:hAnsi="Times New Roman" w:cs="Times New Roman"/>
                <w:bCs/>
                <w:szCs w:val="21"/>
              </w:rPr>
              <w:t>标委会</w:t>
            </w:r>
          </w:p>
        </w:tc>
        <w:tc>
          <w:tcPr>
            <w:tcW w:w="1165" w:type="pct"/>
            <w:vAlign w:val="center"/>
          </w:tcPr>
          <w:p w14:paraId="7B7C710D">
            <w:pPr>
              <w:jc w:val="left"/>
              <w:rPr>
                <w:rFonts w:ascii="Tahoma" w:hAnsi="Tahoma" w:eastAsia="Tahoma" w:cs="Tahoma"/>
                <w:color w:val="333333"/>
                <w:sz w:val="22"/>
                <w:shd w:val="clear" w:color="auto" w:fill="FFFFFF"/>
              </w:rPr>
            </w:pPr>
            <w:r>
              <w:rPr>
                <w:rFonts w:ascii="Times New Roman" w:hAnsi="Times New Roman" w:cs="Times New Roman"/>
                <w:bCs/>
                <w:szCs w:val="21"/>
              </w:rPr>
              <w:t>交通运输部南海航海保障中心、交通运输部水运科学研究</w:t>
            </w:r>
            <w:r>
              <w:rPr>
                <w:rFonts w:hint="eastAsia" w:ascii="Times New Roman" w:hAnsi="Times New Roman" w:cs="Times New Roman"/>
                <w:bCs/>
                <w:szCs w:val="21"/>
              </w:rPr>
              <w:t>所</w:t>
            </w:r>
            <w:r>
              <w:rPr>
                <w:rFonts w:ascii="Times New Roman" w:hAnsi="Times New Roman" w:cs="Times New Roman"/>
                <w:bCs/>
                <w:szCs w:val="21"/>
              </w:rPr>
              <w:t>、海军工程大学</w:t>
            </w:r>
          </w:p>
        </w:tc>
      </w:tr>
      <w:tr w14:paraId="5634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33" w:hRule="atLeast"/>
        </w:trPr>
        <w:tc>
          <w:tcPr>
            <w:tcW w:w="223" w:type="pct"/>
            <w:vAlign w:val="center"/>
          </w:tcPr>
          <w:p w14:paraId="1F730128">
            <w:pPr>
              <w:numPr>
                <w:ilvl w:val="0"/>
                <w:numId w:val="1"/>
              </w:numPr>
              <w:jc w:val="center"/>
              <w:rPr>
                <w:rFonts w:ascii="Times New Roman" w:hAnsi="Times New Roman" w:eastAsia="宋体" w:cs="Times New Roman"/>
                <w:bCs/>
                <w:sz w:val="22"/>
              </w:rPr>
            </w:pPr>
          </w:p>
        </w:tc>
        <w:tc>
          <w:tcPr>
            <w:tcW w:w="414" w:type="pct"/>
            <w:vAlign w:val="center"/>
          </w:tcPr>
          <w:p w14:paraId="404B5498">
            <w:pPr>
              <w:ind w:left="21" w:leftChars="10"/>
              <w:jc w:val="left"/>
              <w:rPr>
                <w:rFonts w:ascii="Times New Roman" w:hAnsi="Times New Roman" w:eastAsia="宋体" w:cs="Times New Roman"/>
                <w:bCs/>
                <w:sz w:val="22"/>
              </w:rPr>
            </w:pPr>
            <w:r>
              <w:rPr>
                <w:rFonts w:hint="eastAsia" w:ascii="Times New Roman" w:hAnsi="Times New Roman" w:eastAsia="宋体" w:cs="Times New Roman"/>
                <w:bCs/>
                <w:sz w:val="22"/>
              </w:rPr>
              <w:t>JT 2026-54</w:t>
            </w:r>
          </w:p>
        </w:tc>
        <w:tc>
          <w:tcPr>
            <w:tcW w:w="655" w:type="pct"/>
            <w:vAlign w:val="center"/>
          </w:tcPr>
          <w:p w14:paraId="3E62FF32">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绿色交通设施评估技术要求 第1部分：绿色公路</w:t>
            </w:r>
          </w:p>
        </w:tc>
        <w:tc>
          <w:tcPr>
            <w:tcW w:w="1327" w:type="pct"/>
            <w:vAlign w:val="center"/>
          </w:tcPr>
          <w:p w14:paraId="3E898830">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现行标准规定了绿色公路评估的基本要求、评估指标体系和评估方法。</w:t>
            </w:r>
          </w:p>
          <w:p w14:paraId="3AE039BC">
            <w:pPr>
              <w:pStyle w:val="2"/>
              <w:spacing w:beforeAutospacing="0" w:afterAutospacing="0"/>
              <w:rPr>
                <w:rFonts w:ascii="Times New Roman" w:hAnsi="Times New Roman" w:eastAsiaTheme="minorEastAsia"/>
                <w:sz w:val="21"/>
                <w:szCs w:val="21"/>
              </w:rPr>
            </w:pPr>
            <w:r>
              <w:rPr>
                <w:rFonts w:ascii="Times New Roman" w:hAnsi="Times New Roman" w:eastAsiaTheme="minorEastAsia"/>
                <w:sz w:val="21"/>
                <w:szCs w:val="21"/>
              </w:rPr>
              <w:t>适用于新建、改扩建的二级及以上等级公路的绿色公路评估。</w:t>
            </w:r>
          </w:p>
          <w:p w14:paraId="5D646CD0">
            <w:pPr>
              <w:pStyle w:val="2"/>
              <w:spacing w:beforeAutospacing="0" w:afterAutospacing="0"/>
              <w:rPr>
                <w:rFonts w:ascii="Times New Roman" w:hAnsi="Times New Roman" w:eastAsia="宋体"/>
                <w:bCs/>
                <w:sz w:val="22"/>
              </w:rPr>
            </w:pPr>
            <w:r>
              <w:rPr>
                <w:rFonts w:ascii="Times New Roman" w:hAnsi="Times New Roman" w:eastAsiaTheme="minorEastAsia"/>
                <w:sz w:val="21"/>
                <w:szCs w:val="21"/>
              </w:rPr>
              <w:t>主要修订内容：1.“评估指标体系”中增加“创新驱动”指标，作为评估指标体系的加分项；2.“评估方法”中增加关于绿色公路等级划分及评定标准的相关内容；3.指标中增加关于碳排放控制与监测相关内容，更改固废资源化利用的相关计分方法；4.增加“智慧建养”指标，调整部分指标权重及计分方法。</w:t>
            </w:r>
          </w:p>
        </w:tc>
        <w:tc>
          <w:tcPr>
            <w:tcW w:w="246" w:type="pct"/>
            <w:vAlign w:val="center"/>
          </w:tcPr>
          <w:p w14:paraId="4472EB6A">
            <w:pPr>
              <w:jc w:val="center"/>
              <w:rPr>
                <w:rFonts w:ascii="Times New Roman" w:hAnsi="Times New Roman" w:eastAsia="宋体" w:cs="Times New Roman"/>
                <w:bCs/>
                <w:sz w:val="22"/>
              </w:rPr>
            </w:pPr>
            <w:r>
              <w:rPr>
                <w:rFonts w:ascii="Times New Roman" w:hAnsi="Times New Roman" w:cs="Times New Roman"/>
                <w:bCs/>
                <w:szCs w:val="21"/>
              </w:rPr>
              <w:t>修订</w:t>
            </w:r>
          </w:p>
        </w:tc>
        <w:tc>
          <w:tcPr>
            <w:tcW w:w="326" w:type="pct"/>
            <w:vAlign w:val="center"/>
          </w:tcPr>
          <w:p w14:paraId="7250C136">
            <w:pPr>
              <w:jc w:val="center"/>
              <w:rPr>
                <w:rFonts w:ascii="Times New Roman" w:hAnsi="Times New Roman" w:eastAsia="宋体" w:cs="Times New Roman"/>
                <w:bCs/>
                <w:sz w:val="22"/>
              </w:rPr>
            </w:pPr>
            <w:r>
              <w:rPr>
                <w:rFonts w:ascii="Times New Roman" w:hAnsi="Times New Roman" w:cs="Times New Roman"/>
                <w:bCs/>
                <w:szCs w:val="21"/>
              </w:rPr>
              <w:t>JT/T 1199.1—2018</w:t>
            </w:r>
          </w:p>
        </w:tc>
        <w:tc>
          <w:tcPr>
            <w:tcW w:w="268" w:type="pct"/>
            <w:vAlign w:val="center"/>
          </w:tcPr>
          <w:p w14:paraId="0420816D">
            <w:pPr>
              <w:jc w:val="center"/>
              <w:rPr>
                <w:rFonts w:ascii="Times New Roman" w:hAnsi="Times New Roman" w:eastAsia="宋体" w:cs="Times New Roman"/>
                <w:bCs/>
                <w:sz w:val="22"/>
              </w:rPr>
            </w:pPr>
            <w:r>
              <w:rPr>
                <w:rFonts w:ascii="Times New Roman" w:hAnsi="Times New Roman" w:cs="Times New Roman"/>
                <w:bCs/>
                <w:szCs w:val="21"/>
              </w:rPr>
              <w:t>12</w:t>
            </w:r>
          </w:p>
        </w:tc>
        <w:tc>
          <w:tcPr>
            <w:tcW w:w="372" w:type="pct"/>
            <w:vAlign w:val="center"/>
          </w:tcPr>
          <w:p w14:paraId="56005BC1">
            <w:pPr>
              <w:jc w:val="center"/>
              <w:rPr>
                <w:rFonts w:ascii="Times New Roman" w:hAnsi="Times New Roman" w:eastAsia="宋体" w:cs="Times New Roman"/>
                <w:bCs/>
                <w:sz w:val="22"/>
              </w:rPr>
            </w:pPr>
            <w:r>
              <w:rPr>
                <w:rFonts w:ascii="Times New Roman" w:hAnsi="Times New Roman" w:cs="Times New Roman"/>
                <w:bCs/>
                <w:szCs w:val="21"/>
              </w:rPr>
              <w:t>环保</w:t>
            </w:r>
            <w:r>
              <w:rPr>
                <w:rFonts w:hint="eastAsia" w:ascii="Times New Roman" w:hAnsi="Times New Roman" w:cs="Times New Roman"/>
                <w:bCs/>
                <w:szCs w:val="21"/>
              </w:rPr>
              <w:t>标委会</w:t>
            </w:r>
          </w:p>
        </w:tc>
        <w:tc>
          <w:tcPr>
            <w:tcW w:w="1165" w:type="pct"/>
            <w:vAlign w:val="center"/>
          </w:tcPr>
          <w:p w14:paraId="2385C958">
            <w:pPr>
              <w:jc w:val="left"/>
              <w:rPr>
                <w:rFonts w:ascii="Tahoma" w:hAnsi="Tahoma" w:eastAsia="Tahoma" w:cs="Tahoma"/>
                <w:color w:val="333333"/>
                <w:sz w:val="22"/>
                <w:shd w:val="clear" w:color="auto" w:fill="FFFFFF"/>
              </w:rPr>
            </w:pPr>
            <w:r>
              <w:rPr>
                <w:rFonts w:ascii="Times New Roman" w:hAnsi="Times New Roman" w:cs="Times New Roman"/>
                <w:bCs/>
                <w:szCs w:val="21"/>
              </w:rPr>
              <w:t>天津市政工程设计研究总院有限公司、长安大学、交通运输部公路科学研究所、中交公路规划设计院有限公司、交通运输部科学研究院、天津大学、北京工业大学、天津市公路事业发展服务中心、中国华西工程设计建设有限公司、内蒙古自治区交通运输科学发展研究院</w:t>
            </w:r>
          </w:p>
        </w:tc>
      </w:tr>
      <w:bookmarkEnd w:id="0"/>
    </w:tbl>
    <w:p w14:paraId="6166F5FF">
      <w:pPr>
        <w:pageBreakBefore/>
        <w:outlineLvl w:val="0"/>
        <w:rPr>
          <w:rFonts w:hint="eastAsia" w:ascii="黑体" w:hAnsi="黑体" w:eastAsia="黑体" w:cs="黑体"/>
          <w:sz w:val="32"/>
          <w:szCs w:val="32"/>
        </w:rPr>
      </w:pPr>
      <w:r>
        <w:rPr>
          <w:rFonts w:hint="eastAsia" w:ascii="黑体" w:hAnsi="黑体" w:eastAsia="黑体" w:cs="黑体"/>
          <w:sz w:val="32"/>
          <w:szCs w:val="32"/>
        </w:rPr>
        <w:t>二、行业标准外文版（2项）</w:t>
      </w:r>
    </w:p>
    <w:tbl>
      <w:tblPr>
        <w:tblStyle w:val="4"/>
        <w:tblW w:w="5087" w:type="pct"/>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671"/>
        <w:gridCol w:w="1574"/>
        <w:gridCol w:w="2703"/>
        <w:gridCol w:w="2173"/>
        <w:gridCol w:w="900"/>
        <w:gridCol w:w="1693"/>
        <w:gridCol w:w="1739"/>
        <w:gridCol w:w="2921"/>
      </w:tblGrid>
      <w:tr w14:paraId="4990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958" w:hRule="atLeast"/>
          <w:tblHeader/>
        </w:trPr>
        <w:tc>
          <w:tcPr>
            <w:tcW w:w="233" w:type="pct"/>
            <w:vAlign w:val="center"/>
          </w:tcPr>
          <w:p w14:paraId="270E493E">
            <w:pPr>
              <w:jc w:val="center"/>
              <w:rPr>
                <w:rFonts w:hint="eastAsia" w:ascii="黑体" w:hAnsi="黑体" w:eastAsia="黑体" w:cs="黑体"/>
                <w:szCs w:val="21"/>
              </w:rPr>
            </w:pPr>
            <w:r>
              <w:rPr>
                <w:rFonts w:hint="eastAsia" w:ascii="黑体" w:hAnsi="黑体" w:eastAsia="黑体" w:cs="黑体"/>
                <w:szCs w:val="21"/>
              </w:rPr>
              <w:t>序号</w:t>
            </w:r>
          </w:p>
        </w:tc>
        <w:tc>
          <w:tcPr>
            <w:tcW w:w="547" w:type="pct"/>
            <w:vAlign w:val="center"/>
          </w:tcPr>
          <w:p w14:paraId="13C4F053">
            <w:pPr>
              <w:jc w:val="center"/>
              <w:rPr>
                <w:rFonts w:hint="eastAsia" w:ascii="黑体" w:hAnsi="黑体" w:eastAsia="黑体" w:cs="黑体"/>
                <w:szCs w:val="21"/>
              </w:rPr>
            </w:pPr>
            <w:r>
              <w:rPr>
                <w:rFonts w:hint="eastAsia" w:ascii="黑体" w:hAnsi="黑体" w:eastAsia="黑体" w:cs="黑体"/>
                <w:szCs w:val="21"/>
              </w:rPr>
              <w:t>计划编号</w:t>
            </w:r>
          </w:p>
        </w:tc>
        <w:tc>
          <w:tcPr>
            <w:tcW w:w="939" w:type="pct"/>
            <w:vAlign w:val="center"/>
          </w:tcPr>
          <w:p w14:paraId="3F9A5E75">
            <w:pPr>
              <w:jc w:val="center"/>
              <w:rPr>
                <w:rFonts w:hint="eastAsia" w:ascii="黑体" w:hAnsi="黑体" w:eastAsia="黑体" w:cs="黑体"/>
                <w:szCs w:val="21"/>
              </w:rPr>
            </w:pPr>
            <w:r>
              <w:rPr>
                <w:rFonts w:hint="eastAsia" w:ascii="黑体" w:hAnsi="黑体" w:eastAsia="黑体" w:cs="黑体"/>
                <w:szCs w:val="21"/>
              </w:rPr>
              <w:t>标准名称</w:t>
            </w:r>
          </w:p>
        </w:tc>
        <w:tc>
          <w:tcPr>
            <w:tcW w:w="756" w:type="pct"/>
            <w:vAlign w:val="center"/>
          </w:tcPr>
          <w:p w14:paraId="0798AF57">
            <w:pPr>
              <w:jc w:val="center"/>
              <w:rPr>
                <w:rFonts w:hint="eastAsia" w:ascii="黑体" w:hAnsi="黑体" w:eastAsia="黑体" w:cs="黑体"/>
                <w:szCs w:val="21"/>
              </w:rPr>
            </w:pPr>
            <w:r>
              <w:rPr>
                <w:rFonts w:hint="eastAsia" w:ascii="黑体" w:hAnsi="黑体" w:eastAsia="黑体" w:cs="黑体"/>
                <w:szCs w:val="21"/>
              </w:rPr>
              <w:t>行标编号</w:t>
            </w:r>
          </w:p>
        </w:tc>
        <w:tc>
          <w:tcPr>
            <w:tcW w:w="313" w:type="pct"/>
            <w:vAlign w:val="center"/>
          </w:tcPr>
          <w:p w14:paraId="7DC6B754">
            <w:pPr>
              <w:jc w:val="center"/>
              <w:rPr>
                <w:rFonts w:hint="eastAsia" w:ascii="黑体" w:hAnsi="黑体" w:eastAsia="黑体" w:cs="黑体"/>
                <w:szCs w:val="21"/>
              </w:rPr>
            </w:pPr>
            <w:r>
              <w:rPr>
                <w:rFonts w:hint="eastAsia" w:ascii="黑体" w:hAnsi="黑体" w:eastAsia="黑体" w:cs="黑体"/>
                <w:szCs w:val="21"/>
              </w:rPr>
              <w:t>语种</w:t>
            </w:r>
          </w:p>
        </w:tc>
        <w:tc>
          <w:tcPr>
            <w:tcW w:w="589" w:type="pct"/>
            <w:vAlign w:val="center"/>
          </w:tcPr>
          <w:p w14:paraId="539DAC4E">
            <w:pPr>
              <w:jc w:val="center"/>
              <w:rPr>
                <w:rFonts w:hint="eastAsia" w:ascii="黑体" w:hAnsi="黑体" w:eastAsia="黑体" w:cs="黑体"/>
                <w:szCs w:val="21"/>
              </w:rPr>
            </w:pPr>
            <w:r>
              <w:rPr>
                <w:rFonts w:hint="eastAsia" w:ascii="黑体" w:hAnsi="黑体" w:eastAsia="黑体" w:cs="黑体"/>
                <w:szCs w:val="21"/>
              </w:rPr>
              <w:t>完成周期（月）</w:t>
            </w:r>
          </w:p>
        </w:tc>
        <w:tc>
          <w:tcPr>
            <w:tcW w:w="605" w:type="pct"/>
            <w:vAlign w:val="center"/>
          </w:tcPr>
          <w:p w14:paraId="4665484D">
            <w:pPr>
              <w:jc w:val="center"/>
              <w:rPr>
                <w:rFonts w:hint="eastAsia" w:ascii="黑体" w:hAnsi="黑体" w:eastAsia="黑体" w:cs="黑体"/>
                <w:szCs w:val="21"/>
              </w:rPr>
            </w:pPr>
            <w:r>
              <w:rPr>
                <w:rFonts w:hint="eastAsia" w:ascii="黑体" w:hAnsi="黑体" w:eastAsia="黑体" w:cs="黑体"/>
                <w:szCs w:val="21"/>
              </w:rPr>
              <w:t>技术归口单位</w:t>
            </w:r>
          </w:p>
        </w:tc>
        <w:tc>
          <w:tcPr>
            <w:tcW w:w="1015" w:type="pct"/>
            <w:vAlign w:val="center"/>
          </w:tcPr>
          <w:p w14:paraId="4156413B">
            <w:pPr>
              <w:jc w:val="center"/>
              <w:rPr>
                <w:rFonts w:hint="eastAsia" w:ascii="黑体" w:hAnsi="黑体" w:eastAsia="黑体" w:cs="黑体"/>
                <w:szCs w:val="21"/>
              </w:rPr>
            </w:pPr>
            <w:r>
              <w:rPr>
                <w:rFonts w:hint="eastAsia" w:ascii="黑体" w:hAnsi="黑体" w:eastAsia="黑体" w:cs="黑体"/>
                <w:szCs w:val="21"/>
              </w:rPr>
              <w:t>翻译主要承担单位</w:t>
            </w:r>
          </w:p>
        </w:tc>
      </w:tr>
      <w:tr w14:paraId="307D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42" w:hRule="atLeast"/>
        </w:trPr>
        <w:tc>
          <w:tcPr>
            <w:tcW w:w="233" w:type="pct"/>
            <w:vAlign w:val="center"/>
          </w:tcPr>
          <w:p w14:paraId="1045458E">
            <w:pPr>
              <w:numPr>
                <w:ilvl w:val="0"/>
                <w:numId w:val="2"/>
              </w:numPr>
              <w:jc w:val="center"/>
              <w:rPr>
                <w:rFonts w:ascii="Times New Roman" w:hAnsi="Times New Roman" w:eastAsia="宋体" w:cs="Times New Roman"/>
                <w:bCs/>
                <w:szCs w:val="21"/>
              </w:rPr>
            </w:pPr>
          </w:p>
        </w:tc>
        <w:tc>
          <w:tcPr>
            <w:tcW w:w="547" w:type="pct"/>
            <w:vAlign w:val="center"/>
          </w:tcPr>
          <w:p w14:paraId="1060AC6F">
            <w:pPr>
              <w:ind w:left="21" w:leftChars="10"/>
              <w:jc w:val="left"/>
              <w:rPr>
                <w:rFonts w:ascii="Times New Roman" w:hAnsi="Times New Roman" w:eastAsia="宋体" w:cs="Times New Roman"/>
                <w:bCs/>
                <w:szCs w:val="21"/>
              </w:rPr>
            </w:pPr>
            <w:r>
              <w:rPr>
                <w:rFonts w:hint="eastAsia" w:ascii="Times New Roman" w:hAnsi="Times New Roman" w:eastAsia="宋体" w:cs="Times New Roman"/>
                <w:bCs/>
                <w:szCs w:val="21"/>
              </w:rPr>
              <w:t>WJT 2026-03</w:t>
            </w:r>
          </w:p>
        </w:tc>
        <w:tc>
          <w:tcPr>
            <w:tcW w:w="939" w:type="pct"/>
            <w:vAlign w:val="center"/>
          </w:tcPr>
          <w:p w14:paraId="5827BE85">
            <w:pPr>
              <w:ind w:left="21" w:leftChars="10"/>
              <w:jc w:val="left"/>
              <w:rPr>
                <w:rFonts w:ascii="Times New Roman" w:hAnsi="Times New Roman" w:eastAsia="宋体" w:cs="Times New Roman"/>
                <w:bCs/>
                <w:szCs w:val="21"/>
              </w:rPr>
            </w:pPr>
            <w:r>
              <w:rPr>
                <w:rFonts w:hint="eastAsia" w:ascii="Times New Roman" w:hAnsi="Times New Roman" w:eastAsia="宋体" w:cs="Times New Roman"/>
                <w:bCs/>
                <w:szCs w:val="21"/>
              </w:rPr>
              <w:t>港口散杂货汽车电子磅单</w:t>
            </w:r>
          </w:p>
        </w:tc>
        <w:tc>
          <w:tcPr>
            <w:tcW w:w="756" w:type="pct"/>
            <w:vAlign w:val="center"/>
          </w:tcPr>
          <w:p w14:paraId="7A4D360F">
            <w:pPr>
              <w:ind w:left="21" w:leftChars="10"/>
              <w:jc w:val="center"/>
              <w:rPr>
                <w:rFonts w:ascii="Times New Roman" w:hAnsi="Times New Roman" w:eastAsia="宋体" w:cs="Times New Roman"/>
                <w:bCs/>
                <w:szCs w:val="21"/>
              </w:rPr>
            </w:pPr>
            <w:r>
              <w:rPr>
                <w:rFonts w:ascii="Times New Roman" w:hAnsi="Times New Roman" w:eastAsia="宋体" w:cs="Times New Roman"/>
                <w:bCs/>
                <w:szCs w:val="21"/>
              </w:rPr>
              <w:t>JT/T 1593</w:t>
            </w:r>
            <w:r>
              <w:rPr>
                <w:rFonts w:hint="eastAsia" w:ascii="Times New Roman" w:hAnsi="Times New Roman" w:cs="Times New Roman"/>
                <w:bCs/>
                <w:szCs w:val="21"/>
              </w:rPr>
              <w:t>—</w:t>
            </w:r>
            <w:r>
              <w:rPr>
                <w:rFonts w:ascii="Times New Roman" w:hAnsi="Times New Roman" w:eastAsia="宋体" w:cs="Times New Roman"/>
                <w:bCs/>
                <w:szCs w:val="21"/>
              </w:rPr>
              <w:t>2026</w:t>
            </w:r>
          </w:p>
        </w:tc>
        <w:tc>
          <w:tcPr>
            <w:tcW w:w="313" w:type="pct"/>
            <w:vAlign w:val="center"/>
          </w:tcPr>
          <w:p w14:paraId="57894F66">
            <w:pPr>
              <w:jc w:val="center"/>
              <w:rPr>
                <w:rFonts w:ascii="Times New Roman" w:hAnsi="Times New Roman" w:eastAsia="宋体" w:cs="Times New Roman"/>
                <w:kern w:val="0"/>
                <w:szCs w:val="21"/>
              </w:rPr>
            </w:pPr>
            <w:r>
              <w:rPr>
                <w:rFonts w:ascii="Times New Roman" w:hAnsi="Times New Roman" w:eastAsia="宋体" w:cs="Times New Roman"/>
                <w:kern w:val="0"/>
                <w:szCs w:val="21"/>
              </w:rPr>
              <w:t>英文</w:t>
            </w:r>
          </w:p>
        </w:tc>
        <w:tc>
          <w:tcPr>
            <w:tcW w:w="589" w:type="pct"/>
            <w:vAlign w:val="center"/>
          </w:tcPr>
          <w:p w14:paraId="208665E5">
            <w:pPr>
              <w:jc w:val="center"/>
              <w:rPr>
                <w:rFonts w:ascii="Times New Roman" w:hAnsi="Times New Roman" w:eastAsia="宋体" w:cs="Times New Roman"/>
                <w:kern w:val="0"/>
                <w:szCs w:val="21"/>
              </w:rPr>
            </w:pPr>
            <w:r>
              <w:rPr>
                <w:rFonts w:ascii="Times New Roman" w:hAnsi="Times New Roman" w:eastAsia="仿宋_GB2312" w:cs="Times New Roman"/>
                <w:sz w:val="24"/>
                <w:szCs w:val="24"/>
              </w:rPr>
              <w:t>12</w:t>
            </w:r>
          </w:p>
        </w:tc>
        <w:tc>
          <w:tcPr>
            <w:tcW w:w="605" w:type="pct"/>
            <w:vAlign w:val="center"/>
          </w:tcPr>
          <w:p w14:paraId="1D905A34">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港口标委会</w:t>
            </w:r>
          </w:p>
        </w:tc>
        <w:tc>
          <w:tcPr>
            <w:tcW w:w="1015" w:type="pct"/>
            <w:vAlign w:val="center"/>
          </w:tcPr>
          <w:p w14:paraId="41C71689">
            <w:pPr>
              <w:rPr>
                <w:rFonts w:ascii="Arial" w:hAnsi="Arial" w:eastAsia="宋体" w:cs="Arial"/>
                <w:color w:val="000000"/>
                <w:kern w:val="0"/>
                <w:szCs w:val="21"/>
                <w:lang w:bidi="ar"/>
              </w:rPr>
            </w:pPr>
            <w:r>
              <w:rPr>
                <w:rFonts w:hint="eastAsia" w:ascii="Arial" w:hAnsi="Arial" w:eastAsia="宋体" w:cs="Arial"/>
                <w:color w:val="000000"/>
                <w:kern w:val="0"/>
                <w:szCs w:val="21"/>
                <w:lang w:bidi="ar"/>
              </w:rPr>
              <w:t>交通运输部水运科学研究所</w:t>
            </w:r>
          </w:p>
        </w:tc>
      </w:tr>
      <w:tr w14:paraId="025B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652" w:hRule="atLeast"/>
        </w:trPr>
        <w:tc>
          <w:tcPr>
            <w:tcW w:w="233" w:type="pct"/>
            <w:vAlign w:val="center"/>
          </w:tcPr>
          <w:p w14:paraId="47867044">
            <w:pPr>
              <w:numPr>
                <w:ilvl w:val="0"/>
                <w:numId w:val="2"/>
              </w:numPr>
              <w:jc w:val="center"/>
              <w:rPr>
                <w:rFonts w:ascii="Times New Roman" w:hAnsi="Times New Roman" w:eastAsia="宋体" w:cs="Times New Roman"/>
                <w:bCs/>
                <w:szCs w:val="21"/>
              </w:rPr>
            </w:pPr>
          </w:p>
        </w:tc>
        <w:tc>
          <w:tcPr>
            <w:tcW w:w="547" w:type="pct"/>
            <w:vAlign w:val="center"/>
          </w:tcPr>
          <w:p w14:paraId="7D05669D">
            <w:pPr>
              <w:ind w:left="21" w:leftChars="10"/>
              <w:jc w:val="left"/>
              <w:rPr>
                <w:rFonts w:ascii="Times New Roman" w:hAnsi="Times New Roman" w:eastAsia="宋体" w:cs="Times New Roman"/>
                <w:bCs/>
                <w:szCs w:val="21"/>
              </w:rPr>
            </w:pPr>
            <w:r>
              <w:rPr>
                <w:rFonts w:hint="eastAsia" w:ascii="Times New Roman" w:hAnsi="Times New Roman" w:eastAsia="宋体" w:cs="Times New Roman"/>
                <w:bCs/>
                <w:szCs w:val="21"/>
              </w:rPr>
              <w:t>WJT 2026-04</w:t>
            </w:r>
          </w:p>
        </w:tc>
        <w:tc>
          <w:tcPr>
            <w:tcW w:w="939" w:type="pct"/>
            <w:vAlign w:val="center"/>
          </w:tcPr>
          <w:p w14:paraId="21FF84C0">
            <w:pPr>
              <w:ind w:left="21" w:leftChars="10"/>
              <w:jc w:val="left"/>
              <w:rPr>
                <w:rFonts w:ascii="Times New Roman" w:hAnsi="Times New Roman" w:eastAsia="宋体" w:cs="Times New Roman"/>
                <w:bCs/>
                <w:szCs w:val="21"/>
              </w:rPr>
            </w:pPr>
            <w:r>
              <w:rPr>
                <w:rFonts w:hint="eastAsia" w:ascii="Times New Roman" w:hAnsi="Times New Roman" w:eastAsia="宋体" w:cs="Times New Roman"/>
                <w:bCs/>
                <w:szCs w:val="21"/>
              </w:rPr>
              <w:t>邮轮港服务规范</w:t>
            </w:r>
          </w:p>
        </w:tc>
        <w:tc>
          <w:tcPr>
            <w:tcW w:w="756" w:type="pct"/>
            <w:vAlign w:val="center"/>
          </w:tcPr>
          <w:p w14:paraId="43322E7B">
            <w:pPr>
              <w:ind w:left="21" w:leftChars="10"/>
              <w:jc w:val="center"/>
              <w:rPr>
                <w:rFonts w:ascii="Times New Roman" w:hAnsi="Times New Roman" w:eastAsia="宋体" w:cs="Times New Roman"/>
                <w:bCs/>
                <w:szCs w:val="21"/>
              </w:rPr>
            </w:pPr>
            <w:r>
              <w:rPr>
                <w:rFonts w:hint="eastAsia" w:ascii="Times New Roman" w:hAnsi="Times New Roman" w:eastAsia="宋体" w:cs="Times New Roman"/>
                <w:bCs/>
                <w:szCs w:val="21"/>
              </w:rPr>
              <w:t>JT/T 1294</w:t>
            </w:r>
            <w:r>
              <w:rPr>
                <w:rFonts w:hint="eastAsia" w:ascii="Times New Roman" w:hAnsi="Times New Roman" w:cs="Times New Roman"/>
                <w:bCs/>
                <w:szCs w:val="21"/>
              </w:rPr>
              <w:t>—</w:t>
            </w:r>
            <w:r>
              <w:rPr>
                <w:rFonts w:hint="eastAsia" w:ascii="Times New Roman" w:hAnsi="Times New Roman" w:eastAsia="宋体" w:cs="Times New Roman"/>
                <w:bCs/>
                <w:szCs w:val="21"/>
              </w:rPr>
              <w:t>2019</w:t>
            </w:r>
          </w:p>
        </w:tc>
        <w:tc>
          <w:tcPr>
            <w:tcW w:w="313" w:type="pct"/>
            <w:vAlign w:val="center"/>
          </w:tcPr>
          <w:p w14:paraId="76F46803">
            <w:pPr>
              <w:jc w:val="center"/>
              <w:rPr>
                <w:rFonts w:ascii="Times New Roman" w:hAnsi="Times New Roman" w:eastAsia="宋体" w:cs="Times New Roman"/>
                <w:kern w:val="0"/>
                <w:szCs w:val="21"/>
              </w:rPr>
            </w:pPr>
            <w:r>
              <w:rPr>
                <w:rFonts w:ascii="Times New Roman" w:hAnsi="Times New Roman" w:eastAsia="宋体" w:cs="Times New Roman"/>
                <w:kern w:val="0"/>
                <w:szCs w:val="21"/>
              </w:rPr>
              <w:t>英文</w:t>
            </w:r>
          </w:p>
        </w:tc>
        <w:tc>
          <w:tcPr>
            <w:tcW w:w="589" w:type="pct"/>
            <w:vAlign w:val="center"/>
          </w:tcPr>
          <w:p w14:paraId="086F1D09">
            <w:pPr>
              <w:jc w:val="center"/>
              <w:rPr>
                <w:rFonts w:ascii="Times New Roman" w:hAnsi="Times New Roman" w:eastAsia="宋体" w:cs="Times New Roman"/>
                <w:kern w:val="0"/>
                <w:szCs w:val="21"/>
              </w:rPr>
            </w:pPr>
            <w:r>
              <w:rPr>
                <w:rFonts w:hint="eastAsia" w:ascii="Times New Roman" w:hAnsi="Times New Roman" w:eastAsia="仿宋_GB2312" w:cs="Times New Roman"/>
                <w:sz w:val="24"/>
                <w:szCs w:val="24"/>
              </w:rPr>
              <w:t>12</w:t>
            </w:r>
          </w:p>
        </w:tc>
        <w:tc>
          <w:tcPr>
            <w:tcW w:w="605" w:type="pct"/>
            <w:vAlign w:val="center"/>
          </w:tcPr>
          <w:p w14:paraId="71B96AEA">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港口标委会</w:t>
            </w:r>
          </w:p>
        </w:tc>
        <w:tc>
          <w:tcPr>
            <w:tcW w:w="1015" w:type="pct"/>
            <w:vAlign w:val="center"/>
          </w:tcPr>
          <w:p w14:paraId="34ADE084">
            <w:pPr>
              <w:rPr>
                <w:rFonts w:ascii="Arial" w:hAnsi="Arial" w:eastAsia="宋体" w:cs="Arial"/>
                <w:color w:val="000000"/>
                <w:kern w:val="0"/>
                <w:szCs w:val="21"/>
                <w:lang w:bidi="ar"/>
              </w:rPr>
            </w:pPr>
            <w:r>
              <w:rPr>
                <w:rFonts w:hint="eastAsia" w:ascii="Arial" w:hAnsi="Arial" w:eastAsia="宋体" w:cs="Arial"/>
                <w:color w:val="000000"/>
                <w:kern w:val="0"/>
                <w:szCs w:val="21"/>
                <w:lang w:bidi="ar"/>
              </w:rPr>
              <w:t>交通运输部水运科学研究所</w:t>
            </w:r>
          </w:p>
        </w:tc>
      </w:tr>
    </w:tbl>
    <w:p w14:paraId="6FFC6005">
      <w:pPr>
        <w:pageBreakBefore/>
        <w:outlineLvl w:val="0"/>
        <w:rPr>
          <w:rFonts w:hint="eastAsia" w:ascii="黑体" w:hAnsi="黑体" w:eastAsia="黑体" w:cs="黑体"/>
          <w:sz w:val="32"/>
          <w:szCs w:val="32"/>
        </w:rPr>
      </w:pPr>
      <w:r>
        <w:rPr>
          <w:rFonts w:hint="eastAsia" w:ascii="黑体" w:hAnsi="黑体" w:eastAsia="黑体" w:cs="黑体"/>
          <w:sz w:val="32"/>
          <w:szCs w:val="32"/>
        </w:rPr>
        <w:t>三、部门计量检定规程（6项）</w:t>
      </w:r>
    </w:p>
    <w:tbl>
      <w:tblPr>
        <w:tblStyle w:val="4"/>
        <w:tblW w:w="5153"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98"/>
        <w:gridCol w:w="1194"/>
        <w:gridCol w:w="1916"/>
        <w:gridCol w:w="3590"/>
        <w:gridCol w:w="711"/>
        <w:gridCol w:w="1084"/>
        <w:gridCol w:w="942"/>
        <w:gridCol w:w="1069"/>
        <w:gridCol w:w="3339"/>
      </w:tblGrid>
      <w:tr w14:paraId="2EC0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04" w:hRule="atLeast"/>
          <w:tblHeader/>
        </w:trPr>
        <w:tc>
          <w:tcPr>
            <w:tcW w:w="207" w:type="pct"/>
            <w:vAlign w:val="center"/>
          </w:tcPr>
          <w:p w14:paraId="00A13135">
            <w:pPr>
              <w:jc w:val="center"/>
              <w:rPr>
                <w:rFonts w:hint="eastAsia" w:ascii="黑体" w:hAnsi="黑体" w:eastAsia="黑体" w:cs="黑体"/>
                <w:sz w:val="22"/>
              </w:rPr>
            </w:pPr>
            <w:r>
              <w:rPr>
                <w:rFonts w:hint="eastAsia" w:ascii="黑体" w:hAnsi="黑体" w:eastAsia="黑体" w:cs="黑体"/>
                <w:sz w:val="22"/>
              </w:rPr>
              <w:t>序号</w:t>
            </w:r>
          </w:p>
        </w:tc>
        <w:tc>
          <w:tcPr>
            <w:tcW w:w="413" w:type="pct"/>
            <w:vAlign w:val="center"/>
          </w:tcPr>
          <w:p w14:paraId="357EA0BB">
            <w:pPr>
              <w:jc w:val="center"/>
              <w:rPr>
                <w:rFonts w:hint="eastAsia" w:ascii="黑体" w:hAnsi="黑体" w:eastAsia="黑体" w:cs="黑体"/>
                <w:sz w:val="22"/>
              </w:rPr>
            </w:pPr>
            <w:r>
              <w:rPr>
                <w:rFonts w:hint="eastAsia" w:ascii="黑体" w:hAnsi="黑体" w:eastAsia="黑体" w:cs="黑体"/>
                <w:sz w:val="22"/>
              </w:rPr>
              <w:t>计划编号</w:t>
            </w:r>
          </w:p>
        </w:tc>
        <w:tc>
          <w:tcPr>
            <w:tcW w:w="663" w:type="pct"/>
            <w:vAlign w:val="center"/>
          </w:tcPr>
          <w:p w14:paraId="52377F88">
            <w:pPr>
              <w:jc w:val="center"/>
              <w:rPr>
                <w:rFonts w:hint="eastAsia" w:ascii="黑体" w:hAnsi="黑体" w:eastAsia="黑体" w:cs="黑体"/>
                <w:sz w:val="22"/>
              </w:rPr>
            </w:pPr>
            <w:r>
              <w:rPr>
                <w:rFonts w:hint="eastAsia" w:ascii="黑体" w:hAnsi="黑体" w:eastAsia="黑体" w:cs="黑体"/>
                <w:sz w:val="22"/>
              </w:rPr>
              <w:t>项目名称</w:t>
            </w:r>
          </w:p>
        </w:tc>
        <w:tc>
          <w:tcPr>
            <w:tcW w:w="1242" w:type="pct"/>
            <w:vAlign w:val="center"/>
          </w:tcPr>
          <w:p w14:paraId="4322F2CD">
            <w:pPr>
              <w:jc w:val="center"/>
              <w:rPr>
                <w:rFonts w:hint="eastAsia" w:ascii="黑体" w:hAnsi="黑体" w:eastAsia="黑体" w:cs="黑体"/>
                <w:sz w:val="22"/>
              </w:rPr>
            </w:pPr>
            <w:r>
              <w:rPr>
                <w:rFonts w:hint="eastAsia" w:ascii="黑体" w:hAnsi="黑体" w:eastAsia="黑体" w:cs="黑体"/>
                <w:sz w:val="22"/>
              </w:rPr>
              <w:t>范围和主要技术内容</w:t>
            </w:r>
          </w:p>
        </w:tc>
        <w:tc>
          <w:tcPr>
            <w:tcW w:w="246" w:type="pct"/>
            <w:vAlign w:val="center"/>
          </w:tcPr>
          <w:p w14:paraId="4577EBC2">
            <w:pPr>
              <w:jc w:val="center"/>
              <w:rPr>
                <w:rFonts w:hint="eastAsia" w:ascii="黑体" w:hAnsi="黑体" w:eastAsia="黑体" w:cs="黑体"/>
                <w:sz w:val="22"/>
              </w:rPr>
            </w:pPr>
            <w:r>
              <w:rPr>
                <w:rFonts w:hint="eastAsia" w:ascii="黑体" w:hAnsi="黑体" w:eastAsia="黑体" w:cs="黑体"/>
                <w:sz w:val="22"/>
              </w:rPr>
              <w:t>制修订</w:t>
            </w:r>
          </w:p>
        </w:tc>
        <w:tc>
          <w:tcPr>
            <w:tcW w:w="375" w:type="pct"/>
            <w:vAlign w:val="center"/>
          </w:tcPr>
          <w:p w14:paraId="0C265DAC">
            <w:pPr>
              <w:jc w:val="center"/>
              <w:rPr>
                <w:rFonts w:hint="eastAsia" w:ascii="黑体" w:hAnsi="黑体" w:eastAsia="黑体" w:cs="黑体"/>
                <w:sz w:val="22"/>
              </w:rPr>
            </w:pPr>
            <w:r>
              <w:rPr>
                <w:rFonts w:hint="eastAsia" w:ascii="黑体" w:hAnsi="黑体" w:eastAsia="黑体" w:cs="黑体"/>
                <w:sz w:val="22"/>
              </w:rPr>
              <w:t>代替规程</w:t>
            </w:r>
          </w:p>
        </w:tc>
        <w:tc>
          <w:tcPr>
            <w:tcW w:w="326" w:type="pct"/>
            <w:vAlign w:val="center"/>
          </w:tcPr>
          <w:p w14:paraId="6392DE59">
            <w:pPr>
              <w:jc w:val="center"/>
              <w:rPr>
                <w:rFonts w:hint="eastAsia" w:ascii="黑体" w:hAnsi="黑体" w:eastAsia="黑体" w:cs="黑体"/>
                <w:sz w:val="22"/>
              </w:rPr>
            </w:pPr>
            <w:r>
              <w:rPr>
                <w:rFonts w:hint="eastAsia" w:ascii="黑体" w:hAnsi="黑体" w:eastAsia="黑体" w:cs="黑体"/>
                <w:sz w:val="22"/>
              </w:rPr>
              <w:t>完成周期（月）</w:t>
            </w:r>
          </w:p>
        </w:tc>
        <w:tc>
          <w:tcPr>
            <w:tcW w:w="370" w:type="pct"/>
            <w:vAlign w:val="center"/>
          </w:tcPr>
          <w:p w14:paraId="6023FA01">
            <w:pPr>
              <w:jc w:val="center"/>
              <w:rPr>
                <w:rFonts w:hint="eastAsia" w:ascii="黑体" w:hAnsi="黑体" w:eastAsia="黑体" w:cs="黑体"/>
                <w:sz w:val="22"/>
              </w:rPr>
            </w:pPr>
            <w:r>
              <w:rPr>
                <w:rFonts w:hint="eastAsia" w:ascii="黑体" w:hAnsi="黑体" w:eastAsia="黑体" w:cs="黑体"/>
                <w:sz w:val="22"/>
              </w:rPr>
              <w:t>技术归口单位</w:t>
            </w:r>
          </w:p>
        </w:tc>
        <w:tc>
          <w:tcPr>
            <w:tcW w:w="1155" w:type="pct"/>
            <w:vAlign w:val="center"/>
          </w:tcPr>
          <w:p w14:paraId="656E5C48">
            <w:pPr>
              <w:jc w:val="center"/>
              <w:rPr>
                <w:rFonts w:hint="eastAsia" w:ascii="黑体" w:hAnsi="黑体" w:eastAsia="黑体" w:cs="黑体"/>
                <w:sz w:val="22"/>
              </w:rPr>
            </w:pPr>
            <w:r>
              <w:rPr>
                <w:rFonts w:hint="eastAsia" w:ascii="黑体" w:hAnsi="黑体" w:eastAsia="黑体" w:cs="黑体"/>
                <w:sz w:val="22"/>
              </w:rPr>
              <w:t>主要起草单位</w:t>
            </w:r>
          </w:p>
        </w:tc>
      </w:tr>
      <w:tr w14:paraId="45C8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13" w:hRule="atLeast"/>
        </w:trPr>
        <w:tc>
          <w:tcPr>
            <w:tcW w:w="207" w:type="pct"/>
            <w:vAlign w:val="center"/>
          </w:tcPr>
          <w:p w14:paraId="27B1CCFD">
            <w:pPr>
              <w:numPr>
                <w:ilvl w:val="0"/>
                <w:numId w:val="3"/>
              </w:numPr>
              <w:jc w:val="center"/>
              <w:rPr>
                <w:rFonts w:ascii="Times New Roman" w:hAnsi="Times New Roman" w:eastAsia="宋体" w:cs="Times New Roman"/>
                <w:bCs/>
                <w:sz w:val="22"/>
              </w:rPr>
            </w:pPr>
          </w:p>
        </w:tc>
        <w:tc>
          <w:tcPr>
            <w:tcW w:w="413" w:type="pct"/>
            <w:vAlign w:val="center"/>
          </w:tcPr>
          <w:p w14:paraId="528C5A8C">
            <w:pPr>
              <w:jc w:val="center"/>
              <w:rPr>
                <w:rFonts w:ascii="Times New Roman" w:hAnsi="Times New Roman" w:eastAsia="宋体" w:cs="Times New Roman"/>
                <w:bCs/>
                <w:sz w:val="22"/>
              </w:rPr>
            </w:pPr>
            <w:r>
              <w:rPr>
                <w:rFonts w:ascii="Times New Roman" w:hAnsi="Times New Roman" w:eastAsia="宋体" w:cs="Times New Roman"/>
                <w:bCs/>
                <w:sz w:val="22"/>
              </w:rPr>
              <w:t>J</w:t>
            </w:r>
            <w:r>
              <w:rPr>
                <w:rFonts w:hint="eastAsia" w:ascii="Times New Roman" w:hAnsi="Times New Roman" w:eastAsia="宋体" w:cs="Times New Roman"/>
                <w:bCs/>
                <w:sz w:val="22"/>
              </w:rPr>
              <w:t>JG</w:t>
            </w:r>
            <w:r>
              <w:rPr>
                <w:rFonts w:ascii="Times New Roman" w:hAnsi="Times New Roman" w:eastAsia="宋体" w:cs="Times New Roman"/>
                <w:bCs/>
                <w:sz w:val="22"/>
              </w:rPr>
              <w:t xml:space="preserve"> 202</w:t>
            </w:r>
            <w:r>
              <w:rPr>
                <w:rFonts w:hint="eastAsia" w:ascii="Times New Roman" w:hAnsi="Times New Roman" w:eastAsia="宋体" w:cs="Times New Roman"/>
                <w:bCs/>
                <w:sz w:val="22"/>
              </w:rPr>
              <w:t>6</w:t>
            </w:r>
            <w:r>
              <w:rPr>
                <w:rFonts w:ascii="Times New Roman" w:hAnsi="Times New Roman" w:eastAsia="宋体" w:cs="Times New Roman"/>
                <w:bCs/>
                <w:sz w:val="22"/>
              </w:rPr>
              <w:t>-0</w:t>
            </w:r>
            <w:r>
              <w:rPr>
                <w:rFonts w:hint="eastAsia" w:ascii="Times New Roman" w:hAnsi="Times New Roman" w:eastAsia="宋体" w:cs="Times New Roman"/>
                <w:bCs/>
                <w:sz w:val="22"/>
              </w:rPr>
              <w:t>6</w:t>
            </w:r>
          </w:p>
        </w:tc>
        <w:tc>
          <w:tcPr>
            <w:tcW w:w="1916" w:type="dxa"/>
            <w:vAlign w:val="center"/>
          </w:tcPr>
          <w:p w14:paraId="2E949CC5">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隧道洞外亮度检测器</w:t>
            </w:r>
          </w:p>
        </w:tc>
        <w:tc>
          <w:tcPr>
            <w:tcW w:w="3590" w:type="dxa"/>
            <w:vAlign w:val="center"/>
          </w:tcPr>
          <w:p w14:paraId="4CA798FD">
            <w:pPr>
              <w:widowControl/>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拟规定隧道洞外亮度检测器的计量性能要求、通用技术要求、检定条件、检定项目和检定方法、检定结果处理及检定周期等内容。</w:t>
            </w:r>
          </w:p>
          <w:p w14:paraId="48F48191">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适用于隧道洞外亮度检测器的首次检定、后续检定和使用中检查。</w:t>
            </w:r>
          </w:p>
        </w:tc>
        <w:tc>
          <w:tcPr>
            <w:tcW w:w="711" w:type="dxa"/>
            <w:vAlign w:val="center"/>
          </w:tcPr>
          <w:p w14:paraId="3477118C">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制定</w:t>
            </w:r>
          </w:p>
        </w:tc>
        <w:tc>
          <w:tcPr>
            <w:tcW w:w="1084" w:type="dxa"/>
            <w:vAlign w:val="center"/>
          </w:tcPr>
          <w:p w14:paraId="50D7D6AA">
            <w:pPr>
              <w:widowControl/>
              <w:ind w:left="21" w:leftChars="10"/>
              <w:jc w:val="left"/>
              <w:textAlignment w:val="center"/>
              <w:rPr>
                <w:rFonts w:ascii="Times New Roman" w:hAnsi="Times New Roman" w:eastAsia="宋体" w:cs="Times New Roman"/>
                <w:color w:val="000000"/>
                <w:kern w:val="0"/>
                <w:sz w:val="22"/>
                <w:lang w:bidi="ar"/>
              </w:rPr>
            </w:pPr>
          </w:p>
        </w:tc>
        <w:tc>
          <w:tcPr>
            <w:tcW w:w="942" w:type="dxa"/>
            <w:vAlign w:val="center"/>
          </w:tcPr>
          <w:p w14:paraId="02B06CA1">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18</w:t>
            </w:r>
          </w:p>
        </w:tc>
        <w:tc>
          <w:tcPr>
            <w:tcW w:w="1069" w:type="dxa"/>
            <w:vAlign w:val="center"/>
          </w:tcPr>
          <w:p w14:paraId="192DD14C">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公路</w:t>
            </w:r>
            <w:r>
              <w:rPr>
                <w:rFonts w:ascii="Times New Roman" w:hAnsi="Times New Roman" w:eastAsia="宋体" w:cs="Times New Roman"/>
                <w:color w:val="000000"/>
                <w:kern w:val="0"/>
                <w:szCs w:val="21"/>
                <w:lang w:bidi="ar"/>
              </w:rPr>
              <w:t>计量委员会</w:t>
            </w:r>
          </w:p>
        </w:tc>
        <w:tc>
          <w:tcPr>
            <w:tcW w:w="3339" w:type="dxa"/>
            <w:vAlign w:val="center"/>
          </w:tcPr>
          <w:p w14:paraId="2CE89E0A">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交通运输部公路科学研究所、中国计量科学研究院、苏交科集团股份有限公司、陕西省计量科学研究院、江苏省计量科学研究院</w:t>
            </w:r>
          </w:p>
        </w:tc>
      </w:tr>
      <w:tr w14:paraId="0FC2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13" w:hRule="atLeast"/>
        </w:trPr>
        <w:tc>
          <w:tcPr>
            <w:tcW w:w="207" w:type="pct"/>
            <w:vAlign w:val="center"/>
          </w:tcPr>
          <w:p w14:paraId="3D79F20E">
            <w:pPr>
              <w:numPr>
                <w:ilvl w:val="0"/>
                <w:numId w:val="3"/>
              </w:numPr>
              <w:jc w:val="center"/>
              <w:rPr>
                <w:rFonts w:ascii="Times New Roman" w:hAnsi="Times New Roman" w:eastAsia="宋体" w:cs="Times New Roman"/>
                <w:bCs/>
                <w:sz w:val="22"/>
              </w:rPr>
            </w:pPr>
          </w:p>
        </w:tc>
        <w:tc>
          <w:tcPr>
            <w:tcW w:w="413" w:type="pct"/>
            <w:vAlign w:val="center"/>
          </w:tcPr>
          <w:p w14:paraId="5CE610BA">
            <w:pPr>
              <w:jc w:val="center"/>
              <w:rPr>
                <w:rFonts w:ascii="Times New Roman" w:hAnsi="Times New Roman" w:eastAsia="宋体" w:cs="Times New Roman"/>
                <w:bCs/>
                <w:sz w:val="22"/>
              </w:rPr>
            </w:pPr>
            <w:r>
              <w:rPr>
                <w:rFonts w:ascii="Times New Roman" w:hAnsi="Times New Roman" w:eastAsia="宋体" w:cs="Times New Roman"/>
                <w:bCs/>
                <w:sz w:val="22"/>
              </w:rPr>
              <w:t>J</w:t>
            </w:r>
            <w:r>
              <w:rPr>
                <w:rFonts w:hint="eastAsia" w:ascii="Times New Roman" w:hAnsi="Times New Roman" w:eastAsia="宋体" w:cs="Times New Roman"/>
                <w:bCs/>
                <w:sz w:val="22"/>
              </w:rPr>
              <w:t>JG</w:t>
            </w:r>
            <w:r>
              <w:rPr>
                <w:rFonts w:ascii="Times New Roman" w:hAnsi="Times New Roman" w:eastAsia="宋体" w:cs="Times New Roman"/>
                <w:bCs/>
                <w:sz w:val="22"/>
              </w:rPr>
              <w:t xml:space="preserve"> 202</w:t>
            </w:r>
            <w:r>
              <w:rPr>
                <w:rFonts w:hint="eastAsia" w:ascii="Times New Roman" w:hAnsi="Times New Roman" w:eastAsia="宋体" w:cs="Times New Roman"/>
                <w:bCs/>
                <w:sz w:val="22"/>
              </w:rPr>
              <w:t>6</w:t>
            </w:r>
            <w:r>
              <w:rPr>
                <w:rFonts w:ascii="Times New Roman" w:hAnsi="Times New Roman" w:eastAsia="宋体" w:cs="Times New Roman"/>
                <w:bCs/>
                <w:sz w:val="22"/>
              </w:rPr>
              <w:t>-0</w:t>
            </w:r>
            <w:r>
              <w:rPr>
                <w:rFonts w:hint="eastAsia" w:ascii="Times New Roman" w:hAnsi="Times New Roman" w:eastAsia="宋体" w:cs="Times New Roman"/>
                <w:bCs/>
                <w:sz w:val="22"/>
              </w:rPr>
              <w:t>7</w:t>
            </w:r>
          </w:p>
        </w:tc>
        <w:tc>
          <w:tcPr>
            <w:tcW w:w="1916" w:type="dxa"/>
            <w:vAlign w:val="center"/>
          </w:tcPr>
          <w:p w14:paraId="493EF60A">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车载式隧道照明亮度检测系统</w:t>
            </w:r>
          </w:p>
        </w:tc>
        <w:tc>
          <w:tcPr>
            <w:tcW w:w="3590" w:type="dxa"/>
            <w:vAlign w:val="center"/>
          </w:tcPr>
          <w:p w14:paraId="3FA6EEB2">
            <w:pPr>
              <w:widowControl/>
              <w:ind w:left="21" w:leftChars="10"/>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拟规定车载式隧道照明亮度检测系统的计量性能要求、通用技术要求、检定条件、检定项目和检定方法、检定结果处理及检定周期等内容。</w:t>
            </w:r>
          </w:p>
          <w:p w14:paraId="487E2B07">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适用于车载式隧道照明亮度检测系统的首次检定、后续检定和使用中检查。</w:t>
            </w:r>
          </w:p>
        </w:tc>
        <w:tc>
          <w:tcPr>
            <w:tcW w:w="711" w:type="dxa"/>
            <w:vAlign w:val="center"/>
          </w:tcPr>
          <w:p w14:paraId="1441202C">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制定</w:t>
            </w:r>
          </w:p>
        </w:tc>
        <w:tc>
          <w:tcPr>
            <w:tcW w:w="1084" w:type="dxa"/>
            <w:vAlign w:val="center"/>
          </w:tcPr>
          <w:p w14:paraId="6770E23F">
            <w:pPr>
              <w:widowControl/>
              <w:ind w:left="21" w:leftChars="10"/>
              <w:jc w:val="left"/>
              <w:textAlignment w:val="center"/>
              <w:rPr>
                <w:rFonts w:ascii="Times New Roman" w:hAnsi="Times New Roman" w:eastAsia="宋体" w:cs="Times New Roman"/>
                <w:color w:val="000000"/>
                <w:kern w:val="0"/>
                <w:sz w:val="22"/>
                <w:lang w:bidi="ar"/>
              </w:rPr>
            </w:pPr>
          </w:p>
        </w:tc>
        <w:tc>
          <w:tcPr>
            <w:tcW w:w="942" w:type="dxa"/>
            <w:vAlign w:val="center"/>
          </w:tcPr>
          <w:p w14:paraId="5E144848">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18</w:t>
            </w:r>
          </w:p>
        </w:tc>
        <w:tc>
          <w:tcPr>
            <w:tcW w:w="1069" w:type="dxa"/>
            <w:vAlign w:val="center"/>
          </w:tcPr>
          <w:p w14:paraId="6A3CA45A">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公路</w:t>
            </w:r>
            <w:r>
              <w:rPr>
                <w:rFonts w:ascii="Times New Roman" w:hAnsi="Times New Roman" w:eastAsia="宋体" w:cs="Times New Roman"/>
                <w:color w:val="000000"/>
                <w:kern w:val="0"/>
                <w:szCs w:val="21"/>
                <w:lang w:bidi="ar"/>
              </w:rPr>
              <w:t>计量委员会</w:t>
            </w:r>
          </w:p>
        </w:tc>
        <w:tc>
          <w:tcPr>
            <w:tcW w:w="3339" w:type="dxa"/>
            <w:vAlign w:val="center"/>
          </w:tcPr>
          <w:p w14:paraId="76F28D9E">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交通运输部公路科学研究所、中国测试技术研究院、浙江交科工程检测有限公司、四川京炜交通工程技术有限公司</w:t>
            </w:r>
          </w:p>
        </w:tc>
      </w:tr>
      <w:tr w14:paraId="1479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13" w:hRule="atLeast"/>
        </w:trPr>
        <w:tc>
          <w:tcPr>
            <w:tcW w:w="207" w:type="pct"/>
            <w:vAlign w:val="center"/>
          </w:tcPr>
          <w:p w14:paraId="452835B1">
            <w:pPr>
              <w:numPr>
                <w:ilvl w:val="0"/>
                <w:numId w:val="3"/>
              </w:numPr>
              <w:jc w:val="center"/>
              <w:rPr>
                <w:rFonts w:ascii="Times New Roman" w:hAnsi="Times New Roman" w:eastAsia="宋体" w:cs="Times New Roman"/>
                <w:bCs/>
                <w:sz w:val="22"/>
              </w:rPr>
            </w:pPr>
          </w:p>
        </w:tc>
        <w:tc>
          <w:tcPr>
            <w:tcW w:w="413" w:type="pct"/>
            <w:vAlign w:val="center"/>
          </w:tcPr>
          <w:p w14:paraId="438362F4">
            <w:pPr>
              <w:jc w:val="center"/>
              <w:rPr>
                <w:rFonts w:ascii="Times New Roman" w:hAnsi="Times New Roman" w:eastAsia="宋体" w:cs="Times New Roman"/>
                <w:bCs/>
                <w:sz w:val="22"/>
              </w:rPr>
            </w:pPr>
            <w:r>
              <w:rPr>
                <w:rFonts w:ascii="Times New Roman" w:hAnsi="Times New Roman" w:eastAsia="宋体" w:cs="Times New Roman"/>
                <w:bCs/>
                <w:sz w:val="22"/>
              </w:rPr>
              <w:t>J</w:t>
            </w:r>
            <w:r>
              <w:rPr>
                <w:rFonts w:hint="eastAsia" w:ascii="Times New Roman" w:hAnsi="Times New Roman" w:eastAsia="宋体" w:cs="Times New Roman"/>
                <w:bCs/>
                <w:sz w:val="22"/>
              </w:rPr>
              <w:t>JG</w:t>
            </w:r>
            <w:r>
              <w:rPr>
                <w:rFonts w:ascii="Times New Roman" w:hAnsi="Times New Roman" w:eastAsia="宋体" w:cs="Times New Roman"/>
                <w:bCs/>
                <w:sz w:val="22"/>
              </w:rPr>
              <w:t xml:space="preserve"> 202</w:t>
            </w:r>
            <w:r>
              <w:rPr>
                <w:rFonts w:hint="eastAsia" w:ascii="Times New Roman" w:hAnsi="Times New Roman" w:eastAsia="宋体" w:cs="Times New Roman"/>
                <w:bCs/>
                <w:sz w:val="22"/>
              </w:rPr>
              <w:t>6</w:t>
            </w:r>
            <w:r>
              <w:rPr>
                <w:rFonts w:ascii="Times New Roman" w:hAnsi="Times New Roman" w:eastAsia="宋体" w:cs="Times New Roman"/>
                <w:bCs/>
                <w:sz w:val="22"/>
              </w:rPr>
              <w:t>-0</w:t>
            </w:r>
            <w:r>
              <w:rPr>
                <w:rFonts w:hint="eastAsia" w:ascii="Times New Roman" w:hAnsi="Times New Roman" w:eastAsia="宋体" w:cs="Times New Roman"/>
                <w:bCs/>
                <w:sz w:val="22"/>
              </w:rPr>
              <w:t>8</w:t>
            </w:r>
          </w:p>
        </w:tc>
        <w:tc>
          <w:tcPr>
            <w:tcW w:w="1916" w:type="dxa"/>
            <w:vAlign w:val="center"/>
          </w:tcPr>
          <w:p w14:paraId="3C3F0B64">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突起路标耐磨损性能测试仪</w:t>
            </w:r>
          </w:p>
        </w:tc>
        <w:tc>
          <w:tcPr>
            <w:tcW w:w="3590" w:type="dxa"/>
            <w:vAlign w:val="center"/>
          </w:tcPr>
          <w:p w14:paraId="73B760F2">
            <w:pPr>
              <w:widowControl/>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拟规定突起路标耐磨损性能测试仪的计量性能要求、通用技术要求、检定条件、检定项目和检定方法、检定结果处理及检定周期等内容。</w:t>
            </w:r>
          </w:p>
          <w:p w14:paraId="5F0AD03B">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适用于采用落砂法原理设计的突起路标耐磨损性能测试仪的首次检定、后续检定和使用中检查。</w:t>
            </w:r>
          </w:p>
        </w:tc>
        <w:tc>
          <w:tcPr>
            <w:tcW w:w="711" w:type="dxa"/>
            <w:vAlign w:val="center"/>
          </w:tcPr>
          <w:p w14:paraId="603B6B4D">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制定</w:t>
            </w:r>
          </w:p>
        </w:tc>
        <w:tc>
          <w:tcPr>
            <w:tcW w:w="1084" w:type="dxa"/>
            <w:vAlign w:val="center"/>
          </w:tcPr>
          <w:p w14:paraId="1C352D1A">
            <w:pPr>
              <w:widowControl/>
              <w:ind w:left="21" w:leftChars="10"/>
              <w:jc w:val="left"/>
              <w:textAlignment w:val="center"/>
              <w:rPr>
                <w:rFonts w:ascii="Times New Roman" w:hAnsi="Times New Roman" w:eastAsia="宋体" w:cs="Times New Roman"/>
                <w:color w:val="000000"/>
                <w:kern w:val="0"/>
                <w:sz w:val="22"/>
                <w:lang w:bidi="ar"/>
              </w:rPr>
            </w:pPr>
          </w:p>
        </w:tc>
        <w:tc>
          <w:tcPr>
            <w:tcW w:w="942" w:type="dxa"/>
            <w:vAlign w:val="center"/>
          </w:tcPr>
          <w:p w14:paraId="3CE569EE">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12</w:t>
            </w:r>
          </w:p>
        </w:tc>
        <w:tc>
          <w:tcPr>
            <w:tcW w:w="1069" w:type="dxa"/>
            <w:vAlign w:val="center"/>
          </w:tcPr>
          <w:p w14:paraId="5EC19AEE">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公路</w:t>
            </w:r>
            <w:r>
              <w:rPr>
                <w:rFonts w:ascii="Times New Roman" w:hAnsi="Times New Roman" w:eastAsia="宋体" w:cs="Times New Roman"/>
                <w:color w:val="000000"/>
                <w:kern w:val="0"/>
                <w:szCs w:val="21"/>
                <w:lang w:bidi="ar"/>
              </w:rPr>
              <w:t>计量委员会</w:t>
            </w:r>
          </w:p>
        </w:tc>
        <w:tc>
          <w:tcPr>
            <w:tcW w:w="3339" w:type="dxa"/>
            <w:vAlign w:val="center"/>
          </w:tcPr>
          <w:p w14:paraId="04BF3B7A">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山东省交通科学研究院、山东省交通运输厅工程建设事务中心、郑州市产品质量检验检测中心、中路高科交通检测检验认证有限公司、山东省计量科学研究院</w:t>
            </w:r>
          </w:p>
        </w:tc>
      </w:tr>
      <w:tr w14:paraId="57FE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13" w:hRule="atLeast"/>
        </w:trPr>
        <w:tc>
          <w:tcPr>
            <w:tcW w:w="207" w:type="pct"/>
            <w:vAlign w:val="center"/>
          </w:tcPr>
          <w:p w14:paraId="7414587C">
            <w:pPr>
              <w:numPr>
                <w:ilvl w:val="0"/>
                <w:numId w:val="3"/>
              </w:numPr>
              <w:jc w:val="center"/>
              <w:rPr>
                <w:rFonts w:ascii="Times New Roman" w:hAnsi="Times New Roman" w:eastAsia="宋体" w:cs="Times New Roman"/>
                <w:bCs/>
                <w:sz w:val="22"/>
              </w:rPr>
            </w:pPr>
          </w:p>
        </w:tc>
        <w:tc>
          <w:tcPr>
            <w:tcW w:w="413" w:type="pct"/>
            <w:vAlign w:val="center"/>
          </w:tcPr>
          <w:p w14:paraId="548B756C">
            <w:pPr>
              <w:jc w:val="center"/>
              <w:rPr>
                <w:rFonts w:ascii="Times New Roman" w:hAnsi="Times New Roman" w:eastAsia="宋体" w:cs="Times New Roman"/>
                <w:bCs/>
                <w:sz w:val="22"/>
              </w:rPr>
            </w:pPr>
            <w:r>
              <w:rPr>
                <w:rFonts w:ascii="Times New Roman" w:hAnsi="Times New Roman" w:eastAsia="宋体" w:cs="Times New Roman"/>
                <w:bCs/>
                <w:sz w:val="22"/>
              </w:rPr>
              <w:t>J</w:t>
            </w:r>
            <w:r>
              <w:rPr>
                <w:rFonts w:hint="eastAsia" w:ascii="Times New Roman" w:hAnsi="Times New Roman" w:eastAsia="宋体" w:cs="Times New Roman"/>
                <w:bCs/>
                <w:sz w:val="22"/>
              </w:rPr>
              <w:t>JG</w:t>
            </w:r>
            <w:r>
              <w:rPr>
                <w:rFonts w:ascii="Times New Roman" w:hAnsi="Times New Roman" w:eastAsia="宋体" w:cs="Times New Roman"/>
                <w:bCs/>
                <w:sz w:val="22"/>
              </w:rPr>
              <w:t xml:space="preserve"> 202</w:t>
            </w:r>
            <w:r>
              <w:rPr>
                <w:rFonts w:hint="eastAsia" w:ascii="Times New Roman" w:hAnsi="Times New Roman" w:eastAsia="宋体" w:cs="Times New Roman"/>
                <w:bCs/>
                <w:sz w:val="22"/>
              </w:rPr>
              <w:t>6</w:t>
            </w:r>
            <w:r>
              <w:rPr>
                <w:rFonts w:ascii="Times New Roman" w:hAnsi="Times New Roman" w:eastAsia="宋体" w:cs="Times New Roman"/>
                <w:bCs/>
                <w:sz w:val="22"/>
              </w:rPr>
              <w:t>-0</w:t>
            </w:r>
            <w:r>
              <w:rPr>
                <w:rFonts w:hint="eastAsia" w:ascii="Times New Roman" w:hAnsi="Times New Roman" w:eastAsia="宋体" w:cs="Times New Roman"/>
                <w:bCs/>
                <w:sz w:val="22"/>
              </w:rPr>
              <w:t>9</w:t>
            </w:r>
          </w:p>
        </w:tc>
        <w:tc>
          <w:tcPr>
            <w:tcW w:w="1916" w:type="dxa"/>
            <w:vAlign w:val="center"/>
          </w:tcPr>
          <w:p w14:paraId="0D6A6192">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手推式断面仪</w:t>
            </w:r>
          </w:p>
        </w:tc>
        <w:tc>
          <w:tcPr>
            <w:tcW w:w="3590" w:type="dxa"/>
            <w:vAlign w:val="center"/>
          </w:tcPr>
          <w:p w14:paraId="0615D5A3">
            <w:pPr>
              <w:widowControl/>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拟规定手推式断面仪的计量性能要求、通用技术要求、检定条件、检定项目、检定方法、检定结果的处理和检定周期等内容。</w:t>
            </w:r>
            <w:r>
              <w:rPr>
                <w:rFonts w:ascii="Times New Roman" w:hAnsi="Times New Roman" w:eastAsia="宋体" w:cs="Times New Roman"/>
                <w:color w:val="000000"/>
                <w:kern w:val="0"/>
                <w:szCs w:val="21"/>
                <w:lang w:bidi="ar"/>
              </w:rPr>
              <w:t xml:space="preserve"> </w:t>
            </w:r>
          </w:p>
          <w:p w14:paraId="07DF9A80">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适用于手推式断面仪的首次检定、后续检定和使用中检查。</w:t>
            </w:r>
          </w:p>
        </w:tc>
        <w:tc>
          <w:tcPr>
            <w:tcW w:w="711" w:type="dxa"/>
            <w:vAlign w:val="center"/>
          </w:tcPr>
          <w:p w14:paraId="5900A4F6">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制定</w:t>
            </w:r>
          </w:p>
        </w:tc>
        <w:tc>
          <w:tcPr>
            <w:tcW w:w="1084" w:type="dxa"/>
            <w:vAlign w:val="center"/>
          </w:tcPr>
          <w:p w14:paraId="7C6C26A5">
            <w:pPr>
              <w:widowControl/>
              <w:ind w:left="21" w:leftChars="10"/>
              <w:jc w:val="left"/>
              <w:textAlignment w:val="center"/>
              <w:rPr>
                <w:rFonts w:ascii="Times New Roman" w:hAnsi="Times New Roman" w:eastAsia="宋体" w:cs="Times New Roman"/>
                <w:color w:val="000000"/>
                <w:kern w:val="0"/>
                <w:sz w:val="22"/>
                <w:lang w:bidi="ar"/>
              </w:rPr>
            </w:pPr>
          </w:p>
        </w:tc>
        <w:tc>
          <w:tcPr>
            <w:tcW w:w="942" w:type="dxa"/>
            <w:vAlign w:val="center"/>
          </w:tcPr>
          <w:p w14:paraId="3A55B578">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18</w:t>
            </w:r>
          </w:p>
        </w:tc>
        <w:tc>
          <w:tcPr>
            <w:tcW w:w="1069" w:type="dxa"/>
            <w:vAlign w:val="center"/>
          </w:tcPr>
          <w:p w14:paraId="274B4125">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公路</w:t>
            </w:r>
            <w:r>
              <w:rPr>
                <w:rFonts w:ascii="Times New Roman" w:hAnsi="Times New Roman" w:eastAsia="宋体" w:cs="Times New Roman"/>
                <w:color w:val="000000"/>
                <w:kern w:val="0"/>
                <w:szCs w:val="21"/>
                <w:lang w:bidi="ar"/>
              </w:rPr>
              <w:t>计量委员会</w:t>
            </w:r>
          </w:p>
        </w:tc>
        <w:tc>
          <w:tcPr>
            <w:tcW w:w="3339" w:type="dxa"/>
            <w:vAlign w:val="center"/>
          </w:tcPr>
          <w:p w14:paraId="13D62F2C">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交通运输部公路科学研究所、中路高科交通科技集团有限公司、中路高科交通检测检验认证有限公司</w:t>
            </w:r>
          </w:p>
        </w:tc>
      </w:tr>
      <w:tr w14:paraId="322F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13" w:hRule="atLeast"/>
        </w:trPr>
        <w:tc>
          <w:tcPr>
            <w:tcW w:w="207" w:type="pct"/>
            <w:vAlign w:val="center"/>
          </w:tcPr>
          <w:p w14:paraId="4C9584F2">
            <w:pPr>
              <w:numPr>
                <w:ilvl w:val="0"/>
                <w:numId w:val="3"/>
              </w:numPr>
              <w:jc w:val="center"/>
              <w:rPr>
                <w:rFonts w:ascii="Times New Roman" w:hAnsi="Times New Roman" w:eastAsia="宋体" w:cs="Times New Roman"/>
                <w:bCs/>
                <w:sz w:val="22"/>
              </w:rPr>
            </w:pPr>
          </w:p>
        </w:tc>
        <w:tc>
          <w:tcPr>
            <w:tcW w:w="413" w:type="pct"/>
            <w:vAlign w:val="center"/>
          </w:tcPr>
          <w:p w14:paraId="5B95E5BE">
            <w:pPr>
              <w:jc w:val="center"/>
              <w:rPr>
                <w:rFonts w:ascii="Times New Roman" w:hAnsi="Times New Roman" w:eastAsia="宋体" w:cs="Times New Roman"/>
                <w:bCs/>
                <w:sz w:val="22"/>
              </w:rPr>
            </w:pPr>
            <w:r>
              <w:rPr>
                <w:rFonts w:ascii="Times New Roman" w:hAnsi="Times New Roman" w:eastAsia="宋体" w:cs="Times New Roman"/>
                <w:bCs/>
                <w:sz w:val="22"/>
              </w:rPr>
              <w:t>J</w:t>
            </w:r>
            <w:r>
              <w:rPr>
                <w:rFonts w:hint="eastAsia" w:ascii="Times New Roman" w:hAnsi="Times New Roman" w:eastAsia="宋体" w:cs="Times New Roman"/>
                <w:bCs/>
                <w:sz w:val="22"/>
              </w:rPr>
              <w:t>JG</w:t>
            </w:r>
            <w:r>
              <w:rPr>
                <w:rFonts w:ascii="Times New Roman" w:hAnsi="Times New Roman" w:eastAsia="宋体" w:cs="Times New Roman"/>
                <w:bCs/>
                <w:sz w:val="22"/>
              </w:rPr>
              <w:t xml:space="preserve"> 202</w:t>
            </w:r>
            <w:r>
              <w:rPr>
                <w:rFonts w:hint="eastAsia" w:ascii="Times New Roman" w:hAnsi="Times New Roman" w:eastAsia="宋体" w:cs="Times New Roman"/>
                <w:bCs/>
                <w:sz w:val="22"/>
              </w:rPr>
              <w:t>6</w:t>
            </w:r>
            <w:r>
              <w:rPr>
                <w:rFonts w:ascii="Times New Roman" w:hAnsi="Times New Roman" w:eastAsia="宋体" w:cs="Times New Roman"/>
                <w:bCs/>
                <w:sz w:val="22"/>
              </w:rPr>
              <w:t>-</w:t>
            </w:r>
            <w:r>
              <w:rPr>
                <w:rFonts w:hint="eastAsia" w:ascii="Times New Roman" w:hAnsi="Times New Roman" w:eastAsia="宋体" w:cs="Times New Roman"/>
                <w:bCs/>
                <w:sz w:val="22"/>
              </w:rPr>
              <w:t>10</w:t>
            </w:r>
          </w:p>
        </w:tc>
        <w:tc>
          <w:tcPr>
            <w:tcW w:w="1916" w:type="dxa"/>
            <w:vAlign w:val="center"/>
          </w:tcPr>
          <w:p w14:paraId="2D4FB7A7">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沥青老化烘箱</w:t>
            </w:r>
          </w:p>
        </w:tc>
        <w:tc>
          <w:tcPr>
            <w:tcW w:w="3590" w:type="dxa"/>
            <w:vAlign w:val="center"/>
          </w:tcPr>
          <w:p w14:paraId="6E24DF28">
            <w:pPr>
              <w:widowControl/>
              <w:ind w:left="21" w:leftChars="10"/>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现行规程规定了沥青老化烘箱的计量性能要求、通用技术要求和计量器具控制。</w:t>
            </w:r>
          </w:p>
          <w:p w14:paraId="7F8CDEC0">
            <w:pPr>
              <w:widowControl/>
              <w:ind w:left="21" w:leftChars="10"/>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适用于沥青老化烘箱（沥青薄膜烘箱和沥青旋转薄膜烘箱）的首次检定、后续检定和使用中检查。</w:t>
            </w:r>
          </w:p>
          <w:p w14:paraId="707131DC">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主要修订内容：1.更改了工作温度、温度回升时间、外观、铭牌等计量性能要求和检定方法；2.增加了术语和定义以及圆盘架、环形金属架及盛样皿</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瓶、流量计示值误差、箱体内部尺寸、风扇、沥空气喷嘴等计量性能要求和检定方法；3.增加了温度测量装置、钢卷尺、专用通止规、带表外卡规、非接触式转速表检定器具，删除了标准温度计检定器具。</w:t>
            </w:r>
          </w:p>
        </w:tc>
        <w:tc>
          <w:tcPr>
            <w:tcW w:w="711" w:type="dxa"/>
            <w:vAlign w:val="center"/>
          </w:tcPr>
          <w:p w14:paraId="51C7C965">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修订</w:t>
            </w:r>
          </w:p>
        </w:tc>
        <w:tc>
          <w:tcPr>
            <w:tcW w:w="1084" w:type="dxa"/>
            <w:vAlign w:val="center"/>
          </w:tcPr>
          <w:p w14:paraId="0D042A59">
            <w:pPr>
              <w:jc w:val="center"/>
              <w:rPr>
                <w:rFonts w:ascii="Times New Roman" w:hAnsi="Times New Roman" w:eastAsia="宋体" w:cs="Times New Roman"/>
                <w:color w:val="000000"/>
                <w:kern w:val="0"/>
                <w:sz w:val="22"/>
                <w:lang w:bidi="ar"/>
              </w:rPr>
            </w:pPr>
            <w:r>
              <w:rPr>
                <w:rFonts w:hint="eastAsia" w:ascii="Times New Roman" w:hAnsi="Times New Roman" w:cs="Times New Roman"/>
                <w:bCs/>
                <w:szCs w:val="21"/>
              </w:rPr>
              <w:t>JJG(交通) 056—2004</w:t>
            </w:r>
          </w:p>
        </w:tc>
        <w:tc>
          <w:tcPr>
            <w:tcW w:w="942" w:type="dxa"/>
            <w:vAlign w:val="center"/>
          </w:tcPr>
          <w:p w14:paraId="402B736C">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12</w:t>
            </w:r>
          </w:p>
        </w:tc>
        <w:tc>
          <w:tcPr>
            <w:tcW w:w="1069" w:type="dxa"/>
            <w:vAlign w:val="center"/>
          </w:tcPr>
          <w:p w14:paraId="2ED6E4DC">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公路</w:t>
            </w:r>
            <w:r>
              <w:rPr>
                <w:rFonts w:ascii="Times New Roman" w:hAnsi="Times New Roman" w:eastAsia="宋体" w:cs="Times New Roman"/>
                <w:color w:val="000000"/>
                <w:kern w:val="0"/>
                <w:szCs w:val="21"/>
                <w:lang w:bidi="ar"/>
              </w:rPr>
              <w:t>计量委员会</w:t>
            </w:r>
          </w:p>
        </w:tc>
        <w:tc>
          <w:tcPr>
            <w:tcW w:w="3339" w:type="dxa"/>
            <w:vAlign w:val="center"/>
          </w:tcPr>
          <w:p w14:paraId="1A6945B0">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山东省交通科学研究院、江西省交通监控指挥中心、交通运输部公路科学研究所、山东省计量科学研究院</w:t>
            </w:r>
          </w:p>
        </w:tc>
      </w:tr>
      <w:tr w14:paraId="71C3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113" w:hRule="atLeast"/>
        </w:trPr>
        <w:tc>
          <w:tcPr>
            <w:tcW w:w="207" w:type="pct"/>
            <w:vAlign w:val="center"/>
          </w:tcPr>
          <w:p w14:paraId="3A79013C">
            <w:pPr>
              <w:numPr>
                <w:ilvl w:val="0"/>
                <w:numId w:val="3"/>
              </w:numPr>
              <w:jc w:val="center"/>
              <w:rPr>
                <w:rFonts w:ascii="Times New Roman" w:hAnsi="Times New Roman" w:eastAsia="宋体" w:cs="Times New Roman"/>
                <w:bCs/>
                <w:sz w:val="22"/>
              </w:rPr>
            </w:pPr>
          </w:p>
        </w:tc>
        <w:tc>
          <w:tcPr>
            <w:tcW w:w="413" w:type="pct"/>
            <w:vAlign w:val="center"/>
          </w:tcPr>
          <w:p w14:paraId="485C2DAC">
            <w:pPr>
              <w:jc w:val="center"/>
              <w:rPr>
                <w:rFonts w:ascii="Times New Roman" w:hAnsi="Times New Roman" w:eastAsia="宋体" w:cs="Times New Roman"/>
                <w:bCs/>
                <w:sz w:val="22"/>
              </w:rPr>
            </w:pPr>
            <w:r>
              <w:rPr>
                <w:rFonts w:ascii="Times New Roman" w:hAnsi="Times New Roman" w:eastAsia="宋体" w:cs="Times New Roman"/>
                <w:bCs/>
                <w:sz w:val="22"/>
              </w:rPr>
              <w:t>J</w:t>
            </w:r>
            <w:r>
              <w:rPr>
                <w:rFonts w:hint="eastAsia" w:ascii="Times New Roman" w:hAnsi="Times New Roman" w:eastAsia="宋体" w:cs="Times New Roman"/>
                <w:bCs/>
                <w:sz w:val="22"/>
              </w:rPr>
              <w:t>JG</w:t>
            </w:r>
            <w:r>
              <w:rPr>
                <w:rFonts w:ascii="Times New Roman" w:hAnsi="Times New Roman" w:eastAsia="宋体" w:cs="Times New Roman"/>
                <w:bCs/>
                <w:sz w:val="22"/>
              </w:rPr>
              <w:t xml:space="preserve"> 202</w:t>
            </w:r>
            <w:r>
              <w:rPr>
                <w:rFonts w:hint="eastAsia" w:ascii="Times New Roman" w:hAnsi="Times New Roman" w:eastAsia="宋体" w:cs="Times New Roman"/>
                <w:bCs/>
                <w:sz w:val="22"/>
              </w:rPr>
              <w:t>6</w:t>
            </w:r>
            <w:r>
              <w:rPr>
                <w:rFonts w:ascii="Times New Roman" w:hAnsi="Times New Roman" w:eastAsia="宋体" w:cs="Times New Roman"/>
                <w:bCs/>
                <w:sz w:val="22"/>
              </w:rPr>
              <w:t>-</w:t>
            </w:r>
            <w:r>
              <w:rPr>
                <w:rFonts w:hint="eastAsia" w:ascii="Times New Roman" w:hAnsi="Times New Roman" w:eastAsia="宋体" w:cs="Times New Roman"/>
                <w:bCs/>
                <w:sz w:val="22"/>
              </w:rPr>
              <w:t>11</w:t>
            </w:r>
          </w:p>
        </w:tc>
        <w:tc>
          <w:tcPr>
            <w:tcW w:w="1916" w:type="dxa"/>
            <w:vAlign w:val="center"/>
          </w:tcPr>
          <w:p w14:paraId="36133F09">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混凝土超声检测仪</w:t>
            </w:r>
          </w:p>
        </w:tc>
        <w:tc>
          <w:tcPr>
            <w:tcW w:w="3590" w:type="dxa"/>
            <w:vAlign w:val="center"/>
          </w:tcPr>
          <w:p w14:paraId="5F377CE8">
            <w:pPr>
              <w:widowControl/>
              <w:ind w:left="21" w:leftChars="10"/>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现行规程规定了范围、概述、计量性能要求、通用技术条件、计量器具控制、检定方法、检定结果处理及检定周期等。</w:t>
            </w:r>
          </w:p>
          <w:p w14:paraId="206CCC69">
            <w:pPr>
              <w:widowControl/>
              <w:ind w:left="21" w:leftChars="10"/>
              <w:jc w:val="left"/>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适用于混凝土超声检测仪的首次检定、后续检定和使用中检验。</w:t>
            </w:r>
          </w:p>
          <w:p w14:paraId="71B9F32C">
            <w:pPr>
              <w:widowControl/>
              <w:ind w:left="21" w:leftChars="10"/>
              <w:jc w:val="left"/>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主要修订内容：1.删除了电信号测量相对误差要求；2.更改了接收频率响应范围要求；3.更改了空气声程调节装置的调节范围要求；4.增加了测距测量示值误差要求和检定方法。</w:t>
            </w:r>
          </w:p>
        </w:tc>
        <w:tc>
          <w:tcPr>
            <w:tcW w:w="711" w:type="dxa"/>
            <w:vAlign w:val="center"/>
          </w:tcPr>
          <w:p w14:paraId="121C9EC8">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修订</w:t>
            </w:r>
          </w:p>
        </w:tc>
        <w:tc>
          <w:tcPr>
            <w:tcW w:w="1084" w:type="dxa"/>
            <w:vAlign w:val="center"/>
          </w:tcPr>
          <w:p w14:paraId="35B4416F">
            <w:pPr>
              <w:jc w:val="center"/>
              <w:rPr>
                <w:rFonts w:ascii="Times New Roman" w:hAnsi="Times New Roman" w:eastAsia="宋体" w:cs="Times New Roman"/>
                <w:color w:val="000000"/>
                <w:kern w:val="0"/>
                <w:sz w:val="22"/>
                <w:lang w:bidi="ar"/>
              </w:rPr>
            </w:pPr>
            <w:r>
              <w:rPr>
                <w:rFonts w:hint="eastAsia" w:ascii="Times New Roman" w:hAnsi="Times New Roman" w:cs="Times New Roman"/>
                <w:bCs/>
                <w:szCs w:val="21"/>
              </w:rPr>
              <w:t>JJG(交通) 070—2006</w:t>
            </w:r>
          </w:p>
        </w:tc>
        <w:tc>
          <w:tcPr>
            <w:tcW w:w="942" w:type="dxa"/>
            <w:vAlign w:val="center"/>
          </w:tcPr>
          <w:p w14:paraId="3EEC015F">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12</w:t>
            </w:r>
          </w:p>
        </w:tc>
        <w:tc>
          <w:tcPr>
            <w:tcW w:w="1069" w:type="dxa"/>
            <w:vAlign w:val="center"/>
          </w:tcPr>
          <w:p w14:paraId="1FFDF679">
            <w:pPr>
              <w:widowControl/>
              <w:ind w:left="21" w:leftChars="10"/>
              <w:jc w:val="center"/>
              <w:textAlignment w:val="center"/>
              <w:rPr>
                <w:rFonts w:ascii="Times New Roman" w:hAnsi="Times New Roman" w:eastAsia="宋体" w:cs="Times New Roman"/>
                <w:color w:val="000000"/>
                <w:kern w:val="0"/>
                <w:sz w:val="22"/>
                <w:lang w:bidi="ar"/>
              </w:rPr>
            </w:pPr>
            <w:r>
              <w:rPr>
                <w:rFonts w:hint="eastAsia" w:ascii="Times New Roman" w:hAnsi="Times New Roman" w:eastAsia="宋体" w:cs="Times New Roman"/>
                <w:color w:val="000000"/>
                <w:kern w:val="0"/>
                <w:szCs w:val="21"/>
                <w:lang w:bidi="ar"/>
              </w:rPr>
              <w:t>公路</w:t>
            </w:r>
            <w:r>
              <w:rPr>
                <w:rFonts w:ascii="Times New Roman" w:hAnsi="Times New Roman" w:eastAsia="宋体" w:cs="Times New Roman"/>
                <w:color w:val="000000"/>
                <w:kern w:val="0"/>
                <w:szCs w:val="21"/>
                <w:lang w:bidi="ar"/>
              </w:rPr>
              <w:t>计量委员会</w:t>
            </w:r>
          </w:p>
        </w:tc>
        <w:tc>
          <w:tcPr>
            <w:tcW w:w="3339" w:type="dxa"/>
            <w:vAlign w:val="center"/>
          </w:tcPr>
          <w:p w14:paraId="547E7C20">
            <w:pPr>
              <w:widowControl/>
              <w:ind w:left="21" w:leftChars="10"/>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Cs w:val="21"/>
                <w:lang w:bidi="ar"/>
              </w:rPr>
              <w:t>交通运输部公路科学研究所、中路高科交通检测检验认证有限公司、中路高科交通科技集团有限公司、西南石油大学</w:t>
            </w:r>
          </w:p>
        </w:tc>
      </w:tr>
    </w:tbl>
    <w:p w14:paraId="3E2D8959"/>
    <w:p w14:paraId="68DB387B">
      <w:r>
        <w:br w:type="page"/>
      </w:r>
    </w:p>
    <w:p w14:paraId="5FC46AC8">
      <w:pPr>
        <w:sectPr>
          <w:pgSz w:w="16838" w:h="11906" w:orient="landscape"/>
          <w:pgMar w:top="1800" w:right="1440" w:bottom="1800" w:left="1440" w:header="851" w:footer="992" w:gutter="0"/>
          <w:cols w:space="425" w:num="1"/>
          <w:docGrid w:type="lines" w:linePitch="312" w:charSpace="0"/>
        </w:sectPr>
      </w:pPr>
    </w:p>
    <w:p w14:paraId="1C97E2DB">
      <w:pPr>
        <w:ind w:firstLine="600" w:firstLineChars="200"/>
        <w:rPr>
          <w:rFonts w:ascii="仿宋_GB2312" w:hAnsi="Times New Roman" w:eastAsia="仿宋_GB2312"/>
          <w:sz w:val="30"/>
          <w:szCs w:val="30"/>
        </w:rPr>
      </w:pPr>
      <w:r>
        <w:rPr>
          <w:rFonts w:hint="eastAsia" w:ascii="仿宋_GB2312" w:hAnsi="Times New Roman" w:eastAsia="仿宋_GB2312"/>
          <w:sz w:val="30"/>
          <w:szCs w:val="30"/>
        </w:rPr>
        <w:t>注：技术归口单位列仅列出了简称，其全称如下所示。</w:t>
      </w:r>
    </w:p>
    <w:tbl>
      <w:tblPr>
        <w:tblStyle w:val="3"/>
        <w:tblW w:w="50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5" w:type="dxa"/>
          <w:bottom w:w="0" w:type="dxa"/>
          <w:right w:w="15" w:type="dxa"/>
        </w:tblCellMar>
      </w:tblPr>
      <w:tblGrid>
        <w:gridCol w:w="673"/>
        <w:gridCol w:w="2850"/>
        <w:gridCol w:w="4955"/>
      </w:tblGrid>
      <w:tr w14:paraId="6B0A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blHeader/>
        </w:trPr>
        <w:tc>
          <w:tcPr>
            <w:tcW w:w="397" w:type="pct"/>
            <w:vAlign w:val="center"/>
          </w:tcPr>
          <w:p w14:paraId="74464E87">
            <w:pPr>
              <w:jc w:val="center"/>
              <w:rPr>
                <w:rFonts w:hint="eastAsia" w:ascii="黑体" w:hAnsi="黑体" w:eastAsia="黑体" w:cs="黑体"/>
                <w:sz w:val="24"/>
                <w:szCs w:val="24"/>
              </w:rPr>
            </w:pPr>
            <w:r>
              <w:rPr>
                <w:rFonts w:ascii="黑体" w:hAnsi="黑体" w:eastAsia="黑体" w:cs="黑体"/>
                <w:sz w:val="24"/>
                <w:szCs w:val="24"/>
              </w:rPr>
              <w:t>序号</w:t>
            </w:r>
          </w:p>
        </w:tc>
        <w:tc>
          <w:tcPr>
            <w:tcW w:w="1680" w:type="pct"/>
            <w:vAlign w:val="center"/>
          </w:tcPr>
          <w:p w14:paraId="47E43EEB">
            <w:pPr>
              <w:jc w:val="center"/>
              <w:rPr>
                <w:rFonts w:hint="eastAsia" w:ascii="黑体" w:hAnsi="黑体" w:eastAsia="黑体" w:cs="黑体"/>
                <w:sz w:val="24"/>
                <w:szCs w:val="24"/>
              </w:rPr>
            </w:pPr>
            <w:r>
              <w:rPr>
                <w:rFonts w:ascii="黑体" w:hAnsi="黑体" w:eastAsia="黑体" w:cs="黑体"/>
                <w:sz w:val="24"/>
                <w:szCs w:val="24"/>
              </w:rPr>
              <w:t>简称</w:t>
            </w:r>
          </w:p>
        </w:tc>
        <w:tc>
          <w:tcPr>
            <w:tcW w:w="2921" w:type="pct"/>
            <w:vAlign w:val="center"/>
          </w:tcPr>
          <w:p w14:paraId="46CD070F">
            <w:pPr>
              <w:jc w:val="center"/>
              <w:rPr>
                <w:rFonts w:hint="eastAsia" w:ascii="黑体" w:hAnsi="黑体" w:eastAsia="黑体" w:cs="黑体"/>
                <w:sz w:val="24"/>
                <w:szCs w:val="24"/>
              </w:rPr>
            </w:pPr>
            <w:r>
              <w:rPr>
                <w:rFonts w:ascii="黑体" w:hAnsi="黑体" w:eastAsia="黑体" w:cs="黑体"/>
                <w:sz w:val="24"/>
                <w:szCs w:val="24"/>
              </w:rPr>
              <w:t>全称</w:t>
            </w:r>
          </w:p>
        </w:tc>
      </w:tr>
      <w:tr w14:paraId="6544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0EF373F5">
            <w:pPr>
              <w:numPr>
                <w:ilvl w:val="0"/>
                <w:numId w:val="4"/>
              </w:numPr>
              <w:jc w:val="center"/>
              <w:rPr>
                <w:rFonts w:ascii="Times New Roman" w:hAnsi="Times New Roman" w:eastAsia="宋体" w:cs="Times New Roman"/>
                <w:bCs/>
                <w:szCs w:val="21"/>
              </w:rPr>
            </w:pPr>
          </w:p>
        </w:tc>
        <w:tc>
          <w:tcPr>
            <w:tcW w:w="2850" w:type="dxa"/>
            <w:vAlign w:val="center"/>
          </w:tcPr>
          <w:p w14:paraId="690EBAD4">
            <w:pPr>
              <w:autoSpaceDN w:val="0"/>
              <w:spacing w:line="400" w:lineRule="exact"/>
              <w:jc w:val="center"/>
              <w:textAlignment w:val="center"/>
              <w:rPr>
                <w:rFonts w:ascii="Times New Roman" w:hAnsi="Times New Roman" w:eastAsia="宋体"/>
                <w:sz w:val="24"/>
              </w:rPr>
            </w:pPr>
            <w:r>
              <w:rPr>
                <w:rFonts w:hint="eastAsia" w:ascii="Times New Roman" w:hAnsi="Times New Roman" w:eastAsia="宋体"/>
                <w:sz w:val="24"/>
              </w:rPr>
              <w:t>综合运输标委会</w:t>
            </w:r>
          </w:p>
        </w:tc>
        <w:tc>
          <w:tcPr>
            <w:tcW w:w="4955" w:type="dxa"/>
            <w:vAlign w:val="center"/>
          </w:tcPr>
          <w:p w14:paraId="63CD52F1">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全国综合交通运输标准化技术委员会</w:t>
            </w:r>
          </w:p>
        </w:tc>
      </w:tr>
      <w:tr w14:paraId="3043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4407427F">
            <w:pPr>
              <w:numPr>
                <w:ilvl w:val="0"/>
                <w:numId w:val="4"/>
              </w:numPr>
              <w:jc w:val="center"/>
              <w:rPr>
                <w:rFonts w:ascii="Times New Roman" w:hAnsi="Times New Roman" w:eastAsia="宋体" w:cs="Times New Roman"/>
                <w:bCs/>
                <w:szCs w:val="21"/>
              </w:rPr>
            </w:pPr>
          </w:p>
        </w:tc>
        <w:tc>
          <w:tcPr>
            <w:tcW w:w="2850" w:type="dxa"/>
            <w:vAlign w:val="center"/>
          </w:tcPr>
          <w:p w14:paraId="15C56316">
            <w:pPr>
              <w:autoSpaceDN w:val="0"/>
              <w:spacing w:line="400" w:lineRule="exact"/>
              <w:jc w:val="center"/>
              <w:textAlignment w:val="center"/>
              <w:rPr>
                <w:rFonts w:ascii="Times New Roman" w:hAnsi="Times New Roman" w:eastAsia="宋体"/>
                <w:sz w:val="24"/>
              </w:rPr>
            </w:pPr>
            <w:r>
              <w:rPr>
                <w:rFonts w:hint="eastAsia" w:ascii="Times New Roman" w:hAnsi="Times New Roman" w:eastAsia="宋体"/>
                <w:sz w:val="24"/>
              </w:rPr>
              <w:t>内河船与水路运输标委会</w:t>
            </w:r>
          </w:p>
        </w:tc>
        <w:tc>
          <w:tcPr>
            <w:tcW w:w="4955" w:type="dxa"/>
            <w:vAlign w:val="center"/>
          </w:tcPr>
          <w:p w14:paraId="40C47ED2">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全国内河船与水路运输标准化技术委员会</w:t>
            </w:r>
          </w:p>
        </w:tc>
      </w:tr>
      <w:tr w14:paraId="762D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3E874486">
            <w:pPr>
              <w:numPr>
                <w:ilvl w:val="0"/>
                <w:numId w:val="4"/>
              </w:numPr>
              <w:jc w:val="center"/>
              <w:rPr>
                <w:rFonts w:ascii="Times New Roman" w:hAnsi="Times New Roman" w:eastAsia="宋体" w:cs="Times New Roman"/>
                <w:bCs/>
                <w:szCs w:val="21"/>
              </w:rPr>
            </w:pPr>
          </w:p>
        </w:tc>
        <w:tc>
          <w:tcPr>
            <w:tcW w:w="2850" w:type="dxa"/>
            <w:vAlign w:val="center"/>
          </w:tcPr>
          <w:p w14:paraId="134EAA4D">
            <w:pPr>
              <w:autoSpaceDN w:val="0"/>
              <w:spacing w:line="400" w:lineRule="exact"/>
              <w:ind w:left="105" w:leftChars="50"/>
              <w:jc w:val="center"/>
              <w:textAlignment w:val="center"/>
              <w:rPr>
                <w:rFonts w:ascii="Times New Roman" w:hAnsi="Times New Roman" w:eastAsia="宋体"/>
                <w:sz w:val="24"/>
              </w:rPr>
            </w:pPr>
            <w:r>
              <w:rPr>
                <w:rFonts w:hint="eastAsia" w:ascii="Times New Roman" w:hAnsi="Times New Roman" w:eastAsia="宋体"/>
                <w:sz w:val="24"/>
              </w:rPr>
              <w:t>交通工程标委会</w:t>
            </w:r>
          </w:p>
        </w:tc>
        <w:tc>
          <w:tcPr>
            <w:tcW w:w="4955" w:type="dxa"/>
            <w:vAlign w:val="center"/>
          </w:tcPr>
          <w:p w14:paraId="5D330C51">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全国交通工程设施(公路)标准化技术委员会</w:t>
            </w:r>
          </w:p>
        </w:tc>
      </w:tr>
      <w:tr w14:paraId="7761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5EFB7ADF">
            <w:pPr>
              <w:numPr>
                <w:ilvl w:val="0"/>
                <w:numId w:val="4"/>
              </w:numPr>
              <w:jc w:val="center"/>
              <w:rPr>
                <w:rFonts w:ascii="Times New Roman" w:hAnsi="Times New Roman" w:eastAsia="宋体" w:cs="Times New Roman"/>
                <w:bCs/>
                <w:szCs w:val="21"/>
              </w:rPr>
            </w:pPr>
          </w:p>
        </w:tc>
        <w:tc>
          <w:tcPr>
            <w:tcW w:w="2850" w:type="dxa"/>
            <w:vAlign w:val="center"/>
          </w:tcPr>
          <w:p w14:paraId="50135546">
            <w:pPr>
              <w:autoSpaceDN w:val="0"/>
              <w:spacing w:line="400" w:lineRule="exact"/>
              <w:ind w:left="105" w:leftChars="50"/>
              <w:jc w:val="center"/>
              <w:textAlignment w:val="center"/>
              <w:rPr>
                <w:rFonts w:ascii="Times New Roman" w:hAnsi="Times New Roman" w:eastAsia="宋体"/>
                <w:sz w:val="24"/>
              </w:rPr>
            </w:pPr>
            <w:r>
              <w:rPr>
                <w:rFonts w:hint="eastAsia" w:ascii="Times New Roman" w:hAnsi="Times New Roman" w:eastAsia="宋体"/>
                <w:sz w:val="24"/>
              </w:rPr>
              <w:t>汽车维修标委会</w:t>
            </w:r>
          </w:p>
        </w:tc>
        <w:tc>
          <w:tcPr>
            <w:tcW w:w="4955" w:type="dxa"/>
            <w:vAlign w:val="center"/>
          </w:tcPr>
          <w:p w14:paraId="606B68E1">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全国汽车维修标准化技术委员会</w:t>
            </w:r>
          </w:p>
        </w:tc>
      </w:tr>
      <w:tr w14:paraId="7701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2BC51549">
            <w:pPr>
              <w:numPr>
                <w:ilvl w:val="0"/>
                <w:numId w:val="4"/>
              </w:numPr>
              <w:jc w:val="center"/>
              <w:rPr>
                <w:rFonts w:ascii="Times New Roman" w:hAnsi="Times New Roman" w:eastAsia="宋体" w:cs="Times New Roman"/>
                <w:bCs/>
                <w:szCs w:val="21"/>
              </w:rPr>
            </w:pPr>
          </w:p>
        </w:tc>
        <w:tc>
          <w:tcPr>
            <w:tcW w:w="2850" w:type="dxa"/>
            <w:vAlign w:val="center"/>
          </w:tcPr>
          <w:p w14:paraId="34414147">
            <w:pPr>
              <w:autoSpaceDN w:val="0"/>
              <w:spacing w:line="400" w:lineRule="exact"/>
              <w:ind w:left="105" w:leftChars="50"/>
              <w:jc w:val="center"/>
              <w:textAlignment w:val="center"/>
              <w:rPr>
                <w:rFonts w:ascii="Times New Roman" w:hAnsi="Times New Roman" w:eastAsia="宋体"/>
                <w:sz w:val="24"/>
              </w:rPr>
            </w:pPr>
            <w:r>
              <w:rPr>
                <w:rFonts w:hint="eastAsia" w:ascii="Times New Roman" w:hAnsi="Times New Roman" w:eastAsia="宋体"/>
                <w:sz w:val="24"/>
              </w:rPr>
              <w:t>城市客运标委会</w:t>
            </w:r>
          </w:p>
        </w:tc>
        <w:tc>
          <w:tcPr>
            <w:tcW w:w="4955" w:type="dxa"/>
            <w:vAlign w:val="center"/>
          </w:tcPr>
          <w:p w14:paraId="1CC2D2F2">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全国城市客运标准化技术委员会</w:t>
            </w:r>
          </w:p>
        </w:tc>
      </w:tr>
      <w:tr w14:paraId="58C6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6122B36C">
            <w:pPr>
              <w:numPr>
                <w:ilvl w:val="0"/>
                <w:numId w:val="4"/>
              </w:numPr>
              <w:jc w:val="center"/>
              <w:rPr>
                <w:rFonts w:ascii="Times New Roman" w:hAnsi="Times New Roman" w:eastAsia="宋体" w:cs="Times New Roman"/>
                <w:bCs/>
                <w:szCs w:val="21"/>
              </w:rPr>
            </w:pPr>
          </w:p>
        </w:tc>
        <w:tc>
          <w:tcPr>
            <w:tcW w:w="2850" w:type="dxa"/>
            <w:vAlign w:val="center"/>
          </w:tcPr>
          <w:p w14:paraId="5B21D031">
            <w:pPr>
              <w:autoSpaceDN w:val="0"/>
              <w:spacing w:line="400" w:lineRule="exact"/>
              <w:ind w:left="105" w:leftChars="50"/>
              <w:jc w:val="center"/>
              <w:textAlignment w:val="center"/>
              <w:rPr>
                <w:rFonts w:ascii="Times New Roman" w:hAnsi="Times New Roman" w:eastAsia="宋体"/>
                <w:sz w:val="24"/>
              </w:rPr>
            </w:pPr>
            <w:r>
              <w:rPr>
                <w:rFonts w:hint="eastAsia" w:ascii="Times New Roman" w:hAnsi="Times New Roman" w:eastAsia="宋体"/>
                <w:sz w:val="24"/>
              </w:rPr>
              <w:t>港口标委会</w:t>
            </w:r>
          </w:p>
        </w:tc>
        <w:tc>
          <w:tcPr>
            <w:tcW w:w="4955" w:type="dxa"/>
            <w:vAlign w:val="center"/>
          </w:tcPr>
          <w:p w14:paraId="09EADEA0">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全国港口标准化技术委员会</w:t>
            </w:r>
          </w:p>
        </w:tc>
      </w:tr>
      <w:tr w14:paraId="4426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5C1B7BC2">
            <w:pPr>
              <w:numPr>
                <w:ilvl w:val="0"/>
                <w:numId w:val="4"/>
              </w:numPr>
              <w:jc w:val="center"/>
              <w:rPr>
                <w:rFonts w:ascii="Times New Roman" w:hAnsi="Times New Roman" w:eastAsia="宋体" w:cs="Times New Roman"/>
                <w:bCs/>
                <w:szCs w:val="21"/>
              </w:rPr>
            </w:pPr>
          </w:p>
        </w:tc>
        <w:tc>
          <w:tcPr>
            <w:tcW w:w="2850" w:type="dxa"/>
            <w:vAlign w:val="center"/>
          </w:tcPr>
          <w:p w14:paraId="33C30A73">
            <w:pPr>
              <w:autoSpaceDN w:val="0"/>
              <w:spacing w:line="400" w:lineRule="exact"/>
              <w:jc w:val="center"/>
              <w:textAlignment w:val="center"/>
              <w:rPr>
                <w:rFonts w:ascii="Times New Roman" w:hAnsi="Times New Roman" w:eastAsia="宋体"/>
                <w:sz w:val="24"/>
              </w:rPr>
            </w:pPr>
            <w:r>
              <w:rPr>
                <w:rFonts w:hint="eastAsia" w:ascii="Times New Roman" w:hAnsi="Times New Roman" w:eastAsia="宋体"/>
                <w:sz w:val="24"/>
              </w:rPr>
              <w:t>航测标委会</w:t>
            </w:r>
          </w:p>
        </w:tc>
        <w:tc>
          <w:tcPr>
            <w:tcW w:w="4955" w:type="dxa"/>
            <w:vAlign w:val="center"/>
          </w:tcPr>
          <w:p w14:paraId="6F11442C">
            <w:pPr>
              <w:autoSpaceDN w:val="0"/>
              <w:spacing w:line="400" w:lineRule="exact"/>
              <w:ind w:left="105" w:leftChars="50"/>
              <w:jc w:val="left"/>
              <w:textAlignment w:val="center"/>
              <w:rPr>
                <w:rFonts w:ascii="Times New Roman" w:hAnsi="Times New Roman" w:eastAsia="宋体"/>
                <w:sz w:val="24"/>
              </w:rPr>
            </w:pPr>
            <w:r>
              <w:rPr>
                <w:rFonts w:ascii="Times New Roman" w:hAnsi="Times New Roman" w:eastAsia="宋体"/>
                <w:sz w:val="24"/>
              </w:rPr>
              <w:t>交通运输</w:t>
            </w:r>
            <w:r>
              <w:rPr>
                <w:rFonts w:hint="eastAsia" w:ascii="Times New Roman" w:hAnsi="Times New Roman" w:eastAsia="宋体"/>
                <w:sz w:val="24"/>
              </w:rPr>
              <w:t>航测</w:t>
            </w:r>
            <w:r>
              <w:rPr>
                <w:rFonts w:ascii="Times New Roman" w:hAnsi="Times New Roman" w:eastAsia="宋体"/>
                <w:sz w:val="24"/>
              </w:rPr>
              <w:t>标准化技术委员会</w:t>
            </w:r>
          </w:p>
        </w:tc>
      </w:tr>
      <w:tr w14:paraId="3363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4B8CF0D1">
            <w:pPr>
              <w:numPr>
                <w:ilvl w:val="0"/>
                <w:numId w:val="4"/>
              </w:numPr>
              <w:jc w:val="center"/>
              <w:rPr>
                <w:rFonts w:ascii="Times New Roman" w:hAnsi="Times New Roman" w:eastAsia="宋体" w:cs="Times New Roman"/>
                <w:bCs/>
                <w:szCs w:val="21"/>
              </w:rPr>
            </w:pPr>
          </w:p>
        </w:tc>
        <w:tc>
          <w:tcPr>
            <w:tcW w:w="2850" w:type="dxa"/>
            <w:vAlign w:val="center"/>
          </w:tcPr>
          <w:p w14:paraId="42A21292">
            <w:pPr>
              <w:autoSpaceDN w:val="0"/>
              <w:spacing w:line="400" w:lineRule="exact"/>
              <w:ind w:left="105" w:leftChars="50"/>
              <w:jc w:val="center"/>
              <w:textAlignment w:val="center"/>
              <w:rPr>
                <w:rFonts w:ascii="Times New Roman" w:hAnsi="Times New Roman" w:eastAsia="宋体"/>
                <w:sz w:val="24"/>
              </w:rPr>
            </w:pPr>
            <w:r>
              <w:rPr>
                <w:rFonts w:hint="eastAsia" w:ascii="Times New Roman" w:hAnsi="Times New Roman" w:eastAsia="宋体"/>
                <w:sz w:val="24"/>
              </w:rPr>
              <w:t>环保标委会</w:t>
            </w:r>
          </w:p>
        </w:tc>
        <w:tc>
          <w:tcPr>
            <w:tcW w:w="4955" w:type="dxa"/>
            <w:vAlign w:val="center"/>
          </w:tcPr>
          <w:p w14:paraId="3892D8D9">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交通运输环境保护标准化技术委员会</w:t>
            </w:r>
          </w:p>
        </w:tc>
      </w:tr>
      <w:tr w14:paraId="033C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80" w:hRule="atLeast"/>
        </w:trPr>
        <w:tc>
          <w:tcPr>
            <w:tcW w:w="397" w:type="pct"/>
            <w:vAlign w:val="center"/>
          </w:tcPr>
          <w:p w14:paraId="5F024452">
            <w:pPr>
              <w:numPr>
                <w:ilvl w:val="0"/>
                <w:numId w:val="4"/>
              </w:numPr>
              <w:jc w:val="center"/>
              <w:rPr>
                <w:rFonts w:ascii="Times New Roman" w:hAnsi="Times New Roman" w:eastAsia="宋体" w:cs="Times New Roman"/>
                <w:bCs/>
                <w:szCs w:val="21"/>
              </w:rPr>
            </w:pPr>
          </w:p>
        </w:tc>
        <w:tc>
          <w:tcPr>
            <w:tcW w:w="2850" w:type="dxa"/>
            <w:vAlign w:val="center"/>
          </w:tcPr>
          <w:p w14:paraId="44AFA536">
            <w:pPr>
              <w:autoSpaceDN w:val="0"/>
              <w:spacing w:line="400" w:lineRule="exact"/>
              <w:jc w:val="center"/>
              <w:textAlignment w:val="center"/>
              <w:rPr>
                <w:rFonts w:ascii="Times New Roman" w:hAnsi="Times New Roman" w:eastAsia="宋体"/>
                <w:sz w:val="24"/>
              </w:rPr>
            </w:pPr>
            <w:r>
              <w:rPr>
                <w:rFonts w:hint="eastAsia" w:ascii="Times New Roman" w:hAnsi="Times New Roman" w:eastAsia="宋体"/>
                <w:sz w:val="24"/>
              </w:rPr>
              <w:t>公路计量委员会</w:t>
            </w:r>
          </w:p>
        </w:tc>
        <w:tc>
          <w:tcPr>
            <w:tcW w:w="4955" w:type="dxa"/>
            <w:vAlign w:val="center"/>
          </w:tcPr>
          <w:p w14:paraId="635E589F">
            <w:pPr>
              <w:autoSpaceDN w:val="0"/>
              <w:spacing w:line="400" w:lineRule="exact"/>
              <w:ind w:left="105" w:leftChars="50"/>
              <w:jc w:val="left"/>
              <w:textAlignment w:val="center"/>
              <w:rPr>
                <w:rFonts w:ascii="Times New Roman" w:hAnsi="Times New Roman" w:eastAsia="宋体"/>
                <w:sz w:val="24"/>
              </w:rPr>
            </w:pPr>
            <w:r>
              <w:rPr>
                <w:rFonts w:hint="eastAsia" w:ascii="Times New Roman" w:hAnsi="Times New Roman" w:eastAsia="宋体"/>
                <w:sz w:val="24"/>
              </w:rPr>
              <w:t>全国公路专用计量器具计量技术委员会</w:t>
            </w:r>
          </w:p>
        </w:tc>
      </w:tr>
    </w:tbl>
    <w:p w14:paraId="341DB5D3"/>
    <w:p w14:paraId="34FC156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BD4064"/>
    <w:multiLevelType w:val="singleLevel"/>
    <w:tmpl w:val="8CBD4064"/>
    <w:lvl w:ilvl="0" w:tentative="0">
      <w:start w:val="1"/>
      <w:numFmt w:val="decimal"/>
      <w:suff w:val="nothing"/>
      <w:lvlText w:val="%1"/>
      <w:lvlJc w:val="left"/>
      <w:pPr>
        <w:ind w:left="0" w:firstLine="0"/>
      </w:pPr>
      <w:rPr>
        <w:rFonts w:hint="default"/>
      </w:rPr>
    </w:lvl>
  </w:abstractNum>
  <w:abstractNum w:abstractNumId="1">
    <w:nsid w:val="B7892795"/>
    <w:multiLevelType w:val="singleLevel"/>
    <w:tmpl w:val="B7892795"/>
    <w:lvl w:ilvl="0" w:tentative="0">
      <w:start w:val="1"/>
      <w:numFmt w:val="decimal"/>
      <w:suff w:val="nothing"/>
      <w:lvlText w:val="%1"/>
      <w:lvlJc w:val="left"/>
      <w:pPr>
        <w:ind w:left="0" w:firstLine="0"/>
      </w:pPr>
      <w:rPr>
        <w:rFonts w:hint="default"/>
      </w:rPr>
    </w:lvl>
  </w:abstractNum>
  <w:abstractNum w:abstractNumId="2">
    <w:nsid w:val="538716F7"/>
    <w:multiLevelType w:val="singleLevel"/>
    <w:tmpl w:val="538716F7"/>
    <w:lvl w:ilvl="0" w:tentative="0">
      <w:start w:val="1"/>
      <w:numFmt w:val="decimal"/>
      <w:suff w:val="nothing"/>
      <w:lvlText w:val="%1"/>
      <w:lvlJc w:val="left"/>
      <w:pPr>
        <w:ind w:left="0" w:firstLine="0"/>
      </w:pPr>
      <w:rPr>
        <w:rFonts w:hint="default"/>
      </w:rPr>
    </w:lvl>
  </w:abstractNum>
  <w:abstractNum w:abstractNumId="3">
    <w:nsid w:val="5600F0B7"/>
    <w:multiLevelType w:val="singleLevel"/>
    <w:tmpl w:val="5600F0B7"/>
    <w:lvl w:ilvl="0" w:tentative="0">
      <w:start w:val="1"/>
      <w:numFmt w:val="decimal"/>
      <w:suff w:val="nothing"/>
      <w:lvlText w:val="%1"/>
      <w:lvlJc w:val="left"/>
      <w:pPr>
        <w:ind w:left="0" w:firstLine="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D009D7"/>
    <w:rsid w:val="000971DA"/>
    <w:rsid w:val="00192936"/>
    <w:rsid w:val="00B02BEF"/>
    <w:rsid w:val="16D009D7"/>
    <w:rsid w:val="3B7D7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widowControl/>
      <w:adjustRightInd w:val="0"/>
      <w:snapToGrid w:val="0"/>
      <w:spacing w:beforeAutospacing="1" w:afterAutospacing="1"/>
      <w:jc w:val="left"/>
    </w:pPr>
    <w:rPr>
      <w:rFonts w:ascii="Tahoma" w:hAnsi="Tahoma" w:eastAsia="微软雅黑" w:cs="Times New Roman"/>
      <w:kern w:val="0"/>
      <w:sz w:val="24"/>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1137</Words>
  <Characters>1208</Characters>
  <Lines>310</Lines>
  <Paragraphs>300</Paragraphs>
  <TotalTime>11</TotalTime>
  <ScaleCrop>false</ScaleCrop>
  <LinksUpToDate>false</LinksUpToDate>
  <CharactersWithSpaces>1214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2026-11-04T08:12:00Z</dcterms:created>
  <dc:creator>Administrator</dc:creator>
  <cp:lastModifiedBy> </cp:lastModifiedBy>
  <dcterms:modified xsi:type="dcterms:W3CDTF">2026-11-05T01:35:15Z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66C4A27ADC684728983986BAC679F3C8_13</vt:lpwstr>
  </property>
  <property fmtid="{D5CDD505-2E9C-101B-9397-08002B2CF9AE}" pid="4" name="KSOTemplateDocerSaveRecord">
    <vt:lpwstr>eyJoZGlkIjoiZTVjMDVkNDQyNDExNDAwODFlMzRmMjJhYTVlMDY5YWIiLCJ1c2VySWQiOiIzNjg3NDIyNzAifQ==</vt:lpwstr>
  </property>
</Properties>
</file>