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66E01" w14:textId="77777777" w:rsidR="00BA0279" w:rsidRDefault="00000000">
      <w:pPr>
        <w:pStyle w:val="2"/>
        <w:spacing w:after="0"/>
        <w:jc w:val="center"/>
        <w:rPr>
          <w:rFonts w:ascii="仿宋" w:eastAsia="仿宋" w:hAnsi="仿宋" w:cs="仿宋" w:hint="eastAsia"/>
          <w:b w:val="0"/>
          <w:bCs w:val="0"/>
          <w:sz w:val="44"/>
          <w:szCs w:val="44"/>
        </w:rPr>
      </w:pPr>
      <w:r>
        <w:rPr>
          <w:rFonts w:ascii="仿宋" w:eastAsia="仿宋" w:hAnsi="仿宋" w:cs="仿宋" w:hint="eastAsia"/>
          <w:b w:val="0"/>
          <w:bCs w:val="0"/>
          <w:sz w:val="44"/>
          <w:szCs w:val="44"/>
        </w:rPr>
        <w:t>关于</w:t>
      </w:r>
      <w:proofErr w:type="gramStart"/>
      <w:r>
        <w:rPr>
          <w:rFonts w:ascii="仿宋" w:eastAsia="仿宋" w:hAnsi="仿宋" w:cs="仿宋" w:hint="eastAsia"/>
          <w:b w:val="0"/>
          <w:bCs w:val="0"/>
          <w:sz w:val="44"/>
          <w:szCs w:val="44"/>
        </w:rPr>
        <w:t>《</w:t>
      </w:r>
      <w:proofErr w:type="gramEnd"/>
      <w:r>
        <w:rPr>
          <w:rFonts w:ascii="仿宋" w:eastAsia="仿宋" w:hAnsi="仿宋" w:cs="仿宋" w:hint="eastAsia"/>
          <w:b w:val="0"/>
          <w:bCs w:val="0"/>
          <w:sz w:val="44"/>
          <w:szCs w:val="44"/>
        </w:rPr>
        <w:t>港口基础设施维护管理规定（征求</w:t>
      </w:r>
    </w:p>
    <w:p w14:paraId="1936F3CF" w14:textId="77777777" w:rsidR="00BA0279" w:rsidRDefault="00000000">
      <w:pPr>
        <w:pStyle w:val="2"/>
        <w:spacing w:after="0"/>
        <w:jc w:val="center"/>
        <w:rPr>
          <w:rFonts w:ascii="仿宋" w:eastAsia="仿宋" w:hAnsi="仿宋" w:cs="仿宋" w:hint="eastAsia"/>
          <w:b w:val="0"/>
          <w:bCs w:val="0"/>
          <w:sz w:val="44"/>
          <w:szCs w:val="44"/>
        </w:rPr>
      </w:pPr>
      <w:r>
        <w:rPr>
          <w:rFonts w:ascii="仿宋" w:eastAsia="仿宋" w:hAnsi="仿宋" w:cs="仿宋" w:hint="eastAsia"/>
          <w:b w:val="0"/>
          <w:bCs w:val="0"/>
          <w:sz w:val="44"/>
          <w:szCs w:val="44"/>
        </w:rPr>
        <w:t>意见稿）</w:t>
      </w:r>
      <w:proofErr w:type="gramStart"/>
      <w:r>
        <w:rPr>
          <w:rFonts w:ascii="仿宋" w:eastAsia="仿宋" w:hAnsi="仿宋" w:cs="仿宋" w:hint="eastAsia"/>
          <w:b w:val="0"/>
          <w:bCs w:val="0"/>
          <w:sz w:val="44"/>
          <w:szCs w:val="44"/>
        </w:rPr>
        <w:t>》</w:t>
      </w:r>
      <w:proofErr w:type="gramEnd"/>
      <w:r>
        <w:rPr>
          <w:rFonts w:ascii="仿宋" w:eastAsia="仿宋" w:hAnsi="仿宋" w:cs="仿宋" w:hint="eastAsia"/>
          <w:b w:val="0"/>
          <w:bCs w:val="0"/>
          <w:sz w:val="44"/>
          <w:szCs w:val="44"/>
        </w:rPr>
        <w:t>的起草说明</w:t>
      </w:r>
    </w:p>
    <w:p w14:paraId="6C33FEB3" w14:textId="77777777" w:rsidR="00BA0279" w:rsidRDefault="00BA0279"/>
    <w:p w14:paraId="21BF0334" w14:textId="77777777" w:rsidR="00BA0279" w:rsidRDefault="00BA0279">
      <w:pPr>
        <w:adjustRightInd w:val="0"/>
        <w:snapToGrid w:val="0"/>
        <w:spacing w:line="360" w:lineRule="auto"/>
        <w:ind w:firstLineChars="200" w:firstLine="640"/>
        <w:rPr>
          <w:rFonts w:ascii="Times New Roman" w:eastAsia="仿宋_GB2312" w:hAnsi="Times New Roman"/>
          <w:color w:val="000000" w:themeColor="text1"/>
          <w:sz w:val="32"/>
          <w:szCs w:val="32"/>
        </w:rPr>
      </w:pPr>
    </w:p>
    <w:p w14:paraId="37EAA434" w14:textId="77777777" w:rsidR="00BA0279" w:rsidRDefault="00000000">
      <w:pPr>
        <w:pStyle w:val="2"/>
        <w:adjustRightInd w:val="0"/>
        <w:snapToGrid w:val="0"/>
        <w:spacing w:before="0" w:after="0" w:line="240" w:lineRule="auto"/>
        <w:ind w:firstLineChars="300" w:firstLine="960"/>
        <w:rPr>
          <w:rFonts w:ascii="仿宋" w:eastAsia="仿宋" w:hAnsi="仿宋" w:cs="仿宋" w:hint="eastAsia"/>
          <w:b w:val="0"/>
          <w:color w:val="000000" w:themeColor="text1"/>
        </w:rPr>
      </w:pPr>
      <w:r>
        <w:rPr>
          <w:rFonts w:ascii="仿宋" w:eastAsia="仿宋" w:hAnsi="仿宋" w:cs="仿宋" w:hint="eastAsia"/>
          <w:b w:val="0"/>
          <w:color w:val="000000" w:themeColor="text1"/>
        </w:rPr>
        <w:t>一、必要性</w:t>
      </w:r>
    </w:p>
    <w:p w14:paraId="3FAA2F37" w14:textId="4B524A48" w:rsidR="00BA0279" w:rsidRDefault="00000000">
      <w:pPr>
        <w:pStyle w:val="21"/>
        <w:adjustRightInd w:val="0"/>
        <w:snapToGrid w:val="0"/>
        <w:spacing w:after="0" w:line="240" w:lineRule="auto"/>
        <w:ind w:leftChars="0" w:left="0"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港口是综合交通运输枢纽，是经济社会发展的战略资源和重要支撑。港口基础设施的有效维护是确保港口基础设施稳定运行、实现港口生产安全的重要基础。改革开放特别是</w:t>
      </w:r>
      <w:r w:rsidR="00364A46">
        <w:rPr>
          <w:rFonts w:ascii="仿宋" w:eastAsia="仿宋" w:hAnsi="仿宋" w:cs="仿宋" w:hint="eastAsia"/>
          <w:bCs/>
          <w:color w:val="000000" w:themeColor="text1"/>
          <w:sz w:val="32"/>
          <w:szCs w:val="32"/>
        </w:rPr>
        <w:t>党的</w:t>
      </w:r>
      <w:r>
        <w:rPr>
          <w:rFonts w:ascii="仿宋" w:eastAsia="仿宋" w:hAnsi="仿宋" w:cs="仿宋" w:hint="eastAsia"/>
          <w:bCs/>
          <w:color w:val="000000" w:themeColor="text1"/>
          <w:sz w:val="32"/>
          <w:szCs w:val="32"/>
        </w:rPr>
        <w:t>十八大以来，我国港口快速发展，港口基础设施总量已居世界前列，但是“重建设、轻维护”“重生产、轻维护”现象仍然存在。</w:t>
      </w:r>
      <w:r>
        <w:rPr>
          <w:rFonts w:ascii="仿宋" w:eastAsia="仿宋" w:hAnsi="仿宋" w:cs="仿宋" w:hint="eastAsia"/>
          <w:bCs/>
          <w:color w:val="000000"/>
          <w:sz w:val="32"/>
          <w:szCs w:val="32"/>
        </w:rPr>
        <w:t>调研表明，我国老旧码头存量巨大，且随着时间的推移，老旧码头数量将进一步增加。如2019年浙江省宁波市港口管理部门对全市经营性码头泊位进行了调查，在339个经营性泊位中，投产超过20年的有167个，占比49.2%，其中超过30年的有82个，占比36.6%。近年来，浙江、江西、黑龙江等省份先后开展了港口基础设施的专项检查，整治了维护不到位带来的安全隐患，如2020年</w:t>
      </w:r>
      <w:r>
        <w:rPr>
          <w:rFonts w:ascii="仿宋" w:eastAsia="仿宋" w:hAnsi="仿宋" w:cs="仿宋" w:hint="eastAsia"/>
          <w:bCs/>
          <w:color w:val="000000"/>
          <w:sz w:val="32"/>
          <w:szCs w:val="32"/>
          <w:lang w:val="en"/>
        </w:rPr>
        <w:t>,</w:t>
      </w:r>
      <w:r>
        <w:rPr>
          <w:rFonts w:ascii="仿宋" w:eastAsia="仿宋" w:hAnsi="仿宋" w:cs="仿宋" w:hint="eastAsia"/>
          <w:bCs/>
          <w:color w:val="000000"/>
          <w:sz w:val="32"/>
          <w:szCs w:val="32"/>
        </w:rPr>
        <w:t>浙江省舟山市港口管理部门排查发现18座老旧码头存在水工结构隐患，江西省港口管理部门排查发现码头结构等安全隐患31处。上述专项整治，对保障港口基础设施自身安全和港口安全稳定运行发挥了积极的作用，但港口基础设施维护工作更需要长效的制度来予以规范和保障。</w:t>
      </w:r>
    </w:p>
    <w:p w14:paraId="7EE22007" w14:textId="77777777" w:rsidR="00BA0279" w:rsidRDefault="00000000">
      <w:pPr>
        <w:pStyle w:val="21"/>
        <w:adjustRightInd w:val="0"/>
        <w:snapToGrid w:val="0"/>
        <w:spacing w:after="0" w:line="240" w:lineRule="auto"/>
        <w:ind w:leftChars="0" w:left="0"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2012年我部印发了《港口设施维护管理规定(试行)》（交水发〔2012〕728号，以下简称</w:t>
      </w:r>
      <w:r>
        <w:rPr>
          <w:rFonts w:ascii="仿宋" w:eastAsia="仿宋" w:hAnsi="仿宋" w:cs="仿宋" w:hint="eastAsia"/>
          <w:bCs/>
          <w:color w:val="000000"/>
          <w:sz w:val="32"/>
          <w:szCs w:val="32"/>
          <w:lang w:val="en"/>
        </w:rPr>
        <w:t>《</w:t>
      </w:r>
      <w:r>
        <w:rPr>
          <w:rFonts w:ascii="仿宋" w:eastAsia="仿宋" w:hAnsi="仿宋" w:cs="仿宋" w:hint="eastAsia"/>
          <w:bCs/>
          <w:color w:val="000000"/>
          <w:sz w:val="32"/>
          <w:szCs w:val="32"/>
        </w:rPr>
        <w:t>试行规定</w:t>
      </w:r>
      <w:r>
        <w:rPr>
          <w:rFonts w:ascii="仿宋" w:eastAsia="仿宋" w:hAnsi="仿宋" w:cs="仿宋" w:hint="eastAsia"/>
          <w:bCs/>
          <w:color w:val="000000"/>
          <w:sz w:val="32"/>
          <w:szCs w:val="32"/>
          <w:lang w:val="en"/>
        </w:rPr>
        <w:t>》</w:t>
      </w:r>
      <w:r>
        <w:rPr>
          <w:rFonts w:ascii="仿宋" w:eastAsia="仿宋" w:hAnsi="仿宋" w:cs="仿宋" w:hint="eastAsia"/>
          <w:bCs/>
          <w:color w:val="000000" w:themeColor="text1"/>
          <w:sz w:val="32"/>
          <w:szCs w:val="32"/>
        </w:rPr>
        <w:t>），并先后发布了《港口设施维护技术规范》（JTS310-2013）《水运工程水工建筑物检测与评估技术规范》（JTS304-2019）等标准规范，对指导和规范设施维护发挥了积极作用。</w:t>
      </w:r>
    </w:p>
    <w:p w14:paraId="43F39E95"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lang w:val="en"/>
        </w:rPr>
      </w:pPr>
      <w:r>
        <w:rPr>
          <w:rFonts w:ascii="仿宋" w:eastAsia="仿宋" w:hAnsi="仿宋" w:cs="仿宋" w:hint="eastAsia"/>
          <w:bCs/>
          <w:color w:val="000000" w:themeColor="text1"/>
          <w:sz w:val="32"/>
          <w:szCs w:val="32"/>
        </w:rPr>
        <w:t>但</w:t>
      </w:r>
      <w:r>
        <w:rPr>
          <w:rFonts w:ascii="仿宋" w:eastAsia="仿宋" w:hAnsi="仿宋" w:cs="仿宋" w:hint="eastAsia"/>
          <w:bCs/>
          <w:color w:val="000000"/>
          <w:sz w:val="32"/>
          <w:szCs w:val="32"/>
          <w:lang w:val="en"/>
        </w:rPr>
        <w:t>《</w:t>
      </w:r>
      <w:r>
        <w:rPr>
          <w:rFonts w:ascii="仿宋" w:eastAsia="仿宋" w:hAnsi="仿宋" w:cs="仿宋" w:hint="eastAsia"/>
          <w:bCs/>
          <w:color w:val="000000"/>
          <w:sz w:val="32"/>
          <w:szCs w:val="32"/>
        </w:rPr>
        <w:t>试行规定</w:t>
      </w:r>
      <w:r>
        <w:rPr>
          <w:rFonts w:ascii="仿宋" w:eastAsia="仿宋" w:hAnsi="仿宋" w:cs="仿宋" w:hint="eastAsia"/>
          <w:bCs/>
          <w:color w:val="000000"/>
          <w:sz w:val="32"/>
          <w:szCs w:val="32"/>
          <w:lang w:val="en"/>
        </w:rPr>
        <w:t>》</w:t>
      </w:r>
      <w:r>
        <w:rPr>
          <w:rFonts w:ascii="仿宋" w:eastAsia="仿宋" w:hAnsi="仿宋" w:cs="仿宋" w:hint="eastAsia"/>
          <w:bCs/>
          <w:color w:val="000000" w:themeColor="text1"/>
          <w:sz w:val="32"/>
          <w:szCs w:val="32"/>
        </w:rPr>
        <w:t>也</w:t>
      </w:r>
      <w:r>
        <w:rPr>
          <w:rFonts w:ascii="仿宋" w:eastAsia="仿宋" w:hAnsi="仿宋" w:cs="仿宋" w:hint="eastAsia"/>
          <w:bCs/>
          <w:color w:val="000000" w:themeColor="text1"/>
          <w:sz w:val="32"/>
          <w:szCs w:val="32"/>
          <w:lang w:val="en"/>
        </w:rPr>
        <w:t>存在维修程序不明确、与安全生产和港口经营要求衔接不紧密、规范性文件法律效力低等方面问题，不能适应当前管理需要。为进一步加强和规范港口基</w:t>
      </w:r>
      <w:proofErr w:type="gramStart"/>
      <w:r>
        <w:rPr>
          <w:rFonts w:ascii="仿宋" w:eastAsia="仿宋" w:hAnsi="仿宋" w:cs="仿宋" w:hint="eastAsia"/>
          <w:bCs/>
          <w:color w:val="000000" w:themeColor="text1"/>
          <w:sz w:val="32"/>
          <w:szCs w:val="32"/>
          <w:lang w:val="en"/>
        </w:rPr>
        <w:lastRenderedPageBreak/>
        <w:t>础</w:t>
      </w:r>
      <w:proofErr w:type="gramEnd"/>
      <w:r>
        <w:rPr>
          <w:rFonts w:ascii="仿宋" w:eastAsia="仿宋" w:hAnsi="仿宋" w:cs="仿宋" w:hint="eastAsia"/>
          <w:bCs/>
          <w:color w:val="000000" w:themeColor="text1"/>
          <w:sz w:val="32"/>
          <w:szCs w:val="32"/>
          <w:lang w:val="en"/>
        </w:rPr>
        <w:t>设施维护，理顺管理边界、明确管理要求、强化监督检查，保障基础设施运行安全，夯实港口安全生产“硬件”基础，急需制定港口基础设施维护部门规章。</w:t>
      </w:r>
    </w:p>
    <w:p w14:paraId="7417A5A6" w14:textId="77777777" w:rsidR="00BA0279" w:rsidRDefault="00000000">
      <w:pPr>
        <w:pStyle w:val="3"/>
        <w:adjustRightInd w:val="0"/>
        <w:snapToGrid w:val="0"/>
        <w:spacing w:before="0" w:after="0" w:line="240" w:lineRule="auto"/>
        <w:ind w:firstLineChars="300" w:firstLine="960"/>
        <w:rPr>
          <w:rFonts w:ascii="仿宋" w:eastAsia="仿宋" w:hAnsi="仿宋" w:cs="仿宋" w:hint="eastAsia"/>
          <w:b w:val="0"/>
          <w:bCs/>
          <w:color w:val="000000" w:themeColor="text1"/>
          <w:szCs w:val="32"/>
        </w:rPr>
      </w:pPr>
      <w:r>
        <w:rPr>
          <w:rFonts w:ascii="仿宋" w:eastAsia="仿宋" w:hAnsi="仿宋" w:cs="仿宋" w:hint="eastAsia"/>
          <w:b w:val="0"/>
          <w:bCs/>
          <w:color w:val="000000" w:themeColor="text1"/>
          <w:szCs w:val="32"/>
        </w:rPr>
        <w:t>二、起草过程</w:t>
      </w:r>
    </w:p>
    <w:p w14:paraId="4A3AC43F" w14:textId="77777777" w:rsidR="00BA0279" w:rsidRDefault="00000000">
      <w:pPr>
        <w:adjustRightInd w:val="0"/>
        <w:snapToGrid w:val="0"/>
        <w:spacing w:line="240" w:lineRule="auto"/>
        <w:ind w:firstLineChars="300" w:firstLine="960"/>
        <w:outlineLvl w:val="2"/>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2020年5月起，</w:t>
      </w:r>
      <w:proofErr w:type="gramStart"/>
      <w:r>
        <w:rPr>
          <w:rFonts w:ascii="仿宋" w:eastAsia="仿宋" w:hAnsi="仿宋" w:cs="仿宋" w:hint="eastAsia"/>
          <w:bCs/>
          <w:color w:val="000000" w:themeColor="text1"/>
          <w:sz w:val="32"/>
          <w:szCs w:val="32"/>
        </w:rPr>
        <w:t>水运局</w:t>
      </w:r>
      <w:proofErr w:type="gramEnd"/>
      <w:r>
        <w:rPr>
          <w:rFonts w:ascii="仿宋" w:eastAsia="仿宋" w:hAnsi="仿宋" w:cs="仿宋" w:hint="eastAsia"/>
          <w:bCs/>
          <w:color w:val="000000" w:themeColor="text1"/>
          <w:sz w:val="32"/>
          <w:szCs w:val="32"/>
        </w:rPr>
        <w:t>组织开展了对各</w:t>
      </w:r>
      <w:proofErr w:type="gramStart"/>
      <w:r>
        <w:rPr>
          <w:rFonts w:ascii="仿宋" w:eastAsia="仿宋" w:hAnsi="仿宋" w:cs="仿宋" w:hint="eastAsia"/>
          <w:bCs/>
          <w:color w:val="000000" w:themeColor="text1"/>
          <w:sz w:val="32"/>
          <w:szCs w:val="32"/>
        </w:rPr>
        <w:t>省级交通</w:t>
      </w:r>
      <w:proofErr w:type="gramEnd"/>
      <w:r>
        <w:rPr>
          <w:rFonts w:ascii="仿宋" w:eastAsia="仿宋" w:hAnsi="仿宋" w:cs="仿宋" w:hint="eastAsia"/>
          <w:bCs/>
          <w:color w:val="000000" w:themeColor="text1"/>
          <w:sz w:val="32"/>
          <w:szCs w:val="32"/>
        </w:rPr>
        <w:t>运输主管部门、部分市级港口行政管理部门和港口企业的书面调研，并赴广西、湖北开展了现场调研，对山东、浙江、广东等省份开展了视频调研。</w:t>
      </w:r>
    </w:p>
    <w:p w14:paraId="4B8770F0" w14:textId="77777777" w:rsidR="00BA0279" w:rsidRDefault="00000000">
      <w:pPr>
        <w:adjustRightInd w:val="0"/>
        <w:snapToGrid w:val="0"/>
        <w:spacing w:line="240" w:lineRule="auto"/>
        <w:ind w:firstLineChars="300" w:firstLine="960"/>
        <w:outlineLvl w:val="2"/>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根据调研的情况，</w:t>
      </w:r>
      <w:proofErr w:type="gramStart"/>
      <w:r>
        <w:rPr>
          <w:rFonts w:ascii="仿宋" w:eastAsia="仿宋" w:hAnsi="仿宋" w:cs="仿宋" w:hint="eastAsia"/>
          <w:bCs/>
          <w:color w:val="000000" w:themeColor="text1"/>
          <w:sz w:val="32"/>
          <w:szCs w:val="32"/>
        </w:rPr>
        <w:t>水运局</w:t>
      </w:r>
      <w:proofErr w:type="gramEnd"/>
      <w:r>
        <w:rPr>
          <w:rFonts w:ascii="仿宋" w:eastAsia="仿宋" w:hAnsi="仿宋" w:cs="仿宋" w:hint="eastAsia"/>
          <w:bCs/>
          <w:color w:val="000000" w:themeColor="text1"/>
          <w:sz w:val="32"/>
          <w:szCs w:val="32"/>
        </w:rPr>
        <w:t>多次组织研讨，并召开专家座谈会听取行业专家意见。在对重点问题进行专题研究、确定起草思路后，起草了规定初稿。经多次专题研究，形成《港口基础设施维护管理规定（征求意见稿）》（以下简称《规定》）。</w:t>
      </w:r>
    </w:p>
    <w:p w14:paraId="26048F0A" w14:textId="77777777" w:rsidR="00BA0279" w:rsidRDefault="00000000">
      <w:pPr>
        <w:pStyle w:val="2"/>
        <w:adjustRightInd w:val="0"/>
        <w:snapToGrid w:val="0"/>
        <w:spacing w:before="0" w:after="0" w:line="240" w:lineRule="auto"/>
        <w:ind w:firstLineChars="300" w:firstLine="960"/>
        <w:rPr>
          <w:rFonts w:ascii="仿宋" w:eastAsia="仿宋" w:hAnsi="仿宋" w:cs="仿宋" w:hint="eastAsia"/>
          <w:b w:val="0"/>
          <w:color w:val="000000" w:themeColor="text1"/>
        </w:rPr>
      </w:pPr>
      <w:r>
        <w:rPr>
          <w:rFonts w:ascii="仿宋" w:eastAsia="仿宋" w:hAnsi="仿宋" w:cs="仿宋" w:hint="eastAsia"/>
          <w:b w:val="0"/>
          <w:color w:val="000000" w:themeColor="text1"/>
        </w:rPr>
        <w:t>三、主要内容</w:t>
      </w:r>
    </w:p>
    <w:p w14:paraId="17F04309"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 xml:space="preserve">《规定》包括7章39条，主要内容如下： </w:t>
      </w:r>
    </w:p>
    <w:p w14:paraId="77485FEC"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总则。主要包括目的、适用范围、管理责任分工、维护单位、总体要求、工作原则、鼓励创新等。</w:t>
      </w:r>
    </w:p>
    <w:p w14:paraId="2E94CEA8"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维护计划。包括维护单位应当建立维护制度、编制维护计划、维护资金保障、维护计划调整等。</w:t>
      </w:r>
    </w:p>
    <w:p w14:paraId="1DC8C87E"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维护实施。包括检查与保养，应当进行检测评估的情形，检测评估单位能力、检测评估报告内容和编制要求，应当停止限制使用情况和报送要求等。</w:t>
      </w:r>
    </w:p>
    <w:p w14:paraId="3AC04BDC" w14:textId="77777777" w:rsidR="00BA0279" w:rsidRDefault="00000000">
      <w:pPr>
        <w:pStyle w:val="a0"/>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专项维修。重点明确了应开展专项维修的情形、基本要求、参建单位要求、核验方式等。</w:t>
      </w:r>
    </w:p>
    <w:p w14:paraId="7E2B18B3" w14:textId="77777777" w:rsidR="00BA0279" w:rsidRDefault="00000000">
      <w:pPr>
        <w:pStyle w:val="a0"/>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档案与信息报送。主要包括维护工作档案管理制度和技术状态信息报送要求等。</w:t>
      </w:r>
    </w:p>
    <w:p w14:paraId="565F8CCD"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监督检查。主要包括检查抽查、违反维护工作要求应当整改的要求、对限制和停止使用以及弄虚作假等监管要求。</w:t>
      </w:r>
    </w:p>
    <w:p w14:paraId="2AA98564"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附则。主要包括航道、相关配套设施管理要求、生效日期等。</w:t>
      </w:r>
    </w:p>
    <w:p w14:paraId="446F1CE7" w14:textId="77777777" w:rsidR="00BA0279" w:rsidRDefault="00000000">
      <w:pPr>
        <w:pStyle w:val="2"/>
        <w:adjustRightInd w:val="0"/>
        <w:snapToGrid w:val="0"/>
        <w:spacing w:before="0" w:after="0" w:line="240" w:lineRule="auto"/>
        <w:ind w:firstLineChars="300" w:firstLine="960"/>
        <w:rPr>
          <w:rFonts w:ascii="仿宋" w:eastAsia="仿宋" w:hAnsi="仿宋" w:cs="仿宋" w:hint="eastAsia"/>
          <w:b w:val="0"/>
          <w:color w:val="000000" w:themeColor="text1"/>
        </w:rPr>
      </w:pPr>
      <w:r>
        <w:rPr>
          <w:rFonts w:ascii="仿宋" w:eastAsia="仿宋" w:hAnsi="仿宋" w:cs="仿宋" w:hint="eastAsia"/>
          <w:b w:val="0"/>
          <w:color w:val="000000" w:themeColor="text1"/>
        </w:rPr>
        <w:lastRenderedPageBreak/>
        <w:t>四、需要说明的事项</w:t>
      </w:r>
    </w:p>
    <w:p w14:paraId="75B4A002"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（一）关于适用范围。</w:t>
      </w:r>
    </w:p>
    <w:p w14:paraId="2D6B619E" w14:textId="77777777" w:rsidR="00BA0279" w:rsidRDefault="00000000">
      <w:pPr>
        <w:adjustRightInd w:val="0"/>
        <w:snapToGrid w:val="0"/>
        <w:spacing w:line="240" w:lineRule="auto"/>
        <w:ind w:firstLineChars="300" w:firstLine="960"/>
        <w:rPr>
          <w:rFonts w:ascii="仿宋" w:eastAsia="仿宋" w:hAnsi="仿宋" w:cs="仿宋" w:hint="eastAsia"/>
          <w:bCs/>
          <w:sz w:val="32"/>
          <w:szCs w:val="32"/>
        </w:rPr>
      </w:pPr>
      <w:bookmarkStart w:id="0" w:name="_Hlk80723077"/>
      <w:r>
        <w:rPr>
          <w:rFonts w:ascii="仿宋" w:eastAsia="仿宋" w:hAnsi="仿宋" w:cs="仿宋" w:hint="eastAsia"/>
          <w:bCs/>
          <w:sz w:val="32"/>
          <w:szCs w:val="32"/>
        </w:rPr>
        <w:t>《规定》适用范围与</w:t>
      </w:r>
      <w:r>
        <w:rPr>
          <w:rFonts w:ascii="仿宋" w:eastAsia="仿宋" w:hAnsi="仿宋" w:cs="仿宋" w:hint="eastAsia"/>
          <w:bCs/>
          <w:color w:val="000000"/>
          <w:sz w:val="32"/>
          <w:szCs w:val="32"/>
          <w:lang w:val="en"/>
        </w:rPr>
        <w:t>《</w:t>
      </w:r>
      <w:r>
        <w:rPr>
          <w:rFonts w:ascii="仿宋" w:eastAsia="仿宋" w:hAnsi="仿宋" w:cs="仿宋" w:hint="eastAsia"/>
          <w:bCs/>
          <w:color w:val="000000"/>
          <w:sz w:val="32"/>
          <w:szCs w:val="32"/>
        </w:rPr>
        <w:t>试行规定</w:t>
      </w:r>
      <w:r>
        <w:rPr>
          <w:rFonts w:ascii="仿宋" w:eastAsia="仿宋" w:hAnsi="仿宋" w:cs="仿宋" w:hint="eastAsia"/>
          <w:bCs/>
          <w:color w:val="000000"/>
          <w:sz w:val="32"/>
          <w:szCs w:val="32"/>
          <w:lang w:val="en"/>
        </w:rPr>
        <w:t>》</w:t>
      </w:r>
      <w:r>
        <w:rPr>
          <w:rFonts w:ascii="仿宋" w:eastAsia="仿宋" w:hAnsi="仿宋" w:cs="仿宋" w:hint="eastAsia"/>
          <w:bCs/>
          <w:sz w:val="32"/>
          <w:szCs w:val="32"/>
        </w:rPr>
        <w:t>基本一致，进一步突</w:t>
      </w:r>
      <w:r>
        <w:rPr>
          <w:rFonts w:ascii="仿宋" w:eastAsia="仿宋" w:hAnsi="仿宋" w:cs="仿宋" w:hint="eastAsia"/>
          <w:bCs/>
          <w:sz w:val="32"/>
          <w:szCs w:val="32"/>
          <w:lang w:val="en"/>
        </w:rPr>
        <w:t>出港口功能属性，内容上与港口工程建设相衔接，明确为“港口工程建设项目经验收合格后交付使用的港口码头及配套堆场、仓库、客运站、储罐、港池、护岸等经营设施以及公用的防波堤、锚地、航道等设施”。</w:t>
      </w:r>
    </w:p>
    <w:bookmarkEnd w:id="0"/>
    <w:p w14:paraId="0B8CABAA"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《规定》附则明确航道的维护执行《航道养护管理规定》，</w:t>
      </w:r>
      <w:r>
        <w:rPr>
          <w:rFonts w:ascii="仿宋" w:eastAsia="仿宋" w:hAnsi="仿宋" w:cs="仿宋" w:hint="eastAsia"/>
          <w:bCs/>
          <w:color w:val="000000" w:themeColor="text1"/>
          <w:kern w:val="0"/>
          <w:sz w:val="32"/>
          <w:szCs w:val="32"/>
          <w:shd w:val="clear" w:color="auto" w:fill="FFFFFF"/>
        </w:rPr>
        <w:t>仓库、客运站、储罐等设施和安全、环保基础设施等的维护还应当符合国家房屋建筑、石油石化、应急、生态环保等领域法规规定和强制性标准要求。</w:t>
      </w:r>
    </w:p>
    <w:p w14:paraId="2EA25441" w14:textId="77777777" w:rsidR="00BA0279" w:rsidRDefault="00000000">
      <w:pPr>
        <w:pStyle w:val="21"/>
        <w:adjustRightInd w:val="0"/>
        <w:snapToGrid w:val="0"/>
        <w:spacing w:after="0" w:line="240" w:lineRule="auto"/>
        <w:ind w:leftChars="0" w:left="0"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（二）关于维护单位。</w:t>
      </w:r>
    </w:p>
    <w:p w14:paraId="2486FDA2" w14:textId="77777777" w:rsidR="00BA0279" w:rsidRDefault="00000000">
      <w:pPr>
        <w:pStyle w:val="21"/>
        <w:adjustRightInd w:val="0"/>
        <w:snapToGrid w:val="0"/>
        <w:spacing w:after="0" w:line="240" w:lineRule="auto"/>
        <w:ind w:leftChars="95" w:left="199" w:firstLineChars="300" w:firstLine="960"/>
        <w:rPr>
          <w:rFonts w:ascii="仿宋" w:eastAsia="仿宋" w:hAnsi="仿宋" w:cs="仿宋" w:hint="eastAsia"/>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根据《港口法》，明确港口公用基础设施由县级以上人民政府确定的部门或单位进行维护；其他港口基础设施由港口经营人负责维护。并将负责港口基础设施维护的部门、单位、企业统称维护单位。</w:t>
      </w:r>
    </w:p>
    <w:p w14:paraId="69BCF648" w14:textId="77777777" w:rsidR="00BA0279" w:rsidRDefault="00000000">
      <w:pPr>
        <w:pStyle w:val="21"/>
        <w:adjustRightInd w:val="0"/>
        <w:snapToGrid w:val="0"/>
        <w:spacing w:after="0" w:line="240" w:lineRule="auto"/>
        <w:ind w:leftChars="0" w:left="0"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（三）维护管理的原则和制度。</w:t>
      </w:r>
    </w:p>
    <w:p w14:paraId="11411E79" w14:textId="77777777" w:rsidR="00BA0279" w:rsidRDefault="00000000">
      <w:pPr>
        <w:pStyle w:val="21"/>
        <w:adjustRightInd w:val="0"/>
        <w:snapToGrid w:val="0"/>
        <w:spacing w:after="0" w:line="240" w:lineRule="auto"/>
        <w:ind w:leftChars="95" w:left="199"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《规定》提出港口基础设施维护坚持“</w:t>
      </w:r>
      <w:r>
        <w:rPr>
          <w:rFonts w:ascii="仿宋" w:eastAsia="仿宋" w:hAnsi="仿宋" w:cs="仿宋" w:hint="eastAsia"/>
          <w:bCs/>
          <w:color w:val="000000" w:themeColor="text1"/>
          <w:kern w:val="0"/>
          <w:sz w:val="32"/>
          <w:szCs w:val="32"/>
          <w:shd w:val="clear" w:color="auto" w:fill="FFFFFF"/>
        </w:rPr>
        <w:t>预防为主、防治结合、规范及时、绿色环保、安全可靠</w:t>
      </w:r>
      <w:r>
        <w:rPr>
          <w:rFonts w:ascii="仿宋" w:eastAsia="仿宋" w:hAnsi="仿宋" w:cs="仿宋" w:hint="eastAsia"/>
          <w:bCs/>
          <w:color w:val="000000" w:themeColor="text1"/>
          <w:sz w:val="32"/>
          <w:szCs w:val="32"/>
        </w:rPr>
        <w:t>”的维护原则，鼓励应用创新技术和工艺，</w:t>
      </w:r>
      <w:r>
        <w:rPr>
          <w:rFonts w:ascii="仿宋" w:eastAsia="仿宋" w:hAnsi="仿宋" w:cs="仿宋" w:hint="eastAsia"/>
          <w:bCs/>
          <w:color w:val="000000" w:themeColor="text1"/>
          <w:kern w:val="0"/>
          <w:sz w:val="32"/>
          <w:szCs w:val="32"/>
          <w:shd w:val="clear" w:color="auto" w:fill="FFFFFF"/>
        </w:rPr>
        <w:t>贯彻全寿命周期管理理念</w:t>
      </w:r>
      <w:r>
        <w:rPr>
          <w:rFonts w:ascii="仿宋" w:eastAsia="仿宋" w:hAnsi="仿宋" w:cs="仿宋" w:hint="eastAsia"/>
          <w:bCs/>
          <w:color w:val="000000" w:themeColor="text1"/>
          <w:sz w:val="32"/>
          <w:szCs w:val="32"/>
        </w:rPr>
        <w:t>。同时，《规定》通过明确维护计划制定和实施，</w:t>
      </w:r>
      <w:r>
        <w:rPr>
          <w:rFonts w:ascii="仿宋" w:eastAsia="仿宋" w:hAnsi="仿宋" w:cs="仿宋" w:hint="eastAsia"/>
          <w:bCs/>
          <w:color w:val="000000" w:themeColor="text1"/>
          <w:kern w:val="0"/>
          <w:sz w:val="32"/>
          <w:szCs w:val="32"/>
          <w:shd w:val="clear" w:color="auto" w:fill="FFFFFF"/>
        </w:rPr>
        <w:t>检查、保养和维修等日常维护要求，检测评估、专项维修的规则和要求</w:t>
      </w:r>
      <w:r>
        <w:rPr>
          <w:rFonts w:ascii="仿宋" w:eastAsia="仿宋" w:hAnsi="仿宋" w:cs="仿宋" w:hint="eastAsia"/>
          <w:bCs/>
          <w:color w:val="000000" w:themeColor="text1"/>
          <w:sz w:val="32"/>
          <w:szCs w:val="32"/>
        </w:rPr>
        <w:t>，结合信息报送、重点环节报送、监督检查等，建立健全了港口基础设施维护管理制度。</w:t>
      </w:r>
    </w:p>
    <w:p w14:paraId="0A3AB42B" w14:textId="77777777" w:rsidR="00BA0279" w:rsidRDefault="00000000">
      <w:pPr>
        <w:pStyle w:val="21"/>
        <w:adjustRightInd w:val="0"/>
        <w:snapToGrid w:val="0"/>
        <w:spacing w:after="0" w:line="240" w:lineRule="auto"/>
        <w:ind w:leftChars="95" w:left="199"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考虑到用于港口经营的基础设施数量占比大、风险相对高，是维护管理的重点，《规定》与港口经营管理有关规定衔接，明确维护工作纳入安全生产制度体系、与港口经营管理联动，以保障“本质安全”。</w:t>
      </w:r>
    </w:p>
    <w:p w14:paraId="091E8F8B" w14:textId="77777777" w:rsidR="00BA0279" w:rsidRDefault="00000000">
      <w:pPr>
        <w:pStyle w:val="21"/>
        <w:adjustRightInd w:val="0"/>
        <w:snapToGrid w:val="0"/>
        <w:spacing w:after="0" w:line="240" w:lineRule="auto"/>
        <w:ind w:leftChars="0" w:left="0"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（四）关于检测和评估制度。</w:t>
      </w:r>
    </w:p>
    <w:p w14:paraId="74758AA1" w14:textId="77777777" w:rsidR="00BA0279" w:rsidRDefault="00000000">
      <w:pPr>
        <w:pStyle w:val="12"/>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根据相关法规、强制性标准及维护的实践经验，明确了在港口基础设施地基基础、主体结构出现问题或因事故、灾害等造成损坏，</w:t>
      </w:r>
      <w:r>
        <w:rPr>
          <w:rFonts w:ascii="仿宋" w:eastAsia="仿宋" w:hAnsi="仿宋" w:cs="仿宋" w:hint="eastAsia"/>
          <w:color w:val="000000" w:themeColor="text1"/>
          <w:kern w:val="0"/>
          <w:sz w:val="32"/>
          <w:szCs w:val="32"/>
          <w:shd w:val="clear" w:color="auto" w:fill="FFFFFF"/>
        </w:rPr>
        <w:t>达到设计使用年限</w:t>
      </w:r>
      <w:r>
        <w:rPr>
          <w:rFonts w:ascii="仿宋" w:eastAsia="仿宋" w:hAnsi="仿宋" w:cs="仿宋" w:hint="eastAsia"/>
          <w:bCs/>
          <w:color w:val="000000" w:themeColor="text1"/>
          <w:sz w:val="32"/>
          <w:szCs w:val="32"/>
        </w:rPr>
        <w:t>，达到法规和强制性标</w:t>
      </w:r>
      <w:r>
        <w:rPr>
          <w:rFonts w:ascii="仿宋" w:eastAsia="仿宋" w:hAnsi="仿宋" w:cs="仿宋" w:hint="eastAsia"/>
          <w:bCs/>
          <w:color w:val="000000" w:themeColor="text1"/>
          <w:sz w:val="32"/>
          <w:szCs w:val="32"/>
        </w:rPr>
        <w:lastRenderedPageBreak/>
        <w:t>准规定的检测周期等情形，应当由具有相应能力的单位进行检测并出具检测评估报告。</w:t>
      </w:r>
    </w:p>
    <w:p w14:paraId="5C543919" w14:textId="77777777" w:rsidR="00BA0279" w:rsidRDefault="00000000">
      <w:pPr>
        <w:pStyle w:val="12"/>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检测评估报告应确定港口基础设施技术状态，根据《安全生产法》第二十条关于“生产经营单位应当具备本法和有关法律、行政法规和国家标准或行业标准规定的安全生产条件；不具备安全生产条件的，不得从事生产经营活动”要求，《规定》提出了经检测评估确定技术状态不符合安全使用要求的，维护单位应当限制或停止使用，并立即限制、停止使用港口基础设施，设置必要的安全警示标志。</w:t>
      </w:r>
    </w:p>
    <w:p w14:paraId="261F629A" w14:textId="77777777" w:rsidR="00BA0279" w:rsidRDefault="00000000">
      <w:pPr>
        <w:pStyle w:val="12"/>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考虑到检测评估报告在维护管理中的重要性，《规定》明确了检测评估报告内容和编制要求、涉及结构计算的处理方式、以及任何单位和个人不得干扰检测评估工作或伪造、篡改评估报告等要求。</w:t>
      </w:r>
    </w:p>
    <w:p w14:paraId="1D1684B7" w14:textId="77777777" w:rsidR="00BA0279" w:rsidRDefault="00000000">
      <w:pPr>
        <w:pStyle w:val="21"/>
        <w:adjustRightInd w:val="0"/>
        <w:snapToGrid w:val="0"/>
        <w:spacing w:after="0" w:line="240" w:lineRule="auto"/>
        <w:ind w:left="420" w:firstLineChars="100" w:firstLine="32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（五）关于专项维修制度。</w:t>
      </w:r>
    </w:p>
    <w:p w14:paraId="03EE20FF"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对于维修中规模较大、技术复杂、涉及结构安全的专项维修，其目的是为恢复原功能，与新建工程的目的、适用法规等均不同，不宜照搬新建工程的管理和审批程序。为确保专项维修的质量安全，一是提出了对专项维修在设计和施工单位资质能力的要求，并明确</w:t>
      </w:r>
      <w:r>
        <w:rPr>
          <w:rFonts w:ascii="仿宋" w:eastAsia="仿宋" w:hAnsi="仿宋" w:cs="仿宋" w:hint="eastAsia"/>
          <w:bCs/>
          <w:color w:val="000000" w:themeColor="text1"/>
          <w:kern w:val="0"/>
          <w:sz w:val="32"/>
          <w:szCs w:val="32"/>
          <w:shd w:val="clear" w:color="auto" w:fill="FFFFFF"/>
        </w:rPr>
        <w:t>设计文件应当经专家评审，深度应当达到施工图设计要求</w:t>
      </w:r>
      <w:r>
        <w:rPr>
          <w:rFonts w:ascii="仿宋" w:eastAsia="仿宋" w:hAnsi="仿宋" w:cs="仿宋" w:hint="eastAsia"/>
          <w:bCs/>
          <w:color w:val="000000" w:themeColor="text1"/>
          <w:sz w:val="32"/>
          <w:szCs w:val="32"/>
        </w:rPr>
        <w:t>；二是考虑到港口公用基础设施以及客运码头、危险货物码头对公共安全、公众利益影响较大，提出此类专项维修应当实施监理，并鼓励其他工程实施监理；三是明确了专项维修通过核验后方可投入使用，核验资料应向主管部门报送等；四是明确了主管部门对不同类型港口基础设施专项维修核验的监管。</w:t>
      </w:r>
    </w:p>
    <w:p w14:paraId="6174992C" w14:textId="77777777" w:rsidR="00BA0279" w:rsidRDefault="00000000">
      <w:pPr>
        <w:pStyle w:val="12"/>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（六）关于监督检查。</w:t>
      </w:r>
    </w:p>
    <w:p w14:paraId="51251236"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《港口法》《安全生产法》没有直接针对基础设施维护的处罚要求，《规定》提出了交通运输（港口）管理部门应当通过</w:t>
      </w:r>
      <w:r>
        <w:rPr>
          <w:rFonts w:ascii="仿宋" w:eastAsia="仿宋" w:hAnsi="仿宋" w:cs="仿宋" w:hint="eastAsia"/>
          <w:bCs/>
          <w:color w:val="000000" w:themeColor="text1"/>
          <w:kern w:val="0"/>
          <w:sz w:val="32"/>
          <w:szCs w:val="32"/>
          <w:shd w:val="clear" w:color="auto" w:fill="FFFFFF"/>
        </w:rPr>
        <w:t>重点检查或者不定期抽查</w:t>
      </w:r>
      <w:r>
        <w:rPr>
          <w:rFonts w:ascii="仿宋" w:eastAsia="仿宋" w:hAnsi="仿宋" w:cs="仿宋" w:hint="eastAsia"/>
          <w:bCs/>
          <w:color w:val="000000" w:themeColor="text1"/>
          <w:sz w:val="32"/>
          <w:szCs w:val="32"/>
        </w:rPr>
        <w:t>等加强监管，发现不按规定进行检测评估、专项维修等，应当责令维护单位整改等监管措施；其中由交通运输（港口）管理部门作为维护单位并出现</w:t>
      </w:r>
      <w:r>
        <w:rPr>
          <w:rFonts w:ascii="仿宋" w:eastAsia="仿宋" w:hAnsi="仿宋" w:cs="仿宋" w:hint="eastAsia"/>
          <w:bCs/>
          <w:color w:val="000000" w:themeColor="text1"/>
          <w:sz w:val="32"/>
          <w:szCs w:val="32"/>
        </w:rPr>
        <w:lastRenderedPageBreak/>
        <w:t>违规行为的，由其上级交通运输（港口）管理部门责令整改。</w:t>
      </w:r>
    </w:p>
    <w:p w14:paraId="16388AAB" w14:textId="77777777" w:rsidR="00BA0279" w:rsidRDefault="00000000">
      <w:pPr>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考虑负有基础设施维护监管职责的部门较多，《规定》要求维护单位除应当接受交通运输（港口）管理部门监管外，还应当接受依法负有监督管理职责的相关部门的监管。</w:t>
      </w:r>
    </w:p>
    <w:p w14:paraId="122C8EED" w14:textId="77777777" w:rsidR="00BA0279" w:rsidRDefault="00000000">
      <w:pPr>
        <w:pStyle w:val="12"/>
        <w:adjustRightInd w:val="0"/>
        <w:snapToGrid w:val="0"/>
        <w:spacing w:line="240" w:lineRule="auto"/>
        <w:ind w:firstLineChars="300" w:firstLine="960"/>
        <w:rPr>
          <w:rFonts w:ascii="仿宋" w:eastAsia="仿宋" w:hAnsi="仿宋" w:cs="仿宋" w:hint="eastAsia"/>
          <w:bCs/>
          <w:color w:val="000000" w:themeColor="text1"/>
          <w:sz w:val="32"/>
          <w:szCs w:val="32"/>
        </w:rPr>
      </w:pPr>
      <w:r>
        <w:rPr>
          <w:rFonts w:ascii="仿宋" w:eastAsia="仿宋" w:hAnsi="仿宋" w:cs="仿宋" w:hint="eastAsia"/>
          <w:bCs/>
          <w:color w:val="000000" w:themeColor="text1"/>
          <w:sz w:val="32"/>
          <w:szCs w:val="32"/>
        </w:rPr>
        <w:t>为强化用于经营的港口基础设施监管，与《港口经营管理规定》相关要求相衔接，《规定》明确“港口经营人因港口基础设施应当限制或停止使用而达不到经营许可条件的，由所在地交通运输（港口）管理部门责令其停止经营，限期改正；逾期不改正的，吊销其港口经营许可证。”</w:t>
      </w:r>
    </w:p>
    <w:sectPr w:rsidR="00BA027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8B04" w14:textId="77777777" w:rsidR="00C46A63" w:rsidRDefault="00C46A63">
      <w:pPr>
        <w:spacing w:after="0" w:line="240" w:lineRule="auto"/>
      </w:pPr>
      <w:r>
        <w:separator/>
      </w:r>
    </w:p>
  </w:endnote>
  <w:endnote w:type="continuationSeparator" w:id="0">
    <w:p w14:paraId="7FE1A3CB" w14:textId="77777777" w:rsidR="00C46A63" w:rsidRDefault="00C4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259C" w14:textId="77777777" w:rsidR="00BA0279" w:rsidRDefault="00000000">
    <w:pPr>
      <w:pStyle w:val="a4"/>
      <w:jc w:val="center"/>
      <w:rPr>
        <w:rFonts w:hint="eastAsia"/>
        <w:sz w:val="24"/>
        <w:szCs w:val="24"/>
      </w:rPr>
    </w:pP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9F06" w14:textId="77777777" w:rsidR="00C46A63" w:rsidRDefault="00C46A63">
      <w:pPr>
        <w:spacing w:after="0" w:line="240" w:lineRule="auto"/>
      </w:pPr>
      <w:r>
        <w:separator/>
      </w:r>
    </w:p>
  </w:footnote>
  <w:footnote w:type="continuationSeparator" w:id="0">
    <w:p w14:paraId="46D30330" w14:textId="77777777" w:rsidR="00C46A63" w:rsidRDefault="00C46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23"/>
    <w:rsid w:val="000377DF"/>
    <w:rsid w:val="0014746E"/>
    <w:rsid w:val="001D51EC"/>
    <w:rsid w:val="002323B1"/>
    <w:rsid w:val="00242FFC"/>
    <w:rsid w:val="00277168"/>
    <w:rsid w:val="00305C76"/>
    <w:rsid w:val="00350127"/>
    <w:rsid w:val="00364A46"/>
    <w:rsid w:val="00447823"/>
    <w:rsid w:val="00536E51"/>
    <w:rsid w:val="00551239"/>
    <w:rsid w:val="006445CF"/>
    <w:rsid w:val="006A51CE"/>
    <w:rsid w:val="006F377B"/>
    <w:rsid w:val="007448FC"/>
    <w:rsid w:val="0076053D"/>
    <w:rsid w:val="007A7414"/>
    <w:rsid w:val="0088015C"/>
    <w:rsid w:val="00A24066"/>
    <w:rsid w:val="00AC3BB5"/>
    <w:rsid w:val="00B70213"/>
    <w:rsid w:val="00B75A9F"/>
    <w:rsid w:val="00BA0279"/>
    <w:rsid w:val="00BF0BCB"/>
    <w:rsid w:val="00C46A63"/>
    <w:rsid w:val="00C8460A"/>
    <w:rsid w:val="00C9182A"/>
    <w:rsid w:val="00D8783F"/>
    <w:rsid w:val="00DD4EC7"/>
    <w:rsid w:val="00E236C5"/>
    <w:rsid w:val="00FB23A4"/>
    <w:rsid w:val="019B4927"/>
    <w:rsid w:val="02E44FF0"/>
    <w:rsid w:val="043C2B44"/>
    <w:rsid w:val="09D73053"/>
    <w:rsid w:val="12F86E3A"/>
    <w:rsid w:val="1C585773"/>
    <w:rsid w:val="1CA26568"/>
    <w:rsid w:val="1D9C71EF"/>
    <w:rsid w:val="27F02039"/>
    <w:rsid w:val="29045F1D"/>
    <w:rsid w:val="2D5F54B3"/>
    <w:rsid w:val="3BC1696D"/>
    <w:rsid w:val="3E2A3077"/>
    <w:rsid w:val="45516B28"/>
    <w:rsid w:val="49F24E72"/>
    <w:rsid w:val="4E60206E"/>
    <w:rsid w:val="4FE937AF"/>
    <w:rsid w:val="5F3F1217"/>
    <w:rsid w:val="604E087E"/>
    <w:rsid w:val="63F9714C"/>
    <w:rsid w:val="74875605"/>
    <w:rsid w:val="75AD55CB"/>
    <w:rsid w:val="7DFE5B67"/>
    <w:rsid w:val="7E6012A3"/>
    <w:rsid w:val="7F77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40D4"/>
  <w15:docId w15:val="{34C5B604-4180-4F92-9B98-BF3AF857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 w:val="36"/>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21">
    <w:name w:val="Body Text Indent 2"/>
    <w:basedOn w:val="a"/>
    <w:link w:val="22"/>
    <w:qFormat/>
    <w:pPr>
      <w:spacing w:after="120" w:line="480" w:lineRule="auto"/>
      <w:ind w:leftChars="200" w:left="200"/>
    </w:pPr>
  </w:style>
  <w:style w:type="paragraph" w:styleId="a4">
    <w:name w:val="footer"/>
    <w:basedOn w:val="a"/>
    <w:link w:val="a5"/>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1"/>
    <w:link w:val="1"/>
    <w:uiPriority w:val="9"/>
    <w:qFormat/>
    <w:rPr>
      <w:rFonts w:eastAsia="黑体"/>
      <w:b/>
      <w:bCs/>
      <w:kern w:val="44"/>
      <w:sz w:val="36"/>
      <w:szCs w:val="44"/>
    </w:rPr>
  </w:style>
  <w:style w:type="character" w:customStyle="1" w:styleId="20">
    <w:name w:val="标题 2 字符"/>
    <w:basedOn w:val="a1"/>
    <w:link w:val="2"/>
    <w:uiPriority w:val="9"/>
    <w:qFormat/>
    <w:rPr>
      <w:rFonts w:asciiTheme="majorHAnsi" w:eastAsia="黑体" w:hAnsiTheme="majorHAnsi" w:cstheme="majorBidi"/>
      <w:b/>
      <w:bCs/>
      <w:sz w:val="32"/>
      <w:szCs w:val="32"/>
    </w:rPr>
  </w:style>
  <w:style w:type="character" w:customStyle="1" w:styleId="30">
    <w:name w:val="标题 3 字符"/>
    <w:basedOn w:val="a1"/>
    <w:link w:val="3"/>
    <w:qFormat/>
    <w:rPr>
      <w:rFonts w:ascii="Calibri" w:eastAsia="宋体" w:hAnsi="Calibri" w:cs="Times New Roman"/>
      <w:b/>
      <w:sz w:val="32"/>
      <w:szCs w:val="24"/>
    </w:rPr>
  </w:style>
  <w:style w:type="character" w:customStyle="1" w:styleId="a5">
    <w:name w:val="页脚 字符"/>
    <w:link w:val="a4"/>
    <w:uiPriority w:val="99"/>
    <w:qFormat/>
    <w:rPr>
      <w:sz w:val="18"/>
      <w:szCs w:val="18"/>
    </w:rPr>
  </w:style>
  <w:style w:type="character" w:customStyle="1" w:styleId="22">
    <w:name w:val="正文文本缩进 2 字符"/>
    <w:basedOn w:val="a1"/>
    <w:link w:val="21"/>
    <w:qFormat/>
    <w:rPr>
      <w:rFonts w:ascii="Calibri" w:eastAsia="宋体" w:hAnsi="Calibri" w:cs="Times New Roman"/>
      <w:szCs w:val="24"/>
    </w:rPr>
  </w:style>
  <w:style w:type="character" w:customStyle="1" w:styleId="11">
    <w:name w:val="页脚 字符1"/>
    <w:basedOn w:val="a1"/>
    <w:uiPriority w:val="99"/>
    <w:semiHidden/>
    <w:qFormat/>
    <w:rPr>
      <w:rFonts w:ascii="Calibri" w:eastAsia="宋体" w:hAnsi="Calibri" w:cs="Times New Roman"/>
      <w:sz w:val="18"/>
      <w:szCs w:val="18"/>
    </w:rPr>
  </w:style>
  <w:style w:type="paragraph" w:customStyle="1" w:styleId="12">
    <w:name w:val="列表段落1"/>
    <w:basedOn w:val="a"/>
    <w:qFormat/>
    <w:pPr>
      <w:ind w:firstLineChars="200" w:firstLine="420"/>
    </w:pPr>
    <w:rPr>
      <w:szCs w:val="22"/>
    </w:rPr>
  </w:style>
  <w:style w:type="character" w:customStyle="1" w:styleId="a7">
    <w:name w:val="页眉 字符"/>
    <w:basedOn w:val="a1"/>
    <w:link w:val="a6"/>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 moc</dc:creator>
  <cp:lastModifiedBy>surface</cp:lastModifiedBy>
  <cp:revision>2</cp:revision>
  <cp:lastPrinted>2021-09-18T09:31:00Z</cp:lastPrinted>
  <dcterms:created xsi:type="dcterms:W3CDTF">2025-05-13T06:46:00Z</dcterms:created>
  <dcterms:modified xsi:type="dcterms:W3CDTF">2025-05-13T06:46:00Z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