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FE" w:rsidRDefault="001160FE" w:rsidP="001160FE">
      <w:pPr>
        <w:adjustRightInd w:val="0"/>
        <w:snapToGrid w:val="0"/>
        <w:spacing w:line="360" w:lineRule="auto"/>
        <w:rPr>
          <w:rFonts w:ascii="黑体" w:eastAsia="黑体" w:hAnsi="黑体" w:cs="华文细黑" w:hint="eastAsia"/>
          <w:color w:val="000000"/>
          <w:sz w:val="32"/>
          <w:szCs w:val="32"/>
        </w:rPr>
      </w:pPr>
      <w:bookmarkStart w:id="0" w:name="_GoBack"/>
      <w:r>
        <w:rPr>
          <w:rFonts w:ascii="黑体" w:eastAsia="黑体" w:hAnsi="黑体" w:cs="华文细黑" w:hint="eastAsia"/>
          <w:color w:val="000000"/>
          <w:sz w:val="32"/>
          <w:szCs w:val="32"/>
        </w:rPr>
        <w:t>附件</w:t>
      </w:r>
      <w:r>
        <w:rPr>
          <w:rFonts w:ascii="黑体" w:eastAsia="黑体" w:hAnsi="黑体" w:hint="eastAsia"/>
          <w:color w:val="000000"/>
          <w:sz w:val="32"/>
          <w:szCs w:val="32"/>
        </w:rPr>
        <w:t>1</w:t>
      </w:r>
    </w:p>
    <w:p w:rsidR="001160FE" w:rsidRDefault="001160FE" w:rsidP="001160FE">
      <w:pPr>
        <w:adjustRightInd w:val="0"/>
        <w:snapToGrid w:val="0"/>
        <w:spacing w:line="360" w:lineRule="auto"/>
        <w:rPr>
          <w:rFonts w:eastAsia="黑体" w:cs="华文细黑"/>
          <w:color w:val="000000"/>
          <w:sz w:val="32"/>
          <w:szCs w:val="32"/>
        </w:rPr>
      </w:pPr>
    </w:p>
    <w:p w:rsidR="001160FE" w:rsidRDefault="001160FE" w:rsidP="001160FE">
      <w:pPr>
        <w:adjustRightInd w:val="0"/>
        <w:snapToGrid w:val="0"/>
        <w:spacing w:line="360" w:lineRule="auto"/>
        <w:jc w:val="center"/>
        <w:rPr>
          <w:rFonts w:eastAsia="黑体" w:cs="华文细黑"/>
          <w:color w:val="000000"/>
          <w:sz w:val="36"/>
          <w:szCs w:val="32"/>
        </w:rPr>
      </w:pPr>
      <w:r>
        <w:rPr>
          <w:rFonts w:eastAsia="黑体" w:cs="华文细黑" w:hint="eastAsia"/>
          <w:color w:val="000000"/>
          <w:sz w:val="36"/>
          <w:szCs w:val="32"/>
        </w:rPr>
        <w:t>城市绿色货运配送示范工程绩效考核评价指标体系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099"/>
        <w:gridCol w:w="5529"/>
        <w:gridCol w:w="900"/>
      </w:tblGrid>
      <w:tr w:rsidR="001160FE" w:rsidTr="00B23AE0">
        <w:trPr>
          <w:tblHeader/>
        </w:trPr>
        <w:tc>
          <w:tcPr>
            <w:tcW w:w="994" w:type="dxa"/>
            <w:tcBorders>
              <w:tl2br w:val="nil"/>
              <w:tr2bl w:val="nil"/>
            </w:tcBorders>
            <w:vAlign w:val="center"/>
          </w:tcPr>
          <w:bookmarkEnd w:id="0"/>
          <w:p w:rsidR="001160FE" w:rsidRDefault="001160FE" w:rsidP="00B23AE0">
            <w:pPr>
              <w:snapToGrid w:val="0"/>
              <w:jc w:val="center"/>
              <w:rPr>
                <w:rFonts w:eastAsia="仿宋_GB2312" w:cs="华文细黑"/>
                <w:b/>
                <w:color w:val="000000"/>
                <w:sz w:val="28"/>
                <w:szCs w:val="28"/>
              </w:rPr>
            </w:pPr>
            <w:r>
              <w:rPr>
                <w:rFonts w:eastAsia="仿宋_GB2312" w:cs="华文细黑" w:hint="eastAsia"/>
                <w:b/>
                <w:color w:val="000000"/>
                <w:sz w:val="28"/>
                <w:szCs w:val="28"/>
              </w:rPr>
              <w:t>序号</w:t>
            </w:r>
          </w:p>
        </w:tc>
        <w:tc>
          <w:tcPr>
            <w:tcW w:w="1099" w:type="dxa"/>
            <w:tcBorders>
              <w:tl2br w:val="nil"/>
              <w:tr2bl w:val="nil"/>
            </w:tcBorders>
            <w:vAlign w:val="center"/>
          </w:tcPr>
          <w:p w:rsidR="001160FE" w:rsidRDefault="001160FE" w:rsidP="00B23AE0">
            <w:pPr>
              <w:snapToGrid w:val="0"/>
              <w:jc w:val="center"/>
              <w:rPr>
                <w:rFonts w:eastAsia="仿宋_GB2312" w:cs="华文细黑" w:hint="eastAsia"/>
                <w:b/>
                <w:color w:val="000000"/>
                <w:sz w:val="28"/>
                <w:szCs w:val="28"/>
              </w:rPr>
            </w:pPr>
            <w:r>
              <w:rPr>
                <w:rFonts w:eastAsia="仿宋_GB2312" w:cs="华文细黑" w:hint="eastAsia"/>
                <w:b/>
                <w:color w:val="000000"/>
                <w:sz w:val="28"/>
                <w:szCs w:val="28"/>
              </w:rPr>
              <w:t>指标</w:t>
            </w:r>
          </w:p>
          <w:p w:rsidR="001160FE" w:rsidRDefault="001160FE" w:rsidP="00B23AE0">
            <w:pPr>
              <w:snapToGrid w:val="0"/>
              <w:jc w:val="center"/>
              <w:rPr>
                <w:rFonts w:eastAsia="仿宋_GB2312" w:cs="华文细黑" w:hint="eastAsia"/>
                <w:b/>
                <w:color w:val="000000"/>
                <w:sz w:val="28"/>
                <w:szCs w:val="28"/>
              </w:rPr>
            </w:pPr>
            <w:r>
              <w:rPr>
                <w:rFonts w:eastAsia="仿宋_GB2312" w:cs="华文细黑" w:hint="eastAsia"/>
                <w:b/>
                <w:color w:val="000000"/>
                <w:sz w:val="28"/>
                <w:szCs w:val="28"/>
              </w:rPr>
              <w:t>分类</w:t>
            </w:r>
          </w:p>
        </w:tc>
        <w:tc>
          <w:tcPr>
            <w:tcW w:w="5529" w:type="dxa"/>
            <w:tcBorders>
              <w:tl2br w:val="nil"/>
              <w:tr2bl w:val="nil"/>
            </w:tcBorders>
            <w:vAlign w:val="center"/>
          </w:tcPr>
          <w:p w:rsidR="001160FE" w:rsidRDefault="001160FE" w:rsidP="00B23AE0">
            <w:pPr>
              <w:snapToGrid w:val="0"/>
              <w:jc w:val="center"/>
              <w:rPr>
                <w:rFonts w:eastAsia="仿宋_GB2312" w:cs="华文细黑"/>
                <w:b/>
                <w:color w:val="000000"/>
                <w:sz w:val="28"/>
                <w:szCs w:val="28"/>
              </w:rPr>
            </w:pPr>
            <w:r>
              <w:rPr>
                <w:rFonts w:eastAsia="仿宋_GB2312" w:cs="华文细黑" w:hint="eastAsia"/>
                <w:b/>
                <w:color w:val="000000"/>
                <w:sz w:val="28"/>
                <w:szCs w:val="28"/>
              </w:rPr>
              <w:t>指标内容</w:t>
            </w:r>
          </w:p>
        </w:tc>
        <w:tc>
          <w:tcPr>
            <w:tcW w:w="900" w:type="dxa"/>
            <w:tcBorders>
              <w:tl2br w:val="nil"/>
              <w:tr2bl w:val="nil"/>
            </w:tcBorders>
            <w:vAlign w:val="center"/>
          </w:tcPr>
          <w:p w:rsidR="001160FE" w:rsidRDefault="001160FE" w:rsidP="00B23AE0">
            <w:pPr>
              <w:snapToGrid w:val="0"/>
              <w:jc w:val="center"/>
              <w:rPr>
                <w:rFonts w:eastAsia="仿宋_GB2312" w:cs="华文细黑" w:hint="eastAsia"/>
                <w:b/>
                <w:color w:val="000000"/>
                <w:sz w:val="28"/>
                <w:szCs w:val="28"/>
              </w:rPr>
            </w:pPr>
            <w:r>
              <w:rPr>
                <w:rFonts w:eastAsia="仿宋_GB2312" w:cs="华文细黑" w:hint="eastAsia"/>
                <w:b/>
                <w:color w:val="000000"/>
                <w:sz w:val="28"/>
                <w:szCs w:val="28"/>
              </w:rPr>
              <w:t>考核</w:t>
            </w:r>
          </w:p>
          <w:p w:rsidR="001160FE" w:rsidRDefault="001160FE" w:rsidP="00B23AE0">
            <w:pPr>
              <w:snapToGrid w:val="0"/>
              <w:jc w:val="center"/>
              <w:rPr>
                <w:rFonts w:eastAsia="仿宋_GB2312" w:cs="华文细黑"/>
                <w:b/>
                <w:color w:val="000000"/>
                <w:sz w:val="28"/>
                <w:szCs w:val="28"/>
              </w:rPr>
            </w:pPr>
            <w:r>
              <w:rPr>
                <w:rFonts w:eastAsia="仿宋_GB2312" w:cs="华文细黑" w:hint="eastAsia"/>
                <w:b/>
                <w:color w:val="000000"/>
                <w:sz w:val="28"/>
                <w:szCs w:val="28"/>
              </w:rPr>
              <w:t>类型</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w:t>
            </w:r>
          </w:p>
        </w:tc>
        <w:tc>
          <w:tcPr>
            <w:tcW w:w="1099" w:type="dxa"/>
            <w:vMerge w:val="restart"/>
            <w:tcBorders>
              <w:tl2br w:val="nil"/>
              <w:tr2bl w:val="nil"/>
            </w:tcBorders>
            <w:vAlign w:val="center"/>
          </w:tcPr>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体制机制保障</w:t>
            </w:r>
          </w:p>
        </w:tc>
        <w:tc>
          <w:tcPr>
            <w:tcW w:w="5529" w:type="dxa"/>
            <w:tcBorders>
              <w:tl2br w:val="nil"/>
              <w:tr2bl w:val="nil"/>
            </w:tcBorders>
            <w:vAlign w:val="center"/>
          </w:tcPr>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城市配送多部门协同工作机制建设情况</w:t>
            </w:r>
          </w:p>
        </w:tc>
        <w:tc>
          <w:tcPr>
            <w:tcW w:w="900" w:type="dxa"/>
            <w:tcBorders>
              <w:tl2br w:val="nil"/>
              <w:tr2bl w:val="nil"/>
            </w:tcBorders>
            <w:vAlign w:val="center"/>
          </w:tcPr>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考核</w:t>
            </w:r>
          </w:p>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2</w:t>
            </w:r>
          </w:p>
        </w:tc>
        <w:tc>
          <w:tcPr>
            <w:tcW w:w="1099" w:type="dxa"/>
            <w:vMerge/>
            <w:tcBorders>
              <w:tl2br w:val="nil"/>
              <w:tr2bl w:val="nil"/>
            </w:tcBorders>
            <w:vAlign w:val="center"/>
          </w:tcPr>
          <w:p w:rsidR="001160FE" w:rsidRDefault="001160FE" w:rsidP="00B23AE0">
            <w:pPr>
              <w:snapToGrid w:val="0"/>
              <w:jc w:val="center"/>
              <w:rPr>
                <w:rFonts w:eastAsia="仿宋_GB2312" w:cs="华文细黑"/>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行业主管部门制定</w:t>
            </w:r>
          </w:p>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城市配送企业运营服务规范</w:t>
            </w:r>
          </w:p>
        </w:tc>
        <w:tc>
          <w:tcPr>
            <w:tcW w:w="900" w:type="dxa"/>
            <w:tcBorders>
              <w:tl2br w:val="nil"/>
              <w:tr2bl w:val="nil"/>
            </w:tcBorders>
            <w:vAlign w:val="center"/>
          </w:tcPr>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参考</w:t>
            </w:r>
          </w:p>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3</w:t>
            </w:r>
          </w:p>
        </w:tc>
        <w:tc>
          <w:tcPr>
            <w:tcW w:w="1099" w:type="dxa"/>
            <w:vMerge/>
            <w:tcBorders>
              <w:tl2br w:val="nil"/>
              <w:tr2bl w:val="nil"/>
            </w:tcBorders>
            <w:vAlign w:val="center"/>
          </w:tcPr>
          <w:p w:rsidR="001160FE" w:rsidRDefault="001160FE" w:rsidP="00B23AE0">
            <w:pPr>
              <w:snapToGrid w:val="0"/>
              <w:jc w:val="center"/>
              <w:rPr>
                <w:rFonts w:eastAsia="仿宋_GB2312" w:cs="华文细黑"/>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行业主管部门制定</w:t>
            </w:r>
          </w:p>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城市配送企业考核管理办法</w:t>
            </w:r>
          </w:p>
        </w:tc>
        <w:tc>
          <w:tcPr>
            <w:tcW w:w="900" w:type="dxa"/>
            <w:tcBorders>
              <w:tl2br w:val="nil"/>
              <w:tr2bl w:val="nil"/>
            </w:tcBorders>
            <w:vAlign w:val="center"/>
          </w:tcPr>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考核</w:t>
            </w:r>
          </w:p>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4</w:t>
            </w:r>
          </w:p>
        </w:tc>
        <w:tc>
          <w:tcPr>
            <w:tcW w:w="1099" w:type="dxa"/>
            <w:vMerge/>
            <w:tcBorders>
              <w:tl2br w:val="nil"/>
              <w:tr2bl w:val="nil"/>
            </w:tcBorders>
            <w:vAlign w:val="center"/>
          </w:tcPr>
          <w:p w:rsidR="001160FE" w:rsidRDefault="001160FE" w:rsidP="00B23AE0">
            <w:pPr>
              <w:snapToGrid w:val="0"/>
              <w:jc w:val="center"/>
              <w:rPr>
                <w:rFonts w:eastAsia="仿宋_GB2312" w:cs="华文细黑"/>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省、市政府在新能源车购置与营运、配送中心建设、先进组织模式推广应用、市场主体培育等方面出台相关扶持政策</w:t>
            </w:r>
          </w:p>
        </w:tc>
        <w:tc>
          <w:tcPr>
            <w:tcW w:w="900" w:type="dxa"/>
            <w:tcBorders>
              <w:tl2br w:val="nil"/>
              <w:tr2bl w:val="nil"/>
            </w:tcBorders>
            <w:vAlign w:val="center"/>
          </w:tcPr>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考核</w:t>
            </w:r>
          </w:p>
          <w:p w:rsidR="001160FE" w:rsidRDefault="001160FE" w:rsidP="00B23AE0">
            <w:pPr>
              <w:snapToGrid w:val="0"/>
              <w:jc w:val="center"/>
              <w:rPr>
                <w:rFonts w:eastAsia="仿宋_GB2312" w:cs="华文细黑"/>
                <w:color w:val="000000"/>
                <w:sz w:val="28"/>
                <w:szCs w:val="28"/>
              </w:rPr>
            </w:pPr>
            <w:r>
              <w:rPr>
                <w:rFonts w:eastAsia="仿宋_GB2312" w:cs="华文细黑"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5</w:t>
            </w:r>
          </w:p>
        </w:tc>
        <w:tc>
          <w:tcPr>
            <w:tcW w:w="1099" w:type="dxa"/>
            <w:vMerge w:val="restart"/>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城市配送物流基础设施</w:t>
            </w: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干支衔接型货运枢纽（物流园区）</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6</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公共配送中心</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312"/>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7</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末端公共配送站（货物装卸点）</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参考</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8</w:t>
            </w:r>
          </w:p>
        </w:tc>
        <w:tc>
          <w:tcPr>
            <w:tcW w:w="1099" w:type="dxa"/>
            <w:vMerge w:val="restart"/>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城市配送车辆及配套设施</w:t>
            </w: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新增新能源城市配送车辆</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338"/>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9</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新增新能源城市配送车辆占新增（更新）城市配送车辆的比例</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1021"/>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10</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hint="eastAsia"/>
                <w:color w:val="000000"/>
                <w:sz w:val="28"/>
                <w:szCs w:val="28"/>
              </w:rPr>
            </w:pPr>
            <w:r>
              <w:rPr>
                <w:rFonts w:eastAsia="仿宋_GB2312" w:hint="eastAsia"/>
                <w:color w:val="000000"/>
                <w:sz w:val="28"/>
                <w:szCs w:val="28"/>
              </w:rPr>
              <w:t>城市配送新能源纯电动货车与充电桩</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的配置比例</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338"/>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11</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冷藏保温配送车辆占城市配送车辆比重</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参考</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338"/>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12</w:t>
            </w:r>
          </w:p>
        </w:tc>
        <w:tc>
          <w:tcPr>
            <w:tcW w:w="1099" w:type="dxa"/>
            <w:vMerge w:val="restart"/>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便利</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通行</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政策</w:t>
            </w: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新能源物流配送车辆便利通行政策</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338"/>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13</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城市货运配送需求调查预测制度</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338"/>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14</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配送车辆分时、错时、分类通行和停放措施出台情况</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338"/>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lastRenderedPageBreak/>
              <w:t>15</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设置城市货运配送车辆临时停靠点</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参考</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1461"/>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16</w:t>
            </w:r>
          </w:p>
        </w:tc>
        <w:tc>
          <w:tcPr>
            <w:tcW w:w="109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先进配送组织模式</w:t>
            </w: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中心区大型超市（卖场）、连锁店等商贸流通企业采用共同（集中、夜间）配送的比例</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17</w:t>
            </w:r>
          </w:p>
        </w:tc>
        <w:tc>
          <w:tcPr>
            <w:tcW w:w="1099" w:type="dxa"/>
            <w:vMerge w:val="restart"/>
            <w:tcBorders>
              <w:tl2br w:val="nil"/>
              <w:tr2bl w:val="nil"/>
            </w:tcBorders>
            <w:vAlign w:val="center"/>
          </w:tcPr>
          <w:p w:rsidR="001160FE" w:rsidRDefault="001160FE" w:rsidP="00B23AE0">
            <w:pPr>
              <w:snapToGrid w:val="0"/>
              <w:jc w:val="center"/>
              <w:rPr>
                <w:rFonts w:eastAsia="仿宋_GB2312" w:hint="eastAsia"/>
                <w:color w:val="000000"/>
                <w:sz w:val="28"/>
                <w:szCs w:val="28"/>
              </w:rPr>
            </w:pPr>
            <w:r>
              <w:rPr>
                <w:rFonts w:eastAsia="仿宋_GB2312" w:hint="eastAsia"/>
                <w:color w:val="000000"/>
                <w:sz w:val="28"/>
                <w:szCs w:val="28"/>
              </w:rPr>
              <w:t>信息化</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建设</w:t>
            </w: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货运配送公共信息服务平台</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rPr>
          <w:trHeight w:val="598"/>
        </w:trPr>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18</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企业城市配送信息系统</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19</w:t>
            </w:r>
          </w:p>
        </w:tc>
        <w:tc>
          <w:tcPr>
            <w:tcW w:w="109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市场主体培育</w:t>
            </w: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运作高效、服务规范的专业城市配送企业</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20</w:t>
            </w:r>
          </w:p>
        </w:tc>
        <w:tc>
          <w:tcPr>
            <w:tcW w:w="1099" w:type="dxa"/>
            <w:vMerge w:val="restart"/>
            <w:tcBorders>
              <w:tl2br w:val="nil"/>
              <w:tr2bl w:val="nil"/>
            </w:tcBorders>
            <w:vAlign w:val="center"/>
          </w:tcPr>
          <w:p w:rsidR="001160FE" w:rsidRDefault="001160FE" w:rsidP="00B23AE0">
            <w:pPr>
              <w:snapToGrid w:val="0"/>
              <w:jc w:val="center"/>
              <w:rPr>
                <w:rFonts w:eastAsia="仿宋_GB2312" w:hint="eastAsia"/>
                <w:color w:val="000000"/>
                <w:sz w:val="28"/>
                <w:szCs w:val="28"/>
              </w:rPr>
            </w:pPr>
            <w:r>
              <w:rPr>
                <w:rFonts w:eastAsia="仿宋_GB2312" w:hint="eastAsia"/>
                <w:color w:val="000000"/>
                <w:sz w:val="28"/>
                <w:szCs w:val="28"/>
              </w:rPr>
              <w:t>物流</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降本</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增效</w:t>
            </w: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城市配送车辆利用效率较示范建设期初提高的比例</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21</w:t>
            </w:r>
          </w:p>
        </w:tc>
        <w:tc>
          <w:tcPr>
            <w:tcW w:w="1099" w:type="dxa"/>
            <w:vMerge/>
            <w:tcBorders>
              <w:tl2br w:val="nil"/>
              <w:tr2bl w:val="nil"/>
            </w:tcBorders>
            <w:vAlign w:val="center"/>
          </w:tcPr>
          <w:p w:rsidR="001160FE" w:rsidRDefault="001160FE" w:rsidP="00B23AE0">
            <w:pPr>
              <w:snapToGrid w:val="0"/>
              <w:jc w:val="center"/>
              <w:rPr>
                <w:rFonts w:eastAsia="仿宋_GB2312"/>
                <w:color w:val="000000"/>
                <w:sz w:val="28"/>
                <w:szCs w:val="28"/>
              </w:rPr>
            </w:pP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城市配送成本较示范建设期初降低的比例</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r w:rsidR="001160FE" w:rsidTr="00B23AE0">
        <w:tc>
          <w:tcPr>
            <w:tcW w:w="994"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22</w:t>
            </w:r>
          </w:p>
        </w:tc>
        <w:tc>
          <w:tcPr>
            <w:tcW w:w="109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节能</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减排</w:t>
            </w:r>
          </w:p>
        </w:tc>
        <w:tc>
          <w:tcPr>
            <w:tcW w:w="5529"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城市配送车辆单位周转量能耗较示范建设期初降低的比例</w:t>
            </w:r>
          </w:p>
        </w:tc>
        <w:tc>
          <w:tcPr>
            <w:tcW w:w="900" w:type="dxa"/>
            <w:tcBorders>
              <w:tl2br w:val="nil"/>
              <w:tr2bl w:val="nil"/>
            </w:tcBorders>
            <w:vAlign w:val="center"/>
          </w:tcPr>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考核</w:t>
            </w:r>
          </w:p>
          <w:p w:rsidR="001160FE" w:rsidRDefault="001160FE" w:rsidP="00B23AE0">
            <w:pPr>
              <w:snapToGrid w:val="0"/>
              <w:jc w:val="center"/>
              <w:rPr>
                <w:rFonts w:eastAsia="仿宋_GB2312"/>
                <w:color w:val="000000"/>
                <w:sz w:val="28"/>
                <w:szCs w:val="28"/>
              </w:rPr>
            </w:pPr>
            <w:r>
              <w:rPr>
                <w:rFonts w:eastAsia="仿宋_GB2312" w:hint="eastAsia"/>
                <w:color w:val="000000"/>
                <w:sz w:val="28"/>
                <w:szCs w:val="28"/>
              </w:rPr>
              <w:t>指标</w:t>
            </w:r>
          </w:p>
        </w:tc>
      </w:tr>
    </w:tbl>
    <w:p w:rsidR="001160FE" w:rsidRDefault="001160FE" w:rsidP="001160FE">
      <w:pPr>
        <w:widowControl/>
        <w:snapToGrid w:val="0"/>
        <w:spacing w:line="360" w:lineRule="auto"/>
        <w:ind w:firstLineChars="200" w:firstLine="560"/>
        <w:rPr>
          <w:rFonts w:eastAsia="仿宋_GB2312"/>
          <w:color w:val="FF0000"/>
          <w:sz w:val="28"/>
          <w:szCs w:val="28"/>
        </w:rPr>
        <w:sectPr w:rsidR="001160FE">
          <w:pgSz w:w="11906" w:h="16838"/>
          <w:pgMar w:top="1440" w:right="1800" w:bottom="1440" w:left="1800" w:header="851" w:footer="992" w:gutter="0"/>
          <w:cols w:space="720"/>
          <w:docGrid w:type="lines" w:linePitch="312"/>
        </w:sectPr>
      </w:pPr>
    </w:p>
    <w:p w:rsidR="001160FE" w:rsidRDefault="001160FE" w:rsidP="001160FE">
      <w:pPr>
        <w:snapToGrid w:val="0"/>
        <w:spacing w:line="360" w:lineRule="auto"/>
        <w:rPr>
          <w:rFonts w:eastAsia="微软雅黑" w:hint="eastAsia"/>
          <w:b/>
          <w:sz w:val="36"/>
          <w:szCs w:val="36"/>
        </w:rPr>
      </w:pPr>
    </w:p>
    <w:p w:rsidR="001160FE" w:rsidRDefault="001160FE" w:rsidP="001160FE">
      <w:pPr>
        <w:snapToGrid w:val="0"/>
        <w:spacing w:line="360" w:lineRule="auto"/>
        <w:jc w:val="center"/>
        <w:rPr>
          <w:rFonts w:eastAsia="黑体" w:hint="eastAsia"/>
          <w:sz w:val="36"/>
          <w:szCs w:val="36"/>
        </w:rPr>
      </w:pPr>
      <w:r>
        <w:rPr>
          <w:rFonts w:eastAsia="黑体" w:hint="eastAsia"/>
          <w:sz w:val="36"/>
          <w:szCs w:val="36"/>
        </w:rPr>
        <w:t>《城市绿色货运配送示范工程绩效考核评价</w:t>
      </w:r>
    </w:p>
    <w:p w:rsidR="001160FE" w:rsidRDefault="001160FE" w:rsidP="001160FE">
      <w:pPr>
        <w:snapToGrid w:val="0"/>
        <w:spacing w:line="360" w:lineRule="auto"/>
        <w:jc w:val="center"/>
        <w:rPr>
          <w:rFonts w:eastAsia="黑体"/>
          <w:sz w:val="36"/>
          <w:szCs w:val="36"/>
        </w:rPr>
      </w:pPr>
      <w:r>
        <w:rPr>
          <w:rFonts w:eastAsia="黑体" w:hint="eastAsia"/>
          <w:sz w:val="36"/>
          <w:szCs w:val="36"/>
        </w:rPr>
        <w:t>指标体系》说明</w:t>
      </w:r>
    </w:p>
    <w:p w:rsidR="001160FE" w:rsidRDefault="001160FE" w:rsidP="001160FE">
      <w:pPr>
        <w:snapToGrid w:val="0"/>
        <w:spacing w:line="360" w:lineRule="auto"/>
        <w:ind w:firstLineChars="200" w:firstLine="640"/>
        <w:rPr>
          <w:rFonts w:eastAsia="仿宋_GB2312" w:hint="eastAsia"/>
          <w:sz w:val="32"/>
        </w:rPr>
      </w:pPr>
    </w:p>
    <w:p w:rsidR="001160FE" w:rsidRDefault="001160FE" w:rsidP="001160FE">
      <w:pPr>
        <w:snapToGrid w:val="0"/>
        <w:spacing w:line="360" w:lineRule="auto"/>
        <w:ind w:firstLineChars="200" w:firstLine="640"/>
        <w:rPr>
          <w:rFonts w:eastAsia="黑体" w:hint="eastAsia"/>
          <w:bCs/>
          <w:sz w:val="32"/>
          <w:szCs w:val="21"/>
        </w:rPr>
      </w:pPr>
      <w:r>
        <w:rPr>
          <w:rFonts w:eastAsia="黑体" w:hint="eastAsia"/>
          <w:bCs/>
          <w:sz w:val="32"/>
          <w:szCs w:val="21"/>
        </w:rPr>
        <w:t>一、体制机制保障</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1</w:t>
      </w:r>
      <w:r>
        <w:rPr>
          <w:rFonts w:eastAsia="黑体" w:hint="eastAsia"/>
          <w:bCs/>
          <w:sz w:val="32"/>
          <w:szCs w:val="21"/>
        </w:rPr>
        <w:t>．城市配送多部门协同工作机制建设情况</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城市人民政府跨部门联动工作机制的建立及落实情况，特别是在城市配送网络节点体系规划建设、货运配送车辆城区通行总量调控、夜间配送等先进组织模式推广应用等方面是否建立协同联动工作机制。</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2</w:t>
      </w:r>
      <w:r>
        <w:rPr>
          <w:rFonts w:eastAsia="黑体" w:hint="eastAsia"/>
          <w:bCs/>
          <w:sz w:val="32"/>
          <w:szCs w:val="21"/>
        </w:rPr>
        <w:t>．行业主管部门制定城市配送企业运营服务规范</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示范建设期内，行业主管部门发布实施城市配送企业运营服务规范，明确示范企业从事城市配送服务的基本要求、服务标准、质量保障等，强化配送各环节的监管和责任界定，提升城市配送服务水平。</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3</w:t>
      </w:r>
      <w:r>
        <w:rPr>
          <w:rFonts w:eastAsia="黑体" w:hint="eastAsia"/>
          <w:bCs/>
          <w:sz w:val="32"/>
          <w:szCs w:val="21"/>
        </w:rPr>
        <w:t>．行业主管部门制定城市货运配送企业考核管理办法</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行业主管部门制定出台城市配送企业考核管理办法，明确考核评价的内容、标准、方法和周期，定期对示范企业开展考核评估，评估结果作为调整优化城市配送运力调控和车辆城区通行证管控政策的重要依据。同时，对排名靠后的企业重点督导，引导城市配送企业规范健康发展。</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lastRenderedPageBreak/>
        <w:t>4</w:t>
      </w:r>
      <w:r>
        <w:rPr>
          <w:rFonts w:eastAsia="黑体" w:hint="eastAsia"/>
          <w:bCs/>
          <w:sz w:val="32"/>
          <w:szCs w:val="21"/>
        </w:rPr>
        <w:t>．省、市相关管理部门出台相关扶持政策</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省、市人民政府设立专项资金支持城市绿色货运配送发展，在新能源车购置与营运、配送中心建设、先进组织模式推广应用、公共信息平台建设、市场主体培育等方面给予资金支持。</w:t>
      </w:r>
    </w:p>
    <w:p w:rsidR="001160FE" w:rsidRDefault="001160FE" w:rsidP="001160FE">
      <w:pPr>
        <w:snapToGrid w:val="0"/>
        <w:spacing w:line="360" w:lineRule="auto"/>
        <w:ind w:firstLineChars="200" w:firstLine="640"/>
        <w:rPr>
          <w:rFonts w:eastAsia="黑体" w:hint="eastAsia"/>
          <w:bCs/>
          <w:sz w:val="32"/>
          <w:szCs w:val="21"/>
        </w:rPr>
      </w:pPr>
      <w:r>
        <w:rPr>
          <w:rFonts w:eastAsia="黑体" w:hint="eastAsia"/>
          <w:bCs/>
          <w:sz w:val="32"/>
          <w:szCs w:val="21"/>
        </w:rPr>
        <w:t>二、城市配送物流基础设施</w:t>
      </w:r>
    </w:p>
    <w:p w:rsidR="001160FE" w:rsidRDefault="001160FE" w:rsidP="001160FE">
      <w:pPr>
        <w:snapToGrid w:val="0"/>
        <w:spacing w:line="360" w:lineRule="auto"/>
        <w:ind w:firstLineChars="200" w:firstLine="640"/>
        <w:rPr>
          <w:rFonts w:eastAsia="黑体"/>
          <w:sz w:val="32"/>
        </w:rPr>
      </w:pPr>
      <w:r>
        <w:rPr>
          <w:rFonts w:eastAsia="黑体" w:hint="eastAsia"/>
          <w:sz w:val="32"/>
        </w:rPr>
        <w:t>5</w:t>
      </w:r>
      <w:r>
        <w:rPr>
          <w:rFonts w:eastAsia="黑体" w:hint="eastAsia"/>
          <w:bCs/>
          <w:sz w:val="32"/>
          <w:szCs w:val="21"/>
        </w:rPr>
        <w:t>．</w:t>
      </w:r>
      <w:r>
        <w:rPr>
          <w:rFonts w:eastAsia="黑体" w:hint="eastAsia"/>
          <w:sz w:val="32"/>
        </w:rPr>
        <w:t>干支衔接型货运枢纽（物流园区）</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示范建设期末，投入运营的干支衔接型货运枢纽（物流园区）数量。干支衔接型货运枢纽（物流园区）是城市货运配送一级节点，具有仓储、分拨、配载、配送、</w:t>
      </w:r>
      <w:r>
        <w:rPr>
          <w:rFonts w:eastAsia="仿宋_GB2312"/>
          <w:sz w:val="32"/>
        </w:rPr>
        <w:t>信息</w:t>
      </w:r>
      <w:r>
        <w:rPr>
          <w:rFonts w:eastAsia="仿宋_GB2312" w:hint="eastAsia"/>
          <w:sz w:val="32"/>
        </w:rPr>
        <w:t>服务、中转换装等功能，突出干线甩挂运输、多式联运和末端城市共同配送有机衔接，能够实现干线规模化运输与支线集散分拨的一体化组织。（单位：个）</w:t>
      </w:r>
    </w:p>
    <w:p w:rsidR="001160FE" w:rsidRDefault="001160FE" w:rsidP="001160FE">
      <w:pPr>
        <w:snapToGrid w:val="0"/>
        <w:spacing w:line="360" w:lineRule="auto"/>
        <w:ind w:firstLineChars="200" w:firstLine="640"/>
        <w:rPr>
          <w:rFonts w:eastAsia="黑体"/>
          <w:sz w:val="32"/>
        </w:rPr>
      </w:pPr>
      <w:r>
        <w:rPr>
          <w:rFonts w:eastAsia="黑体" w:hint="eastAsia"/>
          <w:sz w:val="32"/>
        </w:rPr>
        <w:t>6</w:t>
      </w:r>
      <w:r>
        <w:rPr>
          <w:rFonts w:eastAsia="黑体" w:hint="eastAsia"/>
          <w:bCs/>
          <w:sz w:val="32"/>
          <w:szCs w:val="21"/>
        </w:rPr>
        <w:t>．</w:t>
      </w:r>
      <w:r>
        <w:rPr>
          <w:rFonts w:eastAsia="黑体"/>
          <w:sz w:val="32"/>
        </w:rPr>
        <w:t>公共配送中心</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示范建设期末，投入运营的</w:t>
      </w:r>
      <w:r>
        <w:rPr>
          <w:rFonts w:eastAsia="仿宋_GB2312"/>
          <w:sz w:val="32"/>
        </w:rPr>
        <w:t>公共配送中心</w:t>
      </w:r>
      <w:r>
        <w:rPr>
          <w:rFonts w:eastAsia="仿宋_GB2312" w:hint="eastAsia"/>
          <w:sz w:val="32"/>
        </w:rPr>
        <w:t>数量。公共配送中心是城市货运配送二级节点，是联接一级节点与末端公共配送站的纽带，应突出统一存储、集中分拣、共同配送的集约组织等功能。（单位：个）</w:t>
      </w:r>
    </w:p>
    <w:p w:rsidR="001160FE" w:rsidRDefault="001160FE" w:rsidP="001160FE">
      <w:pPr>
        <w:snapToGrid w:val="0"/>
        <w:spacing w:line="360" w:lineRule="auto"/>
        <w:ind w:firstLineChars="200" w:firstLine="640"/>
        <w:rPr>
          <w:rFonts w:eastAsia="黑体"/>
          <w:sz w:val="32"/>
        </w:rPr>
      </w:pPr>
      <w:r>
        <w:rPr>
          <w:rFonts w:eastAsia="黑体" w:hint="eastAsia"/>
          <w:sz w:val="32"/>
        </w:rPr>
        <w:t>7</w:t>
      </w:r>
      <w:r>
        <w:rPr>
          <w:rFonts w:eastAsia="黑体" w:hint="eastAsia"/>
          <w:bCs/>
          <w:sz w:val="32"/>
          <w:szCs w:val="21"/>
        </w:rPr>
        <w:t>．</w:t>
      </w:r>
      <w:r>
        <w:rPr>
          <w:rFonts w:eastAsia="黑体" w:hint="eastAsia"/>
          <w:sz w:val="32"/>
        </w:rPr>
        <w:t>末端公共配送站</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示范建设期末，投入运营的末端公共配送站（货物装卸点）数量。末端公共配送站（货物装卸点）是面向终端客户，提供停靠、装卸、分拣等服务，满足社区、高校、商务区等</w:t>
      </w:r>
      <w:r>
        <w:rPr>
          <w:rFonts w:eastAsia="仿宋_GB2312" w:hint="eastAsia"/>
          <w:sz w:val="32"/>
        </w:rPr>
        <w:lastRenderedPageBreak/>
        <w:t>末端商品配送需求。（单位：个）</w:t>
      </w:r>
    </w:p>
    <w:p w:rsidR="001160FE" w:rsidRDefault="001160FE" w:rsidP="001160FE">
      <w:pPr>
        <w:snapToGrid w:val="0"/>
        <w:spacing w:line="360" w:lineRule="auto"/>
        <w:ind w:firstLineChars="200" w:firstLine="640"/>
        <w:rPr>
          <w:rFonts w:eastAsia="黑体" w:hint="eastAsia"/>
          <w:bCs/>
          <w:sz w:val="32"/>
          <w:szCs w:val="21"/>
        </w:rPr>
      </w:pPr>
      <w:r>
        <w:rPr>
          <w:rFonts w:eastAsia="黑体" w:hint="eastAsia"/>
          <w:bCs/>
          <w:sz w:val="32"/>
          <w:szCs w:val="21"/>
        </w:rPr>
        <w:t>三、城市配送车辆及配套设施</w:t>
      </w:r>
    </w:p>
    <w:p w:rsidR="001160FE" w:rsidRDefault="001160FE" w:rsidP="001160FE">
      <w:pPr>
        <w:snapToGrid w:val="0"/>
        <w:spacing w:line="360" w:lineRule="auto"/>
        <w:ind w:firstLineChars="200" w:firstLine="640"/>
        <w:rPr>
          <w:rFonts w:eastAsia="黑体"/>
          <w:sz w:val="32"/>
        </w:rPr>
      </w:pPr>
      <w:r>
        <w:rPr>
          <w:rFonts w:eastAsia="黑体" w:hint="eastAsia"/>
          <w:sz w:val="32"/>
        </w:rPr>
        <w:t>8</w:t>
      </w:r>
      <w:r>
        <w:rPr>
          <w:rFonts w:eastAsia="黑体" w:hint="eastAsia"/>
          <w:bCs/>
          <w:sz w:val="32"/>
          <w:szCs w:val="21"/>
        </w:rPr>
        <w:t>．</w:t>
      </w:r>
      <w:r>
        <w:rPr>
          <w:rFonts w:eastAsia="黑体" w:hint="eastAsia"/>
          <w:sz w:val="32"/>
        </w:rPr>
        <w:t>新增新能源城市配送车辆</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示范建设期内，新增纯电动城市配送车辆的数量。（单位：辆）</w:t>
      </w:r>
    </w:p>
    <w:p w:rsidR="001160FE" w:rsidRDefault="001160FE" w:rsidP="001160FE">
      <w:pPr>
        <w:snapToGrid w:val="0"/>
        <w:spacing w:line="360" w:lineRule="auto"/>
        <w:ind w:firstLineChars="200" w:firstLine="640"/>
        <w:rPr>
          <w:rFonts w:eastAsia="黑体"/>
          <w:bCs/>
          <w:sz w:val="32"/>
          <w:szCs w:val="21"/>
        </w:rPr>
      </w:pPr>
      <w:r>
        <w:rPr>
          <w:rFonts w:eastAsia="黑体" w:hint="eastAsia"/>
          <w:sz w:val="32"/>
        </w:rPr>
        <w:t>9</w:t>
      </w:r>
      <w:r>
        <w:rPr>
          <w:rFonts w:eastAsia="黑体" w:hint="eastAsia"/>
          <w:bCs/>
          <w:sz w:val="32"/>
          <w:szCs w:val="21"/>
        </w:rPr>
        <w:t>．新增新能源城市配送车占新增（更新）城市配送车辆的比例</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示范建设期内，新增新能源城市配送车辆数量占全部新增和更新城市配送车辆的比例，见式（</w:t>
      </w:r>
      <w:r>
        <w:rPr>
          <w:rFonts w:eastAsia="仿宋_GB2312" w:hint="eastAsia"/>
          <w:sz w:val="32"/>
        </w:rPr>
        <w:t>A.1</w:t>
      </w:r>
      <w:r>
        <w:rPr>
          <w:rFonts w:eastAsia="仿宋_GB2312" w:hint="eastAsia"/>
          <w:sz w:val="32"/>
        </w:rPr>
        <w:t>），单位：</w:t>
      </w:r>
      <w:r>
        <w:rPr>
          <w:rFonts w:eastAsia="仿宋_GB2312" w:hint="eastAsia"/>
          <w:sz w:val="32"/>
        </w:rPr>
        <w:t>%</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i/>
          <w:iCs/>
          <w:position w:val="-32"/>
          <w:sz w:val="32"/>
        </w:rPr>
        <w:object w:dxaOrig="1549"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5.75pt;mso-position-horizontal-relative:page;mso-position-vertical-relative:page" o:ole="">
            <v:imagedata r:id="rId4" o:title=""/>
          </v:shape>
          <o:OLEObject Type="Embed" ProgID="Equation.KSEE3" ShapeID="_x0000_i1025" DrawAspect="Content" ObjectID="_1590582628" r:id="rId5">
            <o:FieldCodes>\* MERGEFORMAT</o:FieldCodes>
          </o:OLEObject>
        </w:object>
      </w:r>
      <w:r>
        <w:rPr>
          <w:rFonts w:eastAsia="仿宋_GB2312" w:hint="eastAsia"/>
          <w:sz w:val="32"/>
        </w:rPr>
        <w:t xml:space="preserve">                              </w:t>
      </w:r>
      <w:r>
        <w:rPr>
          <w:rFonts w:eastAsia="仿宋_GB2312" w:hint="eastAsia"/>
          <w:sz w:val="32"/>
        </w:rPr>
        <w:t>（</w:t>
      </w:r>
      <w:r>
        <w:rPr>
          <w:rFonts w:eastAsia="仿宋_GB2312" w:hint="eastAsia"/>
          <w:sz w:val="32"/>
        </w:rPr>
        <w:t>A.1</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式中：</w:t>
      </w:r>
      <w:r>
        <w:rPr>
          <w:rFonts w:eastAsia="仿宋_GB2312" w:hint="eastAsia"/>
          <w:position w:val="-10"/>
          <w:sz w:val="32"/>
        </w:rPr>
        <w:object w:dxaOrig="286" w:dyaOrig="348">
          <v:shape id="_x0000_i1026" type="#_x0000_t75" style="width:18.75pt;height:22.5pt;mso-position-horizontal-relative:page;mso-position-vertical-relative:page" o:ole="">
            <v:imagedata r:id="rId6" o:title=""/>
          </v:shape>
          <o:OLEObject Type="Embed" ProgID="Equation.KSEE3" ShapeID="_x0000_i1026" DrawAspect="Content" ObjectID="_1590582629" r:id="rId7">
            <o:FieldCodes>\* MERGEFORMAT</o:FieldCodes>
          </o:OLEObject>
        </w:object>
      </w:r>
      <w:r>
        <w:rPr>
          <w:rFonts w:eastAsia="仿宋_GB2312" w:hint="eastAsia"/>
          <w:sz w:val="32"/>
        </w:rPr>
        <w:t>——新增新能源城市配送车占新增（更新）城市配送车辆的比例；</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10"/>
          <w:sz w:val="32"/>
        </w:rPr>
        <w:object w:dxaOrig="246" w:dyaOrig="348">
          <v:shape id="_x0000_i1027" type="#_x0000_t75" style="width:17.25pt;height:24pt;mso-position-horizontal-relative:page;mso-position-vertical-relative:page" o:ole="">
            <v:imagedata r:id="rId8" o:title=""/>
          </v:shape>
          <o:OLEObject Type="Embed" ProgID="Equation.KSEE3" ShapeID="_x0000_i1027" DrawAspect="Content" ObjectID="_1590582630" r:id="rId9">
            <o:FieldCodes>\* MERGEFORMAT</o:FieldCodes>
          </o:OLEObject>
        </w:object>
      </w:r>
      <w:r>
        <w:rPr>
          <w:rFonts w:eastAsia="仿宋_GB2312" w:hint="eastAsia"/>
          <w:sz w:val="32"/>
        </w:rPr>
        <w:t>——新增新能源城市配送车辆数量；</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4"/>
          <w:sz w:val="32"/>
        </w:rPr>
        <w:object w:dxaOrig="266" w:dyaOrig="307">
          <v:shape id="_x0000_i1028" type="#_x0000_t75" style="width:21pt;height:24pt;mso-position-horizontal-relative:page;mso-position-vertical-relative:page" o:ole="">
            <v:imagedata r:id="rId10" o:title=""/>
          </v:shape>
          <o:OLEObject Type="Embed" ProgID="Equation.KSEE3" ShapeID="_x0000_i1028" DrawAspect="Content" ObjectID="_1590582631" r:id="rId11">
            <o:FieldCodes>\* MERGEFORMAT</o:FieldCodes>
          </o:OLEObject>
        </w:object>
      </w:r>
      <w:r>
        <w:rPr>
          <w:rFonts w:eastAsia="仿宋_GB2312" w:hint="eastAsia"/>
          <w:sz w:val="32"/>
        </w:rPr>
        <w:t>——全部新增和更新城市配送车辆数量。</w:t>
      </w:r>
    </w:p>
    <w:p w:rsidR="001160FE" w:rsidRDefault="001160FE" w:rsidP="001160FE">
      <w:pPr>
        <w:snapToGrid w:val="0"/>
        <w:spacing w:line="360" w:lineRule="auto"/>
        <w:ind w:firstLineChars="200" w:firstLine="640"/>
        <w:rPr>
          <w:rFonts w:eastAsia="黑体"/>
          <w:bCs/>
          <w:sz w:val="32"/>
          <w:szCs w:val="21"/>
        </w:rPr>
      </w:pPr>
      <w:r>
        <w:rPr>
          <w:rFonts w:eastAsia="黑体" w:hint="eastAsia"/>
          <w:sz w:val="32"/>
        </w:rPr>
        <w:t>10</w:t>
      </w:r>
      <w:r>
        <w:rPr>
          <w:rFonts w:eastAsia="黑体" w:hint="eastAsia"/>
          <w:bCs/>
          <w:sz w:val="32"/>
          <w:szCs w:val="21"/>
        </w:rPr>
        <w:t>．城市配送新能源纯电动货车与充电桩的配置比值</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示范建设期末，城市配送新能源纯电动货车保有量与充电桩总量的比值，见式（</w:t>
      </w:r>
      <w:r>
        <w:rPr>
          <w:rFonts w:eastAsia="仿宋_GB2312" w:hint="eastAsia"/>
          <w:sz w:val="32"/>
        </w:rPr>
        <w:t>A.2</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position w:val="-24"/>
          <w:sz w:val="32"/>
        </w:rPr>
        <w:object w:dxaOrig="905" w:dyaOrig="704">
          <v:shape id="_x0000_i1029" type="#_x0000_t75" style="width:53.25pt;height:41.25pt;mso-position-horizontal-relative:page;mso-position-vertical-relative:page" o:ole="">
            <v:imagedata r:id="rId12" o:title=""/>
          </v:shape>
          <o:OLEObject Type="Embed" ProgID="Equation.KSEE3" ShapeID="_x0000_i1029" DrawAspect="Content" ObjectID="_1590582632" r:id="rId13">
            <o:FieldCodes>\* MERGEFORMAT</o:FieldCodes>
          </o:OLEObject>
        </w:object>
      </w:r>
      <w:r>
        <w:rPr>
          <w:rFonts w:eastAsia="仿宋_GB2312" w:hint="eastAsia"/>
          <w:sz w:val="32"/>
        </w:rPr>
        <w:t xml:space="preserve">                                    </w:t>
      </w:r>
      <w:r>
        <w:rPr>
          <w:rFonts w:eastAsia="仿宋_GB2312" w:hint="eastAsia"/>
          <w:sz w:val="32"/>
        </w:rPr>
        <w:t>（</w:t>
      </w:r>
      <w:r>
        <w:rPr>
          <w:rFonts w:eastAsia="仿宋_GB2312" w:hint="eastAsia"/>
          <w:sz w:val="32"/>
        </w:rPr>
        <w:t>A.2</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式中：</w:t>
      </w:r>
      <w:r>
        <w:rPr>
          <w:rFonts w:eastAsia="仿宋_GB2312" w:hint="eastAsia"/>
          <w:position w:val="-10"/>
          <w:sz w:val="32"/>
        </w:rPr>
        <w:object w:dxaOrig="307" w:dyaOrig="348">
          <v:shape id="_x0000_i1030" type="#_x0000_t75" style="width:20.25pt;height:22.5pt;mso-position-horizontal-relative:page;mso-position-vertical-relative:page" o:ole="">
            <v:imagedata r:id="rId14" o:title=""/>
          </v:shape>
          <o:OLEObject Type="Embed" ProgID="Equation.KSEE3" ShapeID="_x0000_i1030" DrawAspect="Content" ObjectID="_1590582633" r:id="rId15">
            <o:FieldCodes>\* MERGEFORMAT</o:FieldCodes>
          </o:OLEObject>
        </w:object>
      </w:r>
      <w:r>
        <w:rPr>
          <w:rFonts w:eastAsia="仿宋_GB2312" w:hint="eastAsia"/>
          <w:sz w:val="32"/>
        </w:rPr>
        <w:t>——城市配送新能源纯电动货车与充电桩的配置比值；</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lastRenderedPageBreak/>
        <w:t xml:space="preserve">      </w:t>
      </w:r>
      <w:r>
        <w:rPr>
          <w:rFonts w:eastAsia="仿宋_GB2312" w:hint="eastAsia"/>
          <w:position w:val="-10"/>
          <w:sz w:val="32"/>
        </w:rPr>
        <w:object w:dxaOrig="266" w:dyaOrig="348">
          <v:shape id="_x0000_i1031" type="#_x0000_t75" style="width:18pt;height:24pt;mso-position-horizontal-relative:page;mso-position-vertical-relative:page" o:ole="">
            <v:imagedata r:id="rId16" o:title=""/>
          </v:shape>
          <o:OLEObject Type="Embed" ProgID="Equation.KSEE3" ShapeID="_x0000_i1031" DrawAspect="Content" ObjectID="_1590582634" r:id="rId17">
            <o:FieldCodes>\* MERGEFORMAT</o:FieldCodes>
          </o:OLEObject>
        </w:object>
      </w:r>
      <w:r>
        <w:rPr>
          <w:rFonts w:eastAsia="仿宋_GB2312" w:hint="eastAsia"/>
          <w:sz w:val="32"/>
        </w:rPr>
        <w:t>——城市配送新能源纯电动货车保有量；</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6"/>
          <w:sz w:val="32"/>
        </w:rPr>
        <w:object w:dxaOrig="246" w:dyaOrig="287">
          <v:shape id="_x0000_i1032" type="#_x0000_t75" style="width:18.75pt;height:22.5pt;mso-position-horizontal-relative:page;mso-position-vertical-relative:page" o:ole="">
            <v:imagedata r:id="rId18" o:title=""/>
          </v:shape>
          <o:OLEObject Type="Embed" ProgID="Equation.KSEE3" ShapeID="_x0000_i1032" DrawAspect="Content" ObjectID="_1590582635" r:id="rId19">
            <o:FieldCodes>\* MERGEFORMAT</o:FieldCodes>
          </o:OLEObject>
        </w:object>
      </w:r>
      <w:r>
        <w:rPr>
          <w:rFonts w:eastAsia="仿宋_GB2312" w:hint="eastAsia"/>
          <w:sz w:val="32"/>
        </w:rPr>
        <w:t>——充电桩总量。</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11</w:t>
      </w:r>
      <w:r>
        <w:rPr>
          <w:rFonts w:eastAsia="黑体" w:hint="eastAsia"/>
          <w:bCs/>
          <w:sz w:val="32"/>
          <w:szCs w:val="21"/>
        </w:rPr>
        <w:t>．冷藏保温配送车辆占城市配送车辆比重</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示范建设期末，符合相关标准要求，且《车辆运输证》经营范围为“冷藏保鲜运输”的城市配送车辆数占全部城市配送车辆保有量的比例，见式（</w:t>
      </w:r>
      <w:r>
        <w:rPr>
          <w:rFonts w:eastAsia="仿宋_GB2312" w:hint="eastAsia"/>
          <w:sz w:val="32"/>
        </w:rPr>
        <w:t>A.3</w:t>
      </w:r>
      <w:r>
        <w:rPr>
          <w:rFonts w:eastAsia="仿宋_GB2312" w:hint="eastAsia"/>
          <w:sz w:val="32"/>
        </w:rPr>
        <w:t>），单位：</w:t>
      </w:r>
      <w:r>
        <w:rPr>
          <w:rFonts w:eastAsia="仿宋_GB2312" w:hint="eastAsia"/>
          <w:sz w:val="32"/>
        </w:rPr>
        <w:t>%</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position w:val="-34"/>
          <w:sz w:val="32"/>
        </w:rPr>
        <w:object w:dxaOrig="1650" w:dyaOrig="805">
          <v:shape id="_x0000_i1033" type="#_x0000_t75" style="width:96.75pt;height:47.25pt;mso-position-horizontal-relative:page;mso-position-vertical-relative:page" o:ole="">
            <v:imagedata r:id="rId20" o:title=""/>
          </v:shape>
          <o:OLEObject Type="Embed" ProgID="Equation.KSEE3" ShapeID="_x0000_i1033" DrawAspect="Content" ObjectID="_1590582636" r:id="rId21">
            <o:FieldCodes>\* MERGEFORMAT</o:FieldCodes>
          </o:OLEObject>
        </w:object>
      </w:r>
      <w:r>
        <w:rPr>
          <w:rFonts w:eastAsia="仿宋_GB2312" w:hint="eastAsia"/>
          <w:sz w:val="32"/>
        </w:rPr>
        <w:t xml:space="preserve">                              </w:t>
      </w:r>
      <w:r>
        <w:rPr>
          <w:rFonts w:eastAsia="仿宋_GB2312" w:hint="eastAsia"/>
          <w:sz w:val="32"/>
        </w:rPr>
        <w:t>（</w:t>
      </w:r>
      <w:r>
        <w:rPr>
          <w:rFonts w:eastAsia="仿宋_GB2312" w:hint="eastAsia"/>
          <w:sz w:val="32"/>
        </w:rPr>
        <w:t>A.3</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式中：</w:t>
      </w:r>
      <w:r>
        <w:rPr>
          <w:rFonts w:eastAsia="仿宋_GB2312" w:hint="eastAsia"/>
          <w:position w:val="-12"/>
          <w:sz w:val="32"/>
        </w:rPr>
        <w:object w:dxaOrig="306" w:dyaOrig="367">
          <v:shape id="_x0000_i1034" type="#_x0000_t75" style="width:20.25pt;height:24pt;mso-position-horizontal-relative:page;mso-position-vertical-relative:page" o:ole="">
            <v:imagedata r:id="rId22" o:title=""/>
          </v:shape>
          <o:OLEObject Type="Embed" ProgID="Equation.KSEE3" ShapeID="_x0000_i1034" DrawAspect="Content" ObjectID="_1590582637" r:id="rId23">
            <o:FieldCodes>\* MERGEFORMAT</o:FieldCodes>
          </o:OLEObject>
        </w:object>
      </w:r>
      <w:r>
        <w:rPr>
          <w:rFonts w:eastAsia="仿宋_GB2312" w:hint="eastAsia"/>
          <w:sz w:val="32"/>
        </w:rPr>
        <w:t>——冷藏保温配送车辆占城市配送车辆比重；</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12"/>
          <w:sz w:val="32"/>
        </w:rPr>
        <w:object w:dxaOrig="244" w:dyaOrig="367">
          <v:shape id="_x0000_i1035" type="#_x0000_t75" style="width:16.5pt;height:25.5pt;mso-position-horizontal-relative:page;mso-position-vertical-relative:page" o:ole="">
            <v:imagedata r:id="rId24" o:title=""/>
          </v:shape>
          <o:OLEObject Type="Embed" ProgID="Equation.KSEE3" ShapeID="_x0000_i1035" DrawAspect="Content" ObjectID="_1590582638" r:id="rId25">
            <o:FieldCodes>\* MERGEFORMAT</o:FieldCodes>
          </o:OLEObject>
        </w:object>
      </w:r>
      <w:r>
        <w:rPr>
          <w:rFonts w:eastAsia="仿宋_GB2312" w:hint="eastAsia"/>
          <w:sz w:val="32"/>
        </w:rPr>
        <w:t>——冷藏保温配送车辆保有量；</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4"/>
          <w:sz w:val="32"/>
        </w:rPr>
        <w:object w:dxaOrig="227" w:dyaOrig="268">
          <v:shape id="_x0000_i1036" type="#_x0000_t75" style="width:17.25pt;height:20.25pt;mso-position-horizontal-relative:page;mso-position-vertical-relative:page" o:ole="">
            <v:imagedata r:id="rId26" o:title=""/>
          </v:shape>
          <o:OLEObject Type="Embed" ProgID="Equation.KSEE3" ShapeID="_x0000_i1036" DrawAspect="Content" ObjectID="_1590582639" r:id="rId27">
            <o:FieldCodes>\* MERGEFORMAT</o:FieldCodes>
          </o:OLEObject>
        </w:object>
      </w:r>
      <w:r>
        <w:rPr>
          <w:rFonts w:eastAsia="仿宋_GB2312" w:hint="eastAsia"/>
          <w:sz w:val="32"/>
        </w:rPr>
        <w:t>——全部城市配送车辆保有量。</w:t>
      </w:r>
    </w:p>
    <w:p w:rsidR="001160FE" w:rsidRDefault="001160FE" w:rsidP="001160FE">
      <w:pPr>
        <w:snapToGrid w:val="0"/>
        <w:spacing w:line="360" w:lineRule="auto"/>
        <w:ind w:firstLineChars="200" w:firstLine="640"/>
        <w:rPr>
          <w:rFonts w:eastAsia="黑体" w:hint="eastAsia"/>
          <w:bCs/>
          <w:sz w:val="32"/>
          <w:szCs w:val="21"/>
        </w:rPr>
      </w:pPr>
      <w:r>
        <w:rPr>
          <w:rFonts w:eastAsia="黑体" w:hint="eastAsia"/>
          <w:bCs/>
          <w:sz w:val="32"/>
          <w:szCs w:val="21"/>
        </w:rPr>
        <w:t>四、便利通行政策</w:t>
      </w:r>
    </w:p>
    <w:p w:rsidR="001160FE" w:rsidRDefault="001160FE" w:rsidP="001160FE">
      <w:pPr>
        <w:snapToGrid w:val="0"/>
        <w:spacing w:line="360" w:lineRule="auto"/>
        <w:ind w:firstLineChars="200" w:firstLine="640"/>
        <w:rPr>
          <w:rFonts w:eastAsia="黑体" w:hint="eastAsia"/>
          <w:bCs/>
          <w:sz w:val="32"/>
          <w:szCs w:val="21"/>
        </w:rPr>
      </w:pPr>
      <w:r>
        <w:rPr>
          <w:rFonts w:eastAsia="黑体" w:hint="eastAsia"/>
          <w:bCs/>
          <w:sz w:val="32"/>
          <w:szCs w:val="21"/>
        </w:rPr>
        <w:t>12</w:t>
      </w:r>
      <w:r>
        <w:rPr>
          <w:rFonts w:eastAsia="黑体" w:hint="eastAsia"/>
          <w:bCs/>
          <w:sz w:val="32"/>
          <w:szCs w:val="21"/>
        </w:rPr>
        <w:t>．新能源物流配送车辆便利通行政策</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示范建设期内，与传统燃油城市配送车辆相比，给予新能源物流配送车辆更加优惠和便利的通行政策。</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13</w:t>
      </w:r>
      <w:r>
        <w:rPr>
          <w:rFonts w:eastAsia="黑体" w:hint="eastAsia"/>
          <w:bCs/>
          <w:sz w:val="32"/>
          <w:szCs w:val="21"/>
        </w:rPr>
        <w:t>．城市货运配送需求调查预测制度</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示范建设期内，城市有关管理部门结合本地区城市配送发展的实际情况，开展城市配送需求调查预测工作，并形成了科学合理的调查预测结果。</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14</w:t>
      </w:r>
      <w:r>
        <w:rPr>
          <w:rFonts w:eastAsia="黑体" w:hint="eastAsia"/>
          <w:bCs/>
          <w:sz w:val="32"/>
          <w:szCs w:val="21"/>
        </w:rPr>
        <w:t>．配送车辆分时、错时、分类通行和停放措施出台情况</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示范建设期内，城市有关管理部门根据城市配送需求调</w:t>
      </w:r>
      <w:r>
        <w:rPr>
          <w:rFonts w:eastAsia="仿宋_GB2312" w:hint="eastAsia"/>
          <w:sz w:val="32"/>
        </w:rPr>
        <w:lastRenderedPageBreak/>
        <w:t>查结果和行业发展趋势，科学制定配送车辆分时、错时、分类通行和停放措施。</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15</w:t>
      </w:r>
      <w:r>
        <w:rPr>
          <w:rFonts w:eastAsia="黑体" w:hint="eastAsia"/>
          <w:bCs/>
          <w:sz w:val="32"/>
          <w:szCs w:val="21"/>
        </w:rPr>
        <w:t>．设置城市配送车辆临时停靠点</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示范建设期内，在中心城区货流密集地区或者具备条件的道路范围内规划建设配送车辆的临时停车泊位数量。（单位：个）</w:t>
      </w:r>
    </w:p>
    <w:p w:rsidR="001160FE" w:rsidRDefault="001160FE" w:rsidP="001160FE">
      <w:pPr>
        <w:snapToGrid w:val="0"/>
        <w:spacing w:line="360" w:lineRule="auto"/>
        <w:ind w:firstLineChars="200" w:firstLine="640"/>
        <w:rPr>
          <w:rFonts w:eastAsia="黑体" w:hint="eastAsia"/>
          <w:bCs/>
          <w:sz w:val="32"/>
          <w:szCs w:val="21"/>
        </w:rPr>
      </w:pPr>
      <w:r>
        <w:rPr>
          <w:rFonts w:eastAsia="黑体" w:hint="eastAsia"/>
          <w:bCs/>
          <w:sz w:val="32"/>
          <w:szCs w:val="21"/>
        </w:rPr>
        <w:t>五、先进配送组织模式</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16</w:t>
      </w:r>
      <w:r>
        <w:rPr>
          <w:rFonts w:eastAsia="黑体" w:hint="eastAsia"/>
          <w:bCs/>
          <w:sz w:val="32"/>
          <w:szCs w:val="21"/>
        </w:rPr>
        <w:t>．中心城区大型超市（卖场）、连锁店等商贸流通企业采用共同（集中、夜间）配送的比例</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示范建设期内，示范企业通过共同（集中、夜间）配送模式，配送至中心城区商贸流通企业门店的货运量占中心城区全部商品配送总货运量的比例，见式（</w:t>
      </w:r>
      <w:r>
        <w:rPr>
          <w:rFonts w:eastAsia="仿宋_GB2312" w:hint="eastAsia"/>
          <w:sz w:val="32"/>
        </w:rPr>
        <w:t>B.1</w:t>
      </w:r>
      <w:r>
        <w:rPr>
          <w:rFonts w:eastAsia="仿宋_GB2312" w:hint="eastAsia"/>
          <w:sz w:val="32"/>
        </w:rPr>
        <w:t>），单位：</w:t>
      </w:r>
      <w:r>
        <w:rPr>
          <w:rFonts w:eastAsia="仿宋_GB2312" w:hint="eastAsia"/>
          <w:sz w:val="32"/>
        </w:rPr>
        <w:t>%</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position w:val="-34"/>
          <w:sz w:val="32"/>
        </w:rPr>
        <w:object w:dxaOrig="1650" w:dyaOrig="805">
          <v:shape id="_x0000_i1037" type="#_x0000_t75" style="width:96.75pt;height:47.25pt;mso-position-horizontal-relative:page;mso-position-vertical-relative:page" o:ole="">
            <v:imagedata r:id="rId28" o:title=""/>
          </v:shape>
          <o:OLEObject Type="Embed" ProgID="Equation.KSEE3" ShapeID="_x0000_i1037" DrawAspect="Content" ObjectID="_1590582640" r:id="rId29">
            <o:FieldCodes>\* MERGEFORMAT</o:FieldCodes>
          </o:OLEObject>
        </w:object>
      </w:r>
      <w:r>
        <w:rPr>
          <w:rFonts w:eastAsia="仿宋_GB2312" w:hint="eastAsia"/>
          <w:sz w:val="32"/>
        </w:rPr>
        <w:t xml:space="preserve">                              </w:t>
      </w:r>
      <w:r>
        <w:rPr>
          <w:rFonts w:eastAsia="仿宋_GB2312" w:hint="eastAsia"/>
          <w:sz w:val="32"/>
        </w:rPr>
        <w:t>（</w:t>
      </w:r>
      <w:r>
        <w:rPr>
          <w:rFonts w:eastAsia="仿宋_GB2312" w:hint="eastAsia"/>
          <w:sz w:val="32"/>
        </w:rPr>
        <w:t>B.1</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式中：</w:t>
      </w:r>
      <w:r>
        <w:rPr>
          <w:rFonts w:eastAsia="仿宋_GB2312" w:hint="eastAsia"/>
          <w:position w:val="-14"/>
          <w:sz w:val="32"/>
        </w:rPr>
        <w:object w:dxaOrig="305" w:dyaOrig="387">
          <v:shape id="_x0000_i1038" type="#_x0000_t75" style="width:20.25pt;height:25.5pt;mso-position-horizontal-relative:page;mso-position-vertical-relative:page" o:ole="">
            <v:imagedata r:id="rId30" o:title=""/>
          </v:shape>
          <o:OLEObject Type="Embed" ProgID="Equation.KSEE3" ShapeID="_x0000_i1038" DrawAspect="Content" ObjectID="_1590582641" r:id="rId31">
            <o:FieldCodes>\* MERGEFORMAT</o:FieldCodes>
          </o:OLEObject>
        </w:object>
      </w:r>
      <w:r>
        <w:rPr>
          <w:rFonts w:eastAsia="仿宋_GB2312" w:hint="eastAsia"/>
          <w:sz w:val="32"/>
        </w:rPr>
        <w:t>——中心城区大型超市（卖场）、连锁店等商贸流通企业采用共同（集中、夜间）配送的比例；</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10"/>
          <w:sz w:val="32"/>
        </w:rPr>
        <w:object w:dxaOrig="246" w:dyaOrig="348">
          <v:shape id="_x0000_i1039" type="#_x0000_t75" style="width:17.25pt;height:24pt;mso-position-horizontal-relative:page;mso-position-vertical-relative:page" o:ole="">
            <v:imagedata r:id="rId32" o:title=""/>
          </v:shape>
          <o:OLEObject Type="Embed" ProgID="Equation.KSEE3" ShapeID="_x0000_i1039" DrawAspect="Content" ObjectID="_1590582642" r:id="rId33">
            <o:FieldCodes>\* MERGEFORMAT</o:FieldCodes>
          </o:OLEObject>
        </w:object>
      </w:r>
      <w:r>
        <w:rPr>
          <w:rFonts w:eastAsia="仿宋_GB2312" w:hint="eastAsia"/>
          <w:sz w:val="32"/>
        </w:rPr>
        <w:t>——采取共同（集中、夜间）配送的货运量；</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4"/>
          <w:sz w:val="32"/>
        </w:rPr>
        <w:object w:dxaOrig="227" w:dyaOrig="268">
          <v:shape id="_x0000_i1040" type="#_x0000_t75" style="width:17.25pt;height:20.25pt;mso-position-horizontal-relative:page;mso-position-vertical-relative:page" o:ole="">
            <v:imagedata r:id="rId34" o:title=""/>
          </v:shape>
          <o:OLEObject Type="Embed" ProgID="Equation.KSEE3" ShapeID="_x0000_i1040" DrawAspect="Content" ObjectID="_1590582643" r:id="rId35">
            <o:FieldCodes>\* MERGEFORMAT</o:FieldCodes>
          </o:OLEObject>
        </w:object>
      </w:r>
      <w:r>
        <w:rPr>
          <w:rFonts w:eastAsia="仿宋_GB2312" w:hint="eastAsia"/>
          <w:sz w:val="32"/>
        </w:rPr>
        <w:t>——全部商品配送总货运量。</w:t>
      </w:r>
    </w:p>
    <w:p w:rsidR="001160FE" w:rsidRDefault="001160FE" w:rsidP="001160FE">
      <w:pPr>
        <w:snapToGrid w:val="0"/>
        <w:spacing w:line="360" w:lineRule="auto"/>
        <w:ind w:firstLineChars="200" w:firstLine="640"/>
        <w:rPr>
          <w:rFonts w:eastAsia="黑体" w:hint="eastAsia"/>
          <w:bCs/>
          <w:sz w:val="32"/>
          <w:szCs w:val="21"/>
        </w:rPr>
      </w:pPr>
      <w:r>
        <w:rPr>
          <w:rFonts w:eastAsia="黑体" w:hint="eastAsia"/>
          <w:bCs/>
          <w:sz w:val="32"/>
          <w:szCs w:val="21"/>
        </w:rPr>
        <w:t>六、信息化建设</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17</w:t>
      </w:r>
      <w:r>
        <w:rPr>
          <w:rFonts w:eastAsia="黑体" w:hint="eastAsia"/>
          <w:bCs/>
          <w:sz w:val="32"/>
          <w:szCs w:val="21"/>
        </w:rPr>
        <w:t>．货运配送公共信息服务平台</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示范建设期内，建成城市绿色货运配送运行监测服务平台，整合交通、商务、邮政、公安、工商等部门政务信息，</w:t>
      </w:r>
      <w:r>
        <w:rPr>
          <w:rFonts w:eastAsia="仿宋_GB2312" w:hint="eastAsia"/>
          <w:sz w:val="32"/>
        </w:rPr>
        <w:lastRenderedPageBreak/>
        <w:t>并与示范企业信息平台有效对接，为货主和配送企业提供信息查询、车辆监管、交通诱导、数据分析等基本服务，满足政府对示范企业日常监管、绩效考核和示范企业对政务信息服务的需求。（单位：个）</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18</w:t>
      </w:r>
      <w:r>
        <w:rPr>
          <w:rFonts w:eastAsia="黑体" w:hint="eastAsia"/>
          <w:bCs/>
          <w:sz w:val="32"/>
          <w:szCs w:val="21"/>
        </w:rPr>
        <w:t>．企业城市配送信息系统</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示范建设期内，示范企业依托移动互联网技术搭建信息平台，实现物流资源集约整合和精准匹配，有效提高城市配送运行效率；向客户企业提供信息查询、物流追踪、在线交易、保险理赔等基本服务以及多元化的增值服务，满足供应链上下游企业一站式服务需求。（单位：个）</w:t>
      </w:r>
    </w:p>
    <w:p w:rsidR="001160FE" w:rsidRDefault="001160FE" w:rsidP="001160FE">
      <w:pPr>
        <w:snapToGrid w:val="0"/>
        <w:spacing w:line="360" w:lineRule="auto"/>
        <w:ind w:firstLineChars="200" w:firstLine="640"/>
        <w:rPr>
          <w:rFonts w:eastAsia="黑体" w:hint="eastAsia"/>
          <w:bCs/>
          <w:sz w:val="32"/>
          <w:szCs w:val="21"/>
        </w:rPr>
      </w:pPr>
      <w:r>
        <w:rPr>
          <w:rFonts w:eastAsia="黑体" w:hint="eastAsia"/>
          <w:bCs/>
          <w:sz w:val="32"/>
          <w:szCs w:val="21"/>
        </w:rPr>
        <w:t>七、市场主体培育</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19</w:t>
      </w:r>
      <w:r>
        <w:rPr>
          <w:rFonts w:eastAsia="黑体" w:hint="eastAsia"/>
          <w:bCs/>
          <w:sz w:val="32"/>
          <w:szCs w:val="21"/>
        </w:rPr>
        <w:t>．运作高效、服务规范的专业城市配送企业</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示范建设期末，培育形成</w:t>
      </w:r>
      <w:r>
        <w:rPr>
          <w:rFonts w:eastAsia="仿宋_GB2312" w:hint="eastAsia"/>
          <w:sz w:val="32"/>
        </w:rPr>
        <w:t>3A</w:t>
      </w:r>
      <w:r>
        <w:rPr>
          <w:rFonts w:eastAsia="仿宋_GB2312" w:hint="eastAsia"/>
          <w:sz w:val="32"/>
        </w:rPr>
        <w:t>级（含）以上城市配送企业数量。（单位：家）</w:t>
      </w:r>
    </w:p>
    <w:p w:rsidR="001160FE" w:rsidRDefault="001160FE" w:rsidP="001160FE">
      <w:pPr>
        <w:snapToGrid w:val="0"/>
        <w:spacing w:line="360" w:lineRule="auto"/>
        <w:ind w:firstLineChars="200" w:firstLine="640"/>
        <w:rPr>
          <w:rFonts w:eastAsia="黑体" w:hint="eastAsia"/>
          <w:bCs/>
          <w:sz w:val="32"/>
          <w:szCs w:val="21"/>
        </w:rPr>
      </w:pPr>
      <w:r>
        <w:rPr>
          <w:rFonts w:eastAsia="黑体" w:hint="eastAsia"/>
          <w:bCs/>
          <w:sz w:val="32"/>
          <w:szCs w:val="21"/>
        </w:rPr>
        <w:t>八、物流降本增效</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20</w:t>
      </w:r>
      <w:r>
        <w:rPr>
          <w:rFonts w:eastAsia="黑体" w:hint="eastAsia"/>
          <w:bCs/>
          <w:sz w:val="32"/>
          <w:szCs w:val="21"/>
        </w:rPr>
        <w:t>．城市配送车辆利用率较示范建设期初提高的比例</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示范建设期末，城市配送示范企业车辆平均日单车行驶里程较示范建设期初（</w:t>
      </w:r>
      <w:r>
        <w:rPr>
          <w:rFonts w:eastAsia="仿宋_GB2312" w:hint="eastAsia"/>
          <w:sz w:val="32"/>
        </w:rPr>
        <w:t>2018</w:t>
      </w:r>
      <w:r>
        <w:rPr>
          <w:rFonts w:eastAsia="仿宋_GB2312" w:hint="eastAsia"/>
          <w:sz w:val="32"/>
        </w:rPr>
        <w:t>年</w:t>
      </w:r>
      <w:r>
        <w:rPr>
          <w:rFonts w:eastAsia="仿宋_GB2312" w:hint="eastAsia"/>
          <w:sz w:val="32"/>
        </w:rPr>
        <w:t>7</w:t>
      </w:r>
      <w:r>
        <w:rPr>
          <w:rFonts w:eastAsia="仿宋_GB2312" w:hint="eastAsia"/>
          <w:sz w:val="32"/>
        </w:rPr>
        <w:t>月）提升的比率，见式（</w:t>
      </w:r>
      <w:r>
        <w:rPr>
          <w:rFonts w:eastAsia="仿宋_GB2312" w:hint="eastAsia"/>
          <w:sz w:val="32"/>
        </w:rPr>
        <w:t>C.1</w:t>
      </w:r>
      <w:r>
        <w:rPr>
          <w:rFonts w:eastAsia="仿宋_GB2312" w:hint="eastAsia"/>
          <w:sz w:val="32"/>
        </w:rPr>
        <w:t>），单位：</w:t>
      </w:r>
      <w:r>
        <w:rPr>
          <w:rFonts w:eastAsia="仿宋_GB2312" w:hint="eastAsia"/>
          <w:sz w:val="32"/>
        </w:rPr>
        <w:t>%</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position w:val="-30"/>
          <w:sz w:val="32"/>
        </w:rPr>
        <w:object w:dxaOrig="2054" w:dyaOrig="684">
          <v:shape id="_x0000_i1041" type="#_x0000_t75" style="width:120.75pt;height:40.5pt;mso-position-horizontal-relative:page;mso-position-vertical-relative:page" o:ole="">
            <v:imagedata r:id="rId36" o:title=""/>
          </v:shape>
          <o:OLEObject Type="Embed" ProgID="Equation.KSEE3" ShapeID="_x0000_i1041" DrawAspect="Content" ObjectID="_1590582644" r:id="rId37">
            <o:FieldCodes>\* MERGEFORMAT</o:FieldCodes>
          </o:OLEObject>
        </w:object>
      </w:r>
      <w:r>
        <w:rPr>
          <w:rFonts w:eastAsia="仿宋_GB2312" w:hint="eastAsia"/>
          <w:sz w:val="32"/>
        </w:rPr>
        <w:t xml:space="preserve">                           </w:t>
      </w:r>
      <w:r>
        <w:rPr>
          <w:rFonts w:eastAsia="仿宋_GB2312" w:hint="eastAsia"/>
          <w:sz w:val="32"/>
        </w:rPr>
        <w:t>（</w:t>
      </w:r>
      <w:r>
        <w:rPr>
          <w:rFonts w:eastAsia="仿宋_GB2312" w:hint="eastAsia"/>
          <w:sz w:val="32"/>
        </w:rPr>
        <w:t>C.1</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式中：</w:t>
      </w:r>
      <w:r>
        <w:rPr>
          <w:rFonts w:eastAsia="仿宋_GB2312" w:hint="eastAsia"/>
          <w:position w:val="-10"/>
          <w:sz w:val="32"/>
        </w:rPr>
        <w:object w:dxaOrig="286" w:dyaOrig="348">
          <v:shape id="_x0000_i1042" type="#_x0000_t75" style="width:18.75pt;height:22.5pt;mso-position-horizontal-relative:page;mso-position-vertical-relative:page" o:ole="">
            <v:imagedata r:id="rId38" o:title=""/>
          </v:shape>
          <o:OLEObject Type="Embed" ProgID="Equation.KSEE3" ShapeID="_x0000_i1042" DrawAspect="Content" ObjectID="_1590582645" r:id="rId39">
            <o:FieldCodes>\* MERGEFORMAT</o:FieldCodes>
          </o:OLEObject>
        </w:object>
      </w:r>
      <w:r>
        <w:rPr>
          <w:rFonts w:eastAsia="仿宋_GB2312" w:hint="eastAsia"/>
          <w:sz w:val="32"/>
        </w:rPr>
        <w:t>——城市配送车辆利用率较示范建设期初提高的比例；</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lastRenderedPageBreak/>
        <w:t xml:space="preserve">      </w:t>
      </w:r>
      <w:r>
        <w:rPr>
          <w:rFonts w:eastAsia="仿宋_GB2312" w:hint="eastAsia"/>
          <w:position w:val="-10"/>
          <w:sz w:val="32"/>
        </w:rPr>
        <w:object w:dxaOrig="348" w:dyaOrig="348">
          <v:shape id="_x0000_i1043" type="#_x0000_t75" style="width:24pt;height:24pt;mso-position-horizontal-relative:page;mso-position-vertical-relative:page" o:ole="">
            <v:imagedata r:id="rId40" o:title=""/>
          </v:shape>
          <o:OLEObject Type="Embed" ProgID="Equation.KSEE3" ShapeID="_x0000_i1043" DrawAspect="Content" ObjectID="_1590582646" r:id="rId41">
            <o:FieldCodes>\* MERGEFORMAT</o:FieldCodes>
          </o:OLEObject>
        </w:object>
      </w:r>
      <w:r>
        <w:rPr>
          <w:rFonts w:eastAsia="仿宋_GB2312" w:hint="eastAsia"/>
          <w:sz w:val="32"/>
        </w:rPr>
        <w:t>——期末平均日单车行驶里程；</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10"/>
          <w:sz w:val="32"/>
        </w:rPr>
        <w:object w:dxaOrig="307" w:dyaOrig="348">
          <v:shape id="_x0000_i1044" type="#_x0000_t75" style="width:23.25pt;height:27pt;mso-position-horizontal-relative:page;mso-position-vertical-relative:page" o:ole="">
            <v:imagedata r:id="rId42" o:title=""/>
          </v:shape>
          <o:OLEObject Type="Embed" ProgID="Equation.KSEE3" ShapeID="_x0000_i1044" DrawAspect="Content" ObjectID="_1590582647" r:id="rId43">
            <o:FieldCodes>\* MERGEFORMAT</o:FieldCodes>
          </o:OLEObject>
        </w:object>
      </w:r>
      <w:r>
        <w:rPr>
          <w:rFonts w:eastAsia="仿宋_GB2312" w:hint="eastAsia"/>
          <w:sz w:val="32"/>
        </w:rPr>
        <w:t>——期初平均日单车行驶里程。</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21</w:t>
      </w:r>
      <w:r>
        <w:rPr>
          <w:rFonts w:eastAsia="黑体" w:hint="eastAsia"/>
          <w:bCs/>
          <w:sz w:val="32"/>
          <w:szCs w:val="21"/>
        </w:rPr>
        <w:t>．城市配送成本较示范建设期初降低的比例</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示范建设期末，城市配送吨公里运输成本较示范建设期初（</w:t>
      </w:r>
      <w:r>
        <w:rPr>
          <w:rFonts w:eastAsia="仿宋_GB2312" w:hint="eastAsia"/>
          <w:sz w:val="32"/>
        </w:rPr>
        <w:t>2018</w:t>
      </w:r>
      <w:r>
        <w:rPr>
          <w:rFonts w:eastAsia="仿宋_GB2312" w:hint="eastAsia"/>
          <w:sz w:val="32"/>
        </w:rPr>
        <w:t>年</w:t>
      </w:r>
      <w:r>
        <w:rPr>
          <w:rFonts w:eastAsia="仿宋_GB2312" w:hint="eastAsia"/>
          <w:sz w:val="32"/>
        </w:rPr>
        <w:t>7</w:t>
      </w:r>
      <w:r>
        <w:rPr>
          <w:rFonts w:eastAsia="仿宋_GB2312" w:hint="eastAsia"/>
          <w:sz w:val="32"/>
        </w:rPr>
        <w:t>月）下降的比率。配送运输成本应按照《社会物流统计指标体系》（</w:t>
      </w:r>
      <w:r>
        <w:rPr>
          <w:rFonts w:eastAsia="仿宋_GB2312" w:hint="eastAsia"/>
          <w:sz w:val="32"/>
        </w:rPr>
        <w:t>GB/T 24361-2009</w:t>
      </w:r>
      <w:r>
        <w:rPr>
          <w:rFonts w:eastAsia="仿宋_GB2312" w:hint="eastAsia"/>
          <w:sz w:val="32"/>
        </w:rPr>
        <w:t>）的要求核算，见式（</w:t>
      </w:r>
      <w:r>
        <w:rPr>
          <w:rFonts w:eastAsia="仿宋_GB2312" w:hint="eastAsia"/>
          <w:sz w:val="32"/>
        </w:rPr>
        <w:t>C.2</w:t>
      </w:r>
      <w:r>
        <w:rPr>
          <w:rFonts w:eastAsia="仿宋_GB2312" w:hint="eastAsia"/>
          <w:sz w:val="32"/>
        </w:rPr>
        <w:t>），单位：</w:t>
      </w:r>
      <w:r>
        <w:rPr>
          <w:rFonts w:eastAsia="仿宋_GB2312" w:hint="eastAsia"/>
          <w:sz w:val="32"/>
        </w:rPr>
        <w:t>%</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position w:val="-30"/>
          <w:sz w:val="32"/>
        </w:rPr>
        <w:object w:dxaOrig="2013" w:dyaOrig="684">
          <v:shape id="_x0000_i1045" type="#_x0000_t75" style="width:118.5pt;height:40.5pt;mso-position-horizontal-relative:page;mso-position-vertical-relative:page" o:ole="">
            <v:imagedata r:id="rId44" o:title=""/>
          </v:shape>
          <o:OLEObject Type="Embed" ProgID="Equation.KSEE3" ShapeID="_x0000_i1045" DrawAspect="Content" ObjectID="_1590582648" r:id="rId45">
            <o:FieldCodes>\* MERGEFORMAT</o:FieldCodes>
          </o:OLEObject>
        </w:object>
      </w:r>
      <w:r>
        <w:rPr>
          <w:rFonts w:eastAsia="仿宋_GB2312" w:hint="eastAsia"/>
          <w:sz w:val="32"/>
        </w:rPr>
        <w:t xml:space="preserve">                           </w:t>
      </w:r>
      <w:r>
        <w:rPr>
          <w:rFonts w:eastAsia="仿宋_GB2312" w:hint="eastAsia"/>
          <w:sz w:val="32"/>
        </w:rPr>
        <w:t>（</w:t>
      </w:r>
      <w:r>
        <w:rPr>
          <w:rFonts w:eastAsia="仿宋_GB2312" w:hint="eastAsia"/>
          <w:sz w:val="32"/>
        </w:rPr>
        <w:t>C.2</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式中：</w:t>
      </w:r>
      <w:r>
        <w:rPr>
          <w:rFonts w:eastAsia="仿宋_GB2312" w:hint="eastAsia"/>
          <w:position w:val="-10"/>
          <w:sz w:val="32"/>
        </w:rPr>
        <w:object w:dxaOrig="307" w:dyaOrig="348">
          <v:shape id="_x0000_i1046" type="#_x0000_t75" style="width:20.25pt;height:22.5pt;mso-position-horizontal-relative:page;mso-position-vertical-relative:page" o:ole="">
            <v:imagedata r:id="rId46" o:title=""/>
          </v:shape>
          <o:OLEObject Type="Embed" ProgID="Equation.KSEE3" ShapeID="_x0000_i1046" DrawAspect="Content" ObjectID="_1590582649" r:id="rId47">
            <o:FieldCodes>\* MERGEFORMAT</o:FieldCodes>
          </o:OLEObject>
        </w:object>
      </w:r>
      <w:r>
        <w:rPr>
          <w:rFonts w:eastAsia="仿宋_GB2312" w:hint="eastAsia"/>
          <w:sz w:val="32"/>
        </w:rPr>
        <w:t>——城市配送成本较示范建设期初降低的比例；</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10"/>
          <w:sz w:val="32"/>
        </w:rPr>
        <w:object w:dxaOrig="246" w:dyaOrig="348">
          <v:shape id="_x0000_i1047" type="#_x0000_t75" style="width:16.5pt;height:24pt;mso-position-horizontal-relative:page;mso-position-vertical-relative:page" o:ole="">
            <v:imagedata r:id="rId48" o:title=""/>
          </v:shape>
          <o:OLEObject Type="Embed" ProgID="Equation.KSEE3" ShapeID="_x0000_i1047" DrawAspect="Content" ObjectID="_1590582650" r:id="rId49">
            <o:FieldCodes>\* MERGEFORMAT</o:FieldCodes>
          </o:OLEObject>
        </w:object>
      </w:r>
      <w:r>
        <w:rPr>
          <w:rFonts w:eastAsia="仿宋_GB2312" w:hint="eastAsia"/>
          <w:sz w:val="32"/>
        </w:rPr>
        <w:t>——期初平均吨公里配送运输成本；</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Pr>
          <w:rFonts w:eastAsia="仿宋_GB2312" w:hint="eastAsia"/>
          <w:position w:val="-10"/>
          <w:sz w:val="32"/>
        </w:rPr>
        <w:object w:dxaOrig="266" w:dyaOrig="348">
          <v:shape id="_x0000_i1048" type="#_x0000_t75" style="width:20.25pt;height:27pt;mso-position-horizontal-relative:page;mso-position-vertical-relative:page" o:ole="">
            <v:imagedata r:id="rId50" o:title=""/>
          </v:shape>
          <o:OLEObject Type="Embed" ProgID="Equation.KSEE3" ShapeID="_x0000_i1048" DrawAspect="Content" ObjectID="_1590582651" r:id="rId51">
            <o:FieldCodes>\* MERGEFORMAT</o:FieldCodes>
          </o:OLEObject>
        </w:object>
      </w:r>
      <w:r>
        <w:rPr>
          <w:rFonts w:eastAsia="仿宋_GB2312" w:hint="eastAsia"/>
          <w:sz w:val="32"/>
        </w:rPr>
        <w:t>——期末平均吨公里配送运输成本。</w:t>
      </w:r>
    </w:p>
    <w:p w:rsidR="001160FE" w:rsidRDefault="001160FE" w:rsidP="001160FE">
      <w:pPr>
        <w:snapToGrid w:val="0"/>
        <w:spacing w:line="360" w:lineRule="auto"/>
        <w:ind w:firstLineChars="200" w:firstLine="640"/>
        <w:rPr>
          <w:rFonts w:eastAsia="黑体"/>
          <w:bCs/>
          <w:sz w:val="32"/>
          <w:szCs w:val="21"/>
        </w:rPr>
      </w:pPr>
      <w:r>
        <w:rPr>
          <w:rFonts w:eastAsia="黑体" w:hint="eastAsia"/>
          <w:bCs/>
          <w:sz w:val="32"/>
          <w:szCs w:val="21"/>
        </w:rPr>
        <w:t>22</w:t>
      </w:r>
      <w:r>
        <w:rPr>
          <w:rFonts w:eastAsia="黑体" w:hint="eastAsia"/>
          <w:bCs/>
          <w:sz w:val="32"/>
          <w:szCs w:val="21"/>
        </w:rPr>
        <w:t>．城市配送车辆单位周转量能耗较示范建设期初降低的比例</w:t>
      </w:r>
    </w:p>
    <w:p w:rsidR="001160FE" w:rsidRDefault="001160FE" w:rsidP="001160FE">
      <w:pPr>
        <w:snapToGrid w:val="0"/>
        <w:spacing w:line="360" w:lineRule="auto"/>
        <w:ind w:firstLineChars="200" w:firstLine="640"/>
        <w:rPr>
          <w:rFonts w:eastAsia="仿宋_GB2312"/>
          <w:sz w:val="32"/>
        </w:rPr>
      </w:pPr>
      <w:r>
        <w:rPr>
          <w:rFonts w:eastAsia="仿宋_GB2312" w:hint="eastAsia"/>
          <w:sz w:val="32"/>
        </w:rPr>
        <w:t>示范建设期末，城市配送车辆百吨公里周转量燃料消耗较示范建设期初（</w:t>
      </w:r>
      <w:r>
        <w:rPr>
          <w:rFonts w:eastAsia="仿宋_GB2312" w:hint="eastAsia"/>
          <w:sz w:val="32"/>
        </w:rPr>
        <w:t>2018</w:t>
      </w:r>
      <w:r>
        <w:rPr>
          <w:rFonts w:eastAsia="仿宋_GB2312" w:hint="eastAsia"/>
          <w:sz w:val="32"/>
        </w:rPr>
        <w:t>年</w:t>
      </w:r>
      <w:r>
        <w:rPr>
          <w:rFonts w:eastAsia="仿宋_GB2312" w:hint="eastAsia"/>
          <w:sz w:val="32"/>
        </w:rPr>
        <w:t>7</w:t>
      </w:r>
      <w:r>
        <w:rPr>
          <w:rFonts w:eastAsia="仿宋_GB2312" w:hint="eastAsia"/>
          <w:sz w:val="32"/>
        </w:rPr>
        <w:t>月）下降的比率。百吨公里燃料消耗量＝燃料消耗总量</w:t>
      </w:r>
      <w:r>
        <w:rPr>
          <w:rFonts w:eastAsia="仿宋_GB2312" w:hint="eastAsia"/>
          <w:sz w:val="32"/>
        </w:rPr>
        <w:t>/</w:t>
      </w:r>
      <w:r>
        <w:rPr>
          <w:rFonts w:eastAsia="仿宋_GB2312" w:hint="eastAsia"/>
          <w:sz w:val="32"/>
        </w:rPr>
        <w:t>（总货物周转量</w:t>
      </w:r>
      <w:r>
        <w:rPr>
          <w:rFonts w:ascii="宋体" w:hAnsi="宋体" w:hint="eastAsia"/>
          <w:sz w:val="32"/>
        </w:rPr>
        <w:t>/</w:t>
      </w:r>
      <w:r>
        <w:rPr>
          <w:rFonts w:eastAsia="仿宋_GB2312" w:hint="eastAsia"/>
          <w:sz w:val="32"/>
        </w:rPr>
        <w:t>100</w:t>
      </w:r>
      <w:r>
        <w:rPr>
          <w:rFonts w:eastAsia="仿宋_GB2312" w:hint="eastAsia"/>
          <w:sz w:val="32"/>
        </w:rPr>
        <w:t>），见式（</w:t>
      </w:r>
      <w:r>
        <w:rPr>
          <w:rFonts w:eastAsia="仿宋_GB2312" w:hint="eastAsia"/>
          <w:sz w:val="32"/>
        </w:rPr>
        <w:t>C.3</w:t>
      </w:r>
      <w:r>
        <w:rPr>
          <w:rFonts w:eastAsia="仿宋_GB2312" w:hint="eastAsia"/>
          <w:sz w:val="32"/>
        </w:rPr>
        <w:t>），单位：</w:t>
      </w:r>
      <w:r>
        <w:rPr>
          <w:rFonts w:eastAsia="仿宋_GB2312" w:hint="eastAsia"/>
          <w:sz w:val="32"/>
        </w:rPr>
        <w:t>%</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position w:val="-30"/>
          <w:sz w:val="32"/>
        </w:rPr>
        <w:object w:dxaOrig="2032" w:dyaOrig="684">
          <v:shape id="_x0000_i1049" type="#_x0000_t75" style="width:119.25pt;height:40.5pt;mso-position-horizontal-relative:page;mso-position-vertical-relative:page" o:ole="">
            <v:imagedata r:id="rId52" o:title=""/>
          </v:shape>
          <o:OLEObject Type="Embed" ProgID="Equation.KSEE3" ShapeID="_x0000_i1049" DrawAspect="Content" ObjectID="_1590582652" r:id="rId53">
            <o:FieldCodes>\* MERGEFORMAT</o:FieldCodes>
          </o:OLEObject>
        </w:object>
      </w:r>
      <w:r>
        <w:rPr>
          <w:rFonts w:eastAsia="仿宋_GB2312" w:hint="eastAsia"/>
          <w:sz w:val="32"/>
        </w:rPr>
        <w:t xml:space="preserve">                           </w:t>
      </w:r>
      <w:r>
        <w:rPr>
          <w:rFonts w:eastAsia="仿宋_GB2312" w:hint="eastAsia"/>
          <w:sz w:val="32"/>
        </w:rPr>
        <w:t>（</w:t>
      </w:r>
      <w:r>
        <w:rPr>
          <w:rFonts w:eastAsia="仿宋_GB2312" w:hint="eastAsia"/>
          <w:sz w:val="32"/>
        </w:rPr>
        <w:t>C.3</w:t>
      </w:r>
      <w:r>
        <w:rPr>
          <w:rFonts w:eastAsia="仿宋_GB2312" w:hint="eastAsia"/>
          <w:sz w:val="32"/>
        </w:rPr>
        <w:t>）</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式中：</w:t>
      </w:r>
      <w:r>
        <w:rPr>
          <w:rFonts w:eastAsia="仿宋_GB2312" w:hint="eastAsia"/>
          <w:position w:val="-12"/>
          <w:sz w:val="32"/>
        </w:rPr>
        <w:object w:dxaOrig="306" w:dyaOrig="367">
          <v:shape id="_x0000_i1050" type="#_x0000_t75" style="width:20.25pt;height:24pt;mso-position-horizontal-relative:page;mso-position-vertical-relative:page" o:ole="">
            <v:imagedata r:id="rId54" o:title=""/>
          </v:shape>
          <o:OLEObject Type="Embed" ProgID="Equation.KSEE3" ShapeID="_x0000_i1050" DrawAspect="Content" ObjectID="_1590582653" r:id="rId55">
            <o:FieldCodes>\* MERGEFORMAT</o:FieldCodes>
          </o:OLEObject>
        </w:object>
      </w:r>
      <w:r>
        <w:rPr>
          <w:rFonts w:eastAsia="仿宋_GB2312" w:hint="eastAsia"/>
          <w:sz w:val="32"/>
        </w:rPr>
        <w:t>——城市配送车辆单位周转量能耗较示范建设期初降低的比例；</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lastRenderedPageBreak/>
        <w:t xml:space="preserve">      </w:t>
      </w:r>
      <w:r w:rsidRPr="008A2A44">
        <w:rPr>
          <w:rFonts w:eastAsia="仿宋_GB2312" w:hint="eastAsia"/>
          <w:i/>
          <w:sz w:val="32"/>
        </w:rPr>
        <w:t>R</w:t>
      </w:r>
      <w:r w:rsidRPr="008A2A44">
        <w:rPr>
          <w:rFonts w:eastAsia="仿宋_GB2312" w:hint="eastAsia"/>
          <w:i/>
          <w:sz w:val="32"/>
          <w:vertAlign w:val="subscript"/>
        </w:rPr>
        <w:t>1</w:t>
      </w:r>
      <w:r>
        <w:rPr>
          <w:rFonts w:eastAsia="仿宋_GB2312" w:hint="eastAsia"/>
          <w:sz w:val="32"/>
        </w:rPr>
        <w:t>——期初百吨公里燃料消耗量。</w:t>
      </w:r>
    </w:p>
    <w:p w:rsidR="001160FE" w:rsidRDefault="001160FE" w:rsidP="001160FE">
      <w:pPr>
        <w:snapToGrid w:val="0"/>
        <w:spacing w:line="360" w:lineRule="auto"/>
        <w:ind w:firstLineChars="200" w:firstLine="640"/>
        <w:rPr>
          <w:rFonts w:eastAsia="仿宋_GB2312" w:hint="eastAsia"/>
          <w:sz w:val="32"/>
        </w:rPr>
      </w:pPr>
      <w:r>
        <w:rPr>
          <w:rFonts w:eastAsia="仿宋_GB2312" w:hint="eastAsia"/>
          <w:sz w:val="32"/>
        </w:rPr>
        <w:t xml:space="preserve">      </w:t>
      </w:r>
      <w:r w:rsidRPr="008A2A44">
        <w:rPr>
          <w:rFonts w:eastAsia="仿宋_GB2312" w:hint="eastAsia"/>
          <w:i/>
          <w:sz w:val="32"/>
        </w:rPr>
        <w:t>R</w:t>
      </w:r>
      <w:r w:rsidRPr="008A2A44">
        <w:rPr>
          <w:rFonts w:eastAsia="仿宋_GB2312" w:hint="eastAsia"/>
          <w:i/>
          <w:sz w:val="32"/>
          <w:vertAlign w:val="subscript"/>
        </w:rPr>
        <w:t>2</w:t>
      </w:r>
      <w:r>
        <w:rPr>
          <w:rFonts w:eastAsia="仿宋_GB2312" w:hint="eastAsia"/>
          <w:sz w:val="32"/>
        </w:rPr>
        <w:t>——期末百吨公里燃料消耗量；</w:t>
      </w:r>
    </w:p>
    <w:p w:rsidR="001160FE" w:rsidRDefault="001160FE" w:rsidP="001160FE">
      <w:pPr>
        <w:snapToGrid w:val="0"/>
        <w:spacing w:line="360" w:lineRule="auto"/>
        <w:rPr>
          <w:rFonts w:eastAsia="仿宋_GB2312" w:hint="eastAsia"/>
          <w:sz w:val="32"/>
        </w:rPr>
      </w:pPr>
    </w:p>
    <w:p w:rsidR="001160FE" w:rsidRDefault="001160FE" w:rsidP="001160FE">
      <w:pPr>
        <w:snapToGrid w:val="0"/>
        <w:spacing w:line="360" w:lineRule="auto"/>
        <w:rPr>
          <w:rFonts w:eastAsia="仿宋_GB2312" w:hint="eastAsia"/>
          <w:sz w:val="32"/>
        </w:rPr>
      </w:pPr>
    </w:p>
    <w:p w:rsidR="001160FE" w:rsidRDefault="001160FE" w:rsidP="001160FE">
      <w:pPr>
        <w:snapToGrid w:val="0"/>
        <w:spacing w:line="360" w:lineRule="auto"/>
        <w:rPr>
          <w:rFonts w:eastAsia="仿宋_GB2312"/>
          <w:sz w:val="32"/>
        </w:rPr>
        <w:sectPr w:rsidR="001160FE">
          <w:pgSz w:w="11906" w:h="16838"/>
          <w:pgMar w:top="1440" w:right="1800" w:bottom="1440" w:left="1800" w:header="851" w:footer="992" w:gutter="0"/>
          <w:cols w:space="720"/>
          <w:docGrid w:type="lines" w:linePitch="312"/>
        </w:sectPr>
      </w:pPr>
    </w:p>
    <w:p w:rsidR="001160FE" w:rsidRDefault="001160FE" w:rsidP="001160FE">
      <w:pPr>
        <w:snapToGrid w:val="0"/>
        <w:spacing w:line="360" w:lineRule="auto"/>
        <w:rPr>
          <w:rFonts w:ascii="黑体" w:eastAsia="黑体" w:hAnsi="黑体" w:hint="eastAsia"/>
          <w:sz w:val="32"/>
        </w:rPr>
      </w:pPr>
      <w:r>
        <w:rPr>
          <w:rFonts w:ascii="黑体" w:eastAsia="黑体" w:hAnsi="黑体" w:hint="eastAsia"/>
          <w:sz w:val="32"/>
        </w:rPr>
        <w:lastRenderedPageBreak/>
        <w:t>附件2</w:t>
      </w:r>
    </w:p>
    <w:p w:rsidR="001160FE" w:rsidRDefault="001160FE" w:rsidP="001160FE">
      <w:pPr>
        <w:snapToGrid w:val="0"/>
        <w:spacing w:line="360" w:lineRule="auto"/>
        <w:rPr>
          <w:rFonts w:eastAsia="仿宋_GB2312" w:hint="eastAsia"/>
          <w:sz w:val="32"/>
        </w:rPr>
      </w:pPr>
    </w:p>
    <w:p w:rsidR="001160FE" w:rsidRDefault="001160FE" w:rsidP="001160FE">
      <w:pPr>
        <w:snapToGrid w:val="0"/>
        <w:spacing w:afterLines="50" w:after="156" w:line="360" w:lineRule="auto"/>
        <w:jc w:val="center"/>
        <w:rPr>
          <w:rFonts w:ascii="黑体" w:eastAsia="黑体" w:hAnsi="黑体" w:hint="eastAsia"/>
          <w:sz w:val="36"/>
        </w:rPr>
      </w:pPr>
      <w:r>
        <w:rPr>
          <w:rFonts w:ascii="黑体" w:eastAsia="黑体" w:hAnsi="黑体" w:hint="eastAsia"/>
          <w:sz w:val="36"/>
        </w:rPr>
        <w:t>城市绿色货运配送示范工程联系人报名表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277"/>
        <w:gridCol w:w="4961"/>
        <w:gridCol w:w="1701"/>
        <w:gridCol w:w="1984"/>
        <w:gridCol w:w="1843"/>
        <w:gridCol w:w="1449"/>
      </w:tblGrid>
      <w:tr w:rsidR="001160FE" w:rsidTr="00B23AE0">
        <w:tc>
          <w:tcPr>
            <w:tcW w:w="959"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序号</w:t>
            </w:r>
          </w:p>
        </w:tc>
        <w:tc>
          <w:tcPr>
            <w:tcW w:w="1277"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姓名</w:t>
            </w:r>
          </w:p>
        </w:tc>
        <w:tc>
          <w:tcPr>
            <w:tcW w:w="4961"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单位</w:t>
            </w:r>
          </w:p>
        </w:tc>
        <w:tc>
          <w:tcPr>
            <w:tcW w:w="1701"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职务</w:t>
            </w:r>
          </w:p>
        </w:tc>
        <w:tc>
          <w:tcPr>
            <w:tcW w:w="1984"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固定电话</w:t>
            </w:r>
          </w:p>
        </w:tc>
        <w:tc>
          <w:tcPr>
            <w:tcW w:w="1843"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移动电话</w:t>
            </w:r>
          </w:p>
        </w:tc>
        <w:tc>
          <w:tcPr>
            <w:tcW w:w="1449"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传真</w:t>
            </w:r>
          </w:p>
        </w:tc>
      </w:tr>
      <w:tr w:rsidR="001160FE" w:rsidTr="00B23AE0">
        <w:tc>
          <w:tcPr>
            <w:tcW w:w="959"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1</w:t>
            </w:r>
          </w:p>
        </w:tc>
        <w:tc>
          <w:tcPr>
            <w:tcW w:w="1277" w:type="dxa"/>
            <w:vAlign w:val="center"/>
          </w:tcPr>
          <w:p w:rsidR="001160FE" w:rsidRDefault="001160FE" w:rsidP="00B23AE0">
            <w:pPr>
              <w:snapToGrid w:val="0"/>
              <w:spacing w:line="360" w:lineRule="auto"/>
              <w:jc w:val="center"/>
              <w:rPr>
                <w:rFonts w:eastAsia="仿宋_GB2312"/>
                <w:kern w:val="0"/>
                <w:sz w:val="32"/>
              </w:rPr>
            </w:pPr>
          </w:p>
        </w:tc>
        <w:tc>
          <w:tcPr>
            <w:tcW w:w="4961" w:type="dxa"/>
            <w:vAlign w:val="center"/>
          </w:tcPr>
          <w:p w:rsidR="001160FE" w:rsidRDefault="001160FE" w:rsidP="00B23AE0">
            <w:pPr>
              <w:snapToGrid w:val="0"/>
              <w:spacing w:line="360" w:lineRule="auto"/>
              <w:jc w:val="center"/>
              <w:rPr>
                <w:rFonts w:eastAsia="仿宋_GB2312"/>
                <w:kern w:val="0"/>
                <w:sz w:val="32"/>
              </w:rPr>
            </w:pPr>
          </w:p>
        </w:tc>
        <w:tc>
          <w:tcPr>
            <w:tcW w:w="1701" w:type="dxa"/>
            <w:vAlign w:val="center"/>
          </w:tcPr>
          <w:p w:rsidR="001160FE" w:rsidRDefault="001160FE" w:rsidP="00B23AE0">
            <w:pPr>
              <w:snapToGrid w:val="0"/>
              <w:spacing w:line="360" w:lineRule="auto"/>
              <w:jc w:val="center"/>
              <w:rPr>
                <w:rFonts w:eastAsia="仿宋_GB2312"/>
                <w:kern w:val="0"/>
                <w:sz w:val="32"/>
              </w:rPr>
            </w:pPr>
          </w:p>
        </w:tc>
        <w:tc>
          <w:tcPr>
            <w:tcW w:w="1984" w:type="dxa"/>
            <w:vAlign w:val="center"/>
          </w:tcPr>
          <w:p w:rsidR="001160FE" w:rsidRDefault="001160FE" w:rsidP="00B23AE0">
            <w:pPr>
              <w:snapToGrid w:val="0"/>
              <w:spacing w:line="360" w:lineRule="auto"/>
              <w:jc w:val="center"/>
              <w:rPr>
                <w:rFonts w:eastAsia="仿宋_GB2312"/>
                <w:kern w:val="0"/>
                <w:sz w:val="32"/>
              </w:rPr>
            </w:pPr>
          </w:p>
        </w:tc>
        <w:tc>
          <w:tcPr>
            <w:tcW w:w="1843" w:type="dxa"/>
            <w:vAlign w:val="center"/>
          </w:tcPr>
          <w:p w:rsidR="001160FE" w:rsidRDefault="001160FE" w:rsidP="00B23AE0">
            <w:pPr>
              <w:snapToGrid w:val="0"/>
              <w:spacing w:line="360" w:lineRule="auto"/>
              <w:jc w:val="center"/>
              <w:rPr>
                <w:rFonts w:eastAsia="仿宋_GB2312"/>
                <w:kern w:val="0"/>
                <w:sz w:val="32"/>
              </w:rPr>
            </w:pPr>
          </w:p>
        </w:tc>
        <w:tc>
          <w:tcPr>
            <w:tcW w:w="1449" w:type="dxa"/>
            <w:vAlign w:val="center"/>
          </w:tcPr>
          <w:p w:rsidR="001160FE" w:rsidRDefault="001160FE" w:rsidP="00B23AE0">
            <w:pPr>
              <w:snapToGrid w:val="0"/>
              <w:spacing w:line="360" w:lineRule="auto"/>
              <w:jc w:val="center"/>
              <w:rPr>
                <w:rFonts w:eastAsia="仿宋_GB2312"/>
                <w:kern w:val="0"/>
                <w:sz w:val="32"/>
              </w:rPr>
            </w:pPr>
          </w:p>
        </w:tc>
      </w:tr>
      <w:tr w:rsidR="001160FE" w:rsidTr="00B23AE0">
        <w:tc>
          <w:tcPr>
            <w:tcW w:w="959"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2</w:t>
            </w:r>
          </w:p>
        </w:tc>
        <w:tc>
          <w:tcPr>
            <w:tcW w:w="1277" w:type="dxa"/>
            <w:vAlign w:val="center"/>
          </w:tcPr>
          <w:p w:rsidR="001160FE" w:rsidRDefault="001160FE" w:rsidP="00B23AE0">
            <w:pPr>
              <w:snapToGrid w:val="0"/>
              <w:spacing w:line="360" w:lineRule="auto"/>
              <w:jc w:val="center"/>
              <w:rPr>
                <w:rFonts w:eastAsia="仿宋_GB2312"/>
                <w:kern w:val="0"/>
                <w:sz w:val="32"/>
              </w:rPr>
            </w:pPr>
          </w:p>
        </w:tc>
        <w:tc>
          <w:tcPr>
            <w:tcW w:w="4961" w:type="dxa"/>
            <w:vAlign w:val="center"/>
          </w:tcPr>
          <w:p w:rsidR="001160FE" w:rsidRDefault="001160FE" w:rsidP="00B23AE0">
            <w:pPr>
              <w:snapToGrid w:val="0"/>
              <w:spacing w:line="360" w:lineRule="auto"/>
              <w:jc w:val="center"/>
              <w:rPr>
                <w:rFonts w:eastAsia="仿宋_GB2312"/>
                <w:kern w:val="0"/>
                <w:sz w:val="32"/>
              </w:rPr>
            </w:pPr>
          </w:p>
        </w:tc>
        <w:tc>
          <w:tcPr>
            <w:tcW w:w="1701" w:type="dxa"/>
            <w:vAlign w:val="center"/>
          </w:tcPr>
          <w:p w:rsidR="001160FE" w:rsidRDefault="001160FE" w:rsidP="00B23AE0">
            <w:pPr>
              <w:snapToGrid w:val="0"/>
              <w:spacing w:line="360" w:lineRule="auto"/>
              <w:jc w:val="center"/>
              <w:rPr>
                <w:rFonts w:eastAsia="仿宋_GB2312"/>
                <w:kern w:val="0"/>
                <w:sz w:val="32"/>
              </w:rPr>
            </w:pPr>
          </w:p>
        </w:tc>
        <w:tc>
          <w:tcPr>
            <w:tcW w:w="1984" w:type="dxa"/>
            <w:vAlign w:val="center"/>
          </w:tcPr>
          <w:p w:rsidR="001160FE" w:rsidRDefault="001160FE" w:rsidP="00B23AE0">
            <w:pPr>
              <w:snapToGrid w:val="0"/>
              <w:spacing w:line="360" w:lineRule="auto"/>
              <w:jc w:val="center"/>
              <w:rPr>
                <w:rFonts w:eastAsia="仿宋_GB2312"/>
                <w:kern w:val="0"/>
                <w:sz w:val="32"/>
              </w:rPr>
            </w:pPr>
          </w:p>
        </w:tc>
        <w:tc>
          <w:tcPr>
            <w:tcW w:w="1843" w:type="dxa"/>
            <w:vAlign w:val="center"/>
          </w:tcPr>
          <w:p w:rsidR="001160FE" w:rsidRDefault="001160FE" w:rsidP="00B23AE0">
            <w:pPr>
              <w:snapToGrid w:val="0"/>
              <w:spacing w:line="360" w:lineRule="auto"/>
              <w:jc w:val="center"/>
              <w:rPr>
                <w:rFonts w:eastAsia="仿宋_GB2312"/>
                <w:kern w:val="0"/>
                <w:sz w:val="32"/>
              </w:rPr>
            </w:pPr>
          </w:p>
        </w:tc>
        <w:tc>
          <w:tcPr>
            <w:tcW w:w="1449" w:type="dxa"/>
            <w:vAlign w:val="center"/>
          </w:tcPr>
          <w:p w:rsidR="001160FE" w:rsidRDefault="001160FE" w:rsidP="00B23AE0">
            <w:pPr>
              <w:snapToGrid w:val="0"/>
              <w:spacing w:line="360" w:lineRule="auto"/>
              <w:jc w:val="center"/>
              <w:rPr>
                <w:rFonts w:eastAsia="仿宋_GB2312"/>
                <w:kern w:val="0"/>
                <w:sz w:val="32"/>
              </w:rPr>
            </w:pPr>
          </w:p>
        </w:tc>
      </w:tr>
      <w:tr w:rsidR="001160FE" w:rsidTr="00B23AE0">
        <w:tc>
          <w:tcPr>
            <w:tcW w:w="959"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3</w:t>
            </w:r>
          </w:p>
        </w:tc>
        <w:tc>
          <w:tcPr>
            <w:tcW w:w="1277" w:type="dxa"/>
            <w:vAlign w:val="center"/>
          </w:tcPr>
          <w:p w:rsidR="001160FE" w:rsidRDefault="001160FE" w:rsidP="00B23AE0">
            <w:pPr>
              <w:snapToGrid w:val="0"/>
              <w:spacing w:line="360" w:lineRule="auto"/>
              <w:jc w:val="center"/>
              <w:rPr>
                <w:rFonts w:eastAsia="仿宋_GB2312"/>
                <w:kern w:val="0"/>
                <w:sz w:val="32"/>
              </w:rPr>
            </w:pPr>
          </w:p>
        </w:tc>
        <w:tc>
          <w:tcPr>
            <w:tcW w:w="4961" w:type="dxa"/>
            <w:vAlign w:val="center"/>
          </w:tcPr>
          <w:p w:rsidR="001160FE" w:rsidRDefault="001160FE" w:rsidP="00B23AE0">
            <w:pPr>
              <w:snapToGrid w:val="0"/>
              <w:spacing w:line="360" w:lineRule="auto"/>
              <w:jc w:val="center"/>
              <w:rPr>
                <w:rFonts w:eastAsia="仿宋_GB2312"/>
                <w:kern w:val="0"/>
                <w:sz w:val="32"/>
              </w:rPr>
            </w:pPr>
          </w:p>
        </w:tc>
        <w:tc>
          <w:tcPr>
            <w:tcW w:w="1701" w:type="dxa"/>
            <w:vAlign w:val="center"/>
          </w:tcPr>
          <w:p w:rsidR="001160FE" w:rsidRDefault="001160FE" w:rsidP="00B23AE0">
            <w:pPr>
              <w:snapToGrid w:val="0"/>
              <w:spacing w:line="360" w:lineRule="auto"/>
              <w:jc w:val="center"/>
              <w:rPr>
                <w:rFonts w:eastAsia="仿宋_GB2312"/>
                <w:kern w:val="0"/>
                <w:sz w:val="32"/>
              </w:rPr>
            </w:pPr>
          </w:p>
        </w:tc>
        <w:tc>
          <w:tcPr>
            <w:tcW w:w="1984" w:type="dxa"/>
            <w:vAlign w:val="center"/>
          </w:tcPr>
          <w:p w:rsidR="001160FE" w:rsidRDefault="001160FE" w:rsidP="00B23AE0">
            <w:pPr>
              <w:snapToGrid w:val="0"/>
              <w:spacing w:line="360" w:lineRule="auto"/>
              <w:jc w:val="center"/>
              <w:rPr>
                <w:rFonts w:eastAsia="仿宋_GB2312"/>
                <w:kern w:val="0"/>
                <w:sz w:val="32"/>
              </w:rPr>
            </w:pPr>
          </w:p>
        </w:tc>
        <w:tc>
          <w:tcPr>
            <w:tcW w:w="1843" w:type="dxa"/>
            <w:vAlign w:val="center"/>
          </w:tcPr>
          <w:p w:rsidR="001160FE" w:rsidRDefault="001160FE" w:rsidP="00B23AE0">
            <w:pPr>
              <w:snapToGrid w:val="0"/>
              <w:spacing w:line="360" w:lineRule="auto"/>
              <w:jc w:val="center"/>
              <w:rPr>
                <w:rFonts w:eastAsia="仿宋_GB2312"/>
                <w:kern w:val="0"/>
                <w:sz w:val="32"/>
              </w:rPr>
            </w:pPr>
          </w:p>
        </w:tc>
        <w:tc>
          <w:tcPr>
            <w:tcW w:w="1449" w:type="dxa"/>
            <w:vAlign w:val="center"/>
          </w:tcPr>
          <w:p w:rsidR="001160FE" w:rsidRDefault="001160FE" w:rsidP="00B23AE0">
            <w:pPr>
              <w:snapToGrid w:val="0"/>
              <w:spacing w:line="360" w:lineRule="auto"/>
              <w:jc w:val="center"/>
              <w:rPr>
                <w:rFonts w:eastAsia="仿宋_GB2312"/>
                <w:kern w:val="0"/>
                <w:sz w:val="32"/>
              </w:rPr>
            </w:pPr>
          </w:p>
        </w:tc>
      </w:tr>
      <w:tr w:rsidR="001160FE" w:rsidTr="00B23AE0">
        <w:tc>
          <w:tcPr>
            <w:tcW w:w="959" w:type="dxa"/>
            <w:vAlign w:val="center"/>
          </w:tcPr>
          <w:p w:rsidR="001160FE" w:rsidRDefault="001160FE" w:rsidP="00B23AE0">
            <w:pPr>
              <w:snapToGrid w:val="0"/>
              <w:spacing w:line="360" w:lineRule="auto"/>
              <w:jc w:val="center"/>
              <w:rPr>
                <w:rFonts w:eastAsia="仿宋_GB2312"/>
                <w:kern w:val="0"/>
                <w:sz w:val="32"/>
              </w:rPr>
            </w:pPr>
            <w:r>
              <w:rPr>
                <w:rFonts w:eastAsia="仿宋_GB2312" w:hint="eastAsia"/>
                <w:kern w:val="0"/>
                <w:sz w:val="32"/>
              </w:rPr>
              <w:t>4</w:t>
            </w:r>
          </w:p>
        </w:tc>
        <w:tc>
          <w:tcPr>
            <w:tcW w:w="1277" w:type="dxa"/>
            <w:vAlign w:val="center"/>
          </w:tcPr>
          <w:p w:rsidR="001160FE" w:rsidRDefault="001160FE" w:rsidP="00B23AE0">
            <w:pPr>
              <w:snapToGrid w:val="0"/>
              <w:spacing w:line="360" w:lineRule="auto"/>
              <w:jc w:val="center"/>
              <w:rPr>
                <w:rFonts w:eastAsia="仿宋_GB2312"/>
                <w:kern w:val="0"/>
                <w:sz w:val="32"/>
              </w:rPr>
            </w:pPr>
          </w:p>
        </w:tc>
        <w:tc>
          <w:tcPr>
            <w:tcW w:w="4961" w:type="dxa"/>
            <w:vAlign w:val="center"/>
          </w:tcPr>
          <w:p w:rsidR="001160FE" w:rsidRDefault="001160FE" w:rsidP="00B23AE0">
            <w:pPr>
              <w:snapToGrid w:val="0"/>
              <w:spacing w:line="360" w:lineRule="auto"/>
              <w:jc w:val="center"/>
              <w:rPr>
                <w:rFonts w:eastAsia="仿宋_GB2312"/>
                <w:kern w:val="0"/>
                <w:sz w:val="32"/>
              </w:rPr>
            </w:pPr>
          </w:p>
        </w:tc>
        <w:tc>
          <w:tcPr>
            <w:tcW w:w="1701" w:type="dxa"/>
            <w:vAlign w:val="center"/>
          </w:tcPr>
          <w:p w:rsidR="001160FE" w:rsidRDefault="001160FE" w:rsidP="00B23AE0">
            <w:pPr>
              <w:snapToGrid w:val="0"/>
              <w:spacing w:line="360" w:lineRule="auto"/>
              <w:jc w:val="center"/>
              <w:rPr>
                <w:rFonts w:eastAsia="仿宋_GB2312"/>
                <w:kern w:val="0"/>
                <w:sz w:val="32"/>
              </w:rPr>
            </w:pPr>
          </w:p>
        </w:tc>
        <w:tc>
          <w:tcPr>
            <w:tcW w:w="1984" w:type="dxa"/>
            <w:vAlign w:val="center"/>
          </w:tcPr>
          <w:p w:rsidR="001160FE" w:rsidRDefault="001160FE" w:rsidP="00B23AE0">
            <w:pPr>
              <w:snapToGrid w:val="0"/>
              <w:spacing w:line="360" w:lineRule="auto"/>
              <w:jc w:val="center"/>
              <w:rPr>
                <w:rFonts w:eastAsia="仿宋_GB2312"/>
                <w:kern w:val="0"/>
                <w:sz w:val="32"/>
              </w:rPr>
            </w:pPr>
          </w:p>
        </w:tc>
        <w:tc>
          <w:tcPr>
            <w:tcW w:w="1843" w:type="dxa"/>
            <w:vAlign w:val="center"/>
          </w:tcPr>
          <w:p w:rsidR="001160FE" w:rsidRDefault="001160FE" w:rsidP="00B23AE0">
            <w:pPr>
              <w:snapToGrid w:val="0"/>
              <w:spacing w:line="360" w:lineRule="auto"/>
              <w:jc w:val="center"/>
              <w:rPr>
                <w:rFonts w:eastAsia="仿宋_GB2312"/>
                <w:kern w:val="0"/>
                <w:sz w:val="32"/>
              </w:rPr>
            </w:pPr>
          </w:p>
        </w:tc>
        <w:tc>
          <w:tcPr>
            <w:tcW w:w="1449" w:type="dxa"/>
            <w:vAlign w:val="center"/>
          </w:tcPr>
          <w:p w:rsidR="001160FE" w:rsidRDefault="001160FE" w:rsidP="00B23AE0">
            <w:pPr>
              <w:snapToGrid w:val="0"/>
              <w:spacing w:line="360" w:lineRule="auto"/>
              <w:jc w:val="center"/>
              <w:rPr>
                <w:rFonts w:eastAsia="仿宋_GB2312"/>
                <w:kern w:val="0"/>
                <w:sz w:val="32"/>
              </w:rPr>
            </w:pPr>
          </w:p>
        </w:tc>
      </w:tr>
      <w:tr w:rsidR="001160FE" w:rsidTr="00B23AE0">
        <w:tc>
          <w:tcPr>
            <w:tcW w:w="959" w:type="dxa"/>
            <w:vAlign w:val="center"/>
          </w:tcPr>
          <w:p w:rsidR="001160FE" w:rsidRDefault="001160FE" w:rsidP="00B23AE0">
            <w:pPr>
              <w:snapToGrid w:val="0"/>
              <w:spacing w:line="360" w:lineRule="auto"/>
              <w:jc w:val="center"/>
              <w:rPr>
                <w:rFonts w:eastAsia="仿宋_GB2312" w:hint="eastAsia"/>
                <w:kern w:val="0"/>
                <w:sz w:val="32"/>
              </w:rPr>
            </w:pPr>
            <w:r>
              <w:rPr>
                <w:rFonts w:eastAsia="仿宋_GB2312" w:hint="eastAsia"/>
                <w:kern w:val="0"/>
                <w:sz w:val="32"/>
              </w:rPr>
              <w:t>5</w:t>
            </w:r>
          </w:p>
        </w:tc>
        <w:tc>
          <w:tcPr>
            <w:tcW w:w="1277" w:type="dxa"/>
            <w:vAlign w:val="center"/>
          </w:tcPr>
          <w:p w:rsidR="001160FE" w:rsidRDefault="001160FE" w:rsidP="00B23AE0">
            <w:pPr>
              <w:snapToGrid w:val="0"/>
              <w:spacing w:line="360" w:lineRule="auto"/>
              <w:jc w:val="center"/>
              <w:rPr>
                <w:rFonts w:eastAsia="仿宋_GB2312"/>
                <w:kern w:val="0"/>
                <w:sz w:val="32"/>
              </w:rPr>
            </w:pPr>
          </w:p>
        </w:tc>
        <w:tc>
          <w:tcPr>
            <w:tcW w:w="4961" w:type="dxa"/>
            <w:vAlign w:val="center"/>
          </w:tcPr>
          <w:p w:rsidR="001160FE" w:rsidRDefault="001160FE" w:rsidP="00B23AE0">
            <w:pPr>
              <w:snapToGrid w:val="0"/>
              <w:spacing w:line="360" w:lineRule="auto"/>
              <w:jc w:val="center"/>
              <w:rPr>
                <w:rFonts w:eastAsia="仿宋_GB2312"/>
                <w:kern w:val="0"/>
                <w:sz w:val="32"/>
              </w:rPr>
            </w:pPr>
          </w:p>
        </w:tc>
        <w:tc>
          <w:tcPr>
            <w:tcW w:w="1701" w:type="dxa"/>
            <w:vAlign w:val="center"/>
          </w:tcPr>
          <w:p w:rsidR="001160FE" w:rsidRDefault="001160FE" w:rsidP="00B23AE0">
            <w:pPr>
              <w:snapToGrid w:val="0"/>
              <w:spacing w:line="360" w:lineRule="auto"/>
              <w:jc w:val="center"/>
              <w:rPr>
                <w:rFonts w:eastAsia="仿宋_GB2312"/>
                <w:kern w:val="0"/>
                <w:sz w:val="32"/>
              </w:rPr>
            </w:pPr>
          </w:p>
        </w:tc>
        <w:tc>
          <w:tcPr>
            <w:tcW w:w="1984" w:type="dxa"/>
            <w:vAlign w:val="center"/>
          </w:tcPr>
          <w:p w:rsidR="001160FE" w:rsidRDefault="001160FE" w:rsidP="00B23AE0">
            <w:pPr>
              <w:snapToGrid w:val="0"/>
              <w:spacing w:line="360" w:lineRule="auto"/>
              <w:jc w:val="center"/>
              <w:rPr>
                <w:rFonts w:eastAsia="仿宋_GB2312"/>
                <w:kern w:val="0"/>
                <w:sz w:val="32"/>
              </w:rPr>
            </w:pPr>
          </w:p>
        </w:tc>
        <w:tc>
          <w:tcPr>
            <w:tcW w:w="1843" w:type="dxa"/>
            <w:vAlign w:val="center"/>
          </w:tcPr>
          <w:p w:rsidR="001160FE" w:rsidRDefault="001160FE" w:rsidP="00B23AE0">
            <w:pPr>
              <w:snapToGrid w:val="0"/>
              <w:spacing w:line="360" w:lineRule="auto"/>
              <w:jc w:val="center"/>
              <w:rPr>
                <w:rFonts w:eastAsia="仿宋_GB2312"/>
                <w:kern w:val="0"/>
                <w:sz w:val="32"/>
              </w:rPr>
            </w:pPr>
          </w:p>
        </w:tc>
        <w:tc>
          <w:tcPr>
            <w:tcW w:w="1449" w:type="dxa"/>
            <w:vAlign w:val="center"/>
          </w:tcPr>
          <w:p w:rsidR="001160FE" w:rsidRDefault="001160FE" w:rsidP="00B23AE0">
            <w:pPr>
              <w:snapToGrid w:val="0"/>
              <w:spacing w:line="360" w:lineRule="auto"/>
              <w:jc w:val="center"/>
              <w:rPr>
                <w:rFonts w:eastAsia="仿宋_GB2312"/>
                <w:kern w:val="0"/>
                <w:sz w:val="32"/>
              </w:rPr>
            </w:pPr>
          </w:p>
        </w:tc>
      </w:tr>
    </w:tbl>
    <w:p w:rsidR="001160FE" w:rsidRDefault="001160FE" w:rsidP="001160FE">
      <w:pPr>
        <w:snapToGrid w:val="0"/>
        <w:spacing w:line="360" w:lineRule="auto"/>
        <w:ind w:firstLineChars="200" w:firstLine="640"/>
        <w:rPr>
          <w:rFonts w:eastAsia="仿宋_GB2312"/>
          <w:sz w:val="32"/>
        </w:rPr>
      </w:pPr>
    </w:p>
    <w:p w:rsidR="001160FE" w:rsidRDefault="001160FE" w:rsidP="001160FE">
      <w:pPr>
        <w:rPr>
          <w:rFonts w:ascii="仿宋_GB2312" w:eastAsia="仿宋_GB2312" w:hAnsi="仿宋_GB2312" w:hint="eastAsia"/>
          <w:kern w:val="0"/>
          <w:sz w:val="32"/>
          <w:u w:color="000000"/>
        </w:rPr>
      </w:pPr>
    </w:p>
    <w:p w:rsidR="00FC290E" w:rsidRDefault="00FC290E"/>
    <w:sectPr w:rsidR="00FC290E">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FE"/>
    <w:rsid w:val="001160FE"/>
    <w:rsid w:val="00FC2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722E3-AD22-40F2-9F0E-BBBB17B2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image" Target="media/image24.wmf"/><Relationship Id="rId55" Type="http://schemas.openxmlformats.org/officeDocument/2006/relationships/oleObject" Target="embeddings/oleObject26.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3" Type="http://schemas.openxmlformats.org/officeDocument/2006/relationships/oleObject" Target="embeddings/oleObject25.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3.wmf"/><Relationship Id="rId56"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oleObject" Target="embeddings/oleObject24.bin"/><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2018-06-15T07:42:00Z</dcterms:created>
  <dcterms:modified xsi:type="dcterms:W3CDTF">2018-06-15T07:44:00Z</dcterms:modified>
</cp:coreProperties>
</file>