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GWZT-EN" w:hAnsi="方正黑体_GBK" w:eastAsia="方正黑体_GBK" w:cs="方正黑体_GBK"/>
          <w:b/>
          <w:bCs/>
        </w:rPr>
      </w:pPr>
      <w:r>
        <w:rPr>
          <w:rFonts w:hint="eastAsia" w:ascii="GWZT-EN" w:hAnsi="方正黑体_GBK" w:eastAsia="方正黑体_GBK" w:cs="方正黑体_GBK"/>
          <w:b/>
          <w:bCs/>
        </w:rPr>
        <w:t>附件</w:t>
      </w:r>
      <w:r>
        <w:rPr>
          <w:rFonts w:ascii="GWZT-EN" w:hAnsi="GWZT-EN" w:eastAsia="GWZT-EN" w:cs="GWZT-EN"/>
          <w:b/>
          <w:bCs/>
        </w:rPr>
        <w:t>3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8844" w:type="dxa"/>
            <w:noWrap w:val="0"/>
            <w:vAlign w:val="top"/>
          </w:tcPr>
          <w:p>
            <w:pPr>
              <w:tabs>
                <w:tab w:val="left" w:pos="826"/>
              </w:tabs>
              <w:adjustRightInd/>
              <w:spacing w:after="289" w:afterLines="50" w:line="240" w:lineRule="auto"/>
              <w:jc w:val="left"/>
              <w:rPr>
                <w:rFonts w:hint="eastAsia" w:ascii="GWZT-EN" w:hAnsi="方正小标宋_GBK" w:eastAsia="方正小标宋_GBK" w:cs="方正小标宋_GBK"/>
                <w:position w:val="19"/>
                <w:sz w:val="44"/>
                <w:szCs w:val="44"/>
              </w:rPr>
            </w:pPr>
            <w:r>
              <w:rPr>
                <w:rFonts w:hint="eastAsia" w:ascii="GWZT-EN" w:hAnsi="方正小标宋_GBK" w:eastAsia="方正小标宋_GBK" w:cs="方正小标宋_GBK"/>
                <w:position w:val="19"/>
                <w:sz w:val="44"/>
                <w:szCs w:val="44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844" w:type="dxa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GWZT-EN" w:hAnsi="GWZT-EN" w:eastAsia="GWZT-EN" w:cs="GWZT-EN"/>
                <w:sz w:val="44"/>
                <w:szCs w:val="44"/>
              </w:rPr>
            </w:pPr>
            <w:bookmarkStart w:id="0" w:name="_GoBack"/>
            <w:r>
              <w:rPr>
                <w:rFonts w:hint="eastAsia" w:ascii="GWZT-EN" w:hAnsi="方正小标宋_GBK" w:eastAsia="方正小标宋_GBK" w:cs="方正小标宋_GBK"/>
                <w:b/>
                <w:bCs/>
                <w:spacing w:val="-11"/>
                <w:sz w:val="44"/>
                <w:szCs w:val="44"/>
              </w:rPr>
              <w:t>试点任务成果清单</w:t>
            </w:r>
            <w:bookmarkEnd w:id="0"/>
          </w:p>
        </w:tc>
      </w:tr>
    </w:tbl>
    <w:p>
      <w:pPr>
        <w:spacing w:line="20" w:lineRule="exact"/>
        <w:ind w:firstLine="632" w:firstLineChars="200"/>
        <w:rPr>
          <w:rFonts w:hint="eastAsia" w:ascii="GWZT-EN" w:hAnsi="GWZT-EN"/>
          <w:b/>
          <w:bCs/>
        </w:rPr>
      </w:pPr>
    </w:p>
    <w:tbl>
      <w:tblPr>
        <w:tblStyle w:val="2"/>
        <w:tblW w:w="88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99"/>
        <w:gridCol w:w="6466"/>
        <w:gridCol w:w="14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  <w:tblHeader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pacing w:val="203"/>
                <w:kern w:val="0"/>
                <w:sz w:val="21"/>
                <w:szCs w:val="21"/>
                <w:fitText w:val="2059" w:id="1553665412"/>
              </w:rPr>
              <w:t>成果名</w:t>
            </w:r>
            <w:r>
              <w:rPr>
                <w:rFonts w:hint="eastAsia" w:ascii="GWZT-EN" w:hAnsi="GWZT-EN" w:eastAsia="方正书宋_GBK" w:cs="方正书宋_GBK"/>
                <w:b/>
                <w:bCs/>
                <w:spacing w:val="0"/>
                <w:kern w:val="0"/>
                <w:sz w:val="21"/>
                <w:szCs w:val="21"/>
                <w:fitText w:val="2059" w:id="1553665412"/>
              </w:rPr>
              <w:t>称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成果属性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4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240" w:lineRule="auto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《工业固废胶结大粒径碎石路面基层技术规范》（DB36 / T1836—2023）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标准规范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4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240" w:lineRule="auto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《公路路基工程利用锂渣技术规范（试行）》（DB36 / T1968—2024）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标准规范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4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240" w:lineRule="auto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《泡沫轻质土公路工程应用技术指南》（T/CHTS 10165—2024）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标准规范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4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240" w:lineRule="auto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《聚烯烃改性沥青混合料应用技术指南》（T/CCTAS 105—2024）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标准规范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4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240" w:lineRule="auto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矿（钢）渣电石渣泡沫轻质土路基技术指南（T/CHTS 10218—2025）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标准规范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240" w:lineRule="auto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《一种硫系镁质胶凝材料及其使用方法和应用》（专利号：ZL202210253434.7）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专利软著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240" w:lineRule="auto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《一种利用炉渣和电石渣制备的耐氯盐地聚合物胶凝材料》（专利号：ZL202210353413.2）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专利软著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240" w:lineRule="auto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《基于可控活性聚合制备的改性天然橡胶的制备方法、该组合物及其用途》（专利号：ZL202110781990.7）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专利软著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240" w:lineRule="auto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《胶凝工业废渣处理特殊土路基应用研究》（入选2021年交通运输重大科技创新成果库）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关键技术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240" w:lineRule="auto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《公路基础设施生命周期碳核算方法与减碳关键技术》（入选2021年交通运输重大科技创新成果库）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关键技术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240" w:lineRule="auto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《公路基础设施生命周期碳核算方法与减碳关键技术》（2021年度中国公路建设行业协会科技进步特等奖）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研究课题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240" w:lineRule="auto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《热闷钢渣混合料路用性能关键技术研究及应用》（2021年度中国交通运输协会科技进步一等奖）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研究课题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240" w:lineRule="auto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《路用改性沥青高品质低碳关键技术及工程应用》（2022年度中国公路学会科技进步一等奖）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研究课题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240" w:lineRule="auto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《公路路基工程利用锂渣技术规范（试行）》（入选2024年交通运输标准化典型案例）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</w:pPr>
            <w:r>
              <w:rPr>
                <w:rFonts w:hint="eastAsia" w:ascii="GWZT-EN" w:hAnsi="GWZT-EN" w:eastAsia="方正书宋_GBK" w:cs="方正书宋_GBK"/>
                <w:b/>
                <w:bCs/>
                <w:sz w:val="21"/>
                <w:szCs w:val="21"/>
              </w:rPr>
              <w:t>典型案例</w:t>
            </w:r>
          </w:p>
        </w:tc>
      </w:tr>
    </w:tbl>
    <w:p>
      <w:pPr>
        <w:spacing w:line="240" w:lineRule="auto"/>
        <w:ind w:firstLine="632" w:firstLineChars="200"/>
        <w:rPr>
          <w:rFonts w:hint="eastAsia" w:ascii="GWZT-EN" w:hAnsi="GWZT-EN"/>
          <w:b/>
          <w:bCs/>
        </w:rPr>
      </w:pPr>
    </w:p>
    <w:p>
      <w:pPr>
        <w:spacing w:line="240" w:lineRule="auto"/>
        <w:ind w:firstLine="632" w:firstLineChars="200"/>
        <w:rPr>
          <w:rFonts w:hint="eastAsia" w:ascii="GWZT-EN" w:hAnsi="GWZT-EN"/>
          <w:b/>
          <w:bCs/>
        </w:rPr>
      </w:pPr>
    </w:p>
    <w:p>
      <w:pPr>
        <w:spacing w:line="240" w:lineRule="auto"/>
        <w:ind w:firstLine="632" w:firstLineChars="200"/>
        <w:rPr>
          <w:rFonts w:ascii="GWZT-EN" w:hAnsi="GWZT-EN" w:cs="方正仿宋_GBK"/>
          <w:b/>
          <w:bCs/>
        </w:rPr>
      </w:pPr>
      <w:r>
        <w:rPr>
          <w:rFonts w:ascii="GWZT-EN" w:hAnsi="GWZT-EN"/>
          <w:b/>
          <w:bCs/>
        </w:rPr>
        <w:t xml:space="preserve"> </w:t>
      </w:r>
    </w:p>
    <w:p>
      <w:pPr>
        <w:adjustRightInd/>
        <w:spacing w:line="240" w:lineRule="auto"/>
        <w:jc w:val="left"/>
        <w:rPr>
          <w:rFonts w:ascii="GWZT-EN" w:hAnsi="GWZT-EN" w:cs="方正仿宋_GBK"/>
        </w:rPr>
      </w:pPr>
    </w:p>
    <w:p/>
    <w:p/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2098" w:right="1531" w:bottom="1984" w:left="1531" w:header="851" w:footer="958" w:gutter="0"/>
      <w:cols w:space="720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WZT-EN">
    <w:altName w:val="微软雅黑"/>
    <w:panose1 w:val="020204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after="528" w:afterLines="220" w:line="432" w:lineRule="auto"/>
      <w:rPr>
        <w:rFonts w:asci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9495155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　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　—</w:t>
                          </w:r>
                        </w:p>
                      </w:txbxContent>
                    </wps:txbx>
                    <wps:bodyPr rot="0" vertOverflow="overflow" horzOverflow="overflow" vert="horz" wrap="none" lIns="0" tIns="0" rIns="0" bIns="0" spcCol="0" fromWordArt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55pt;margin-top:747.6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U/6v9gAAAANAQAADwAAAAAAAAABACAAAAAiAAAA&#10;ZHJzL2Rvd25yZXYueG1sUEsBAhQAFAAAAAgAh07iQK8UNKsHAgAAHAQAAA4AAAAAAAAAAQAgAAAA&#10;JwEAAGRycy9lMm9Eb2MueG1sUEsFBgAAAAAGAAYAWQEAAKA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　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　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after="528" w:afterLines="220" w:line="432" w:lineRule="auto"/>
      <w:rPr>
        <w:rFonts w:eastAsia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overflowPunct/>
      <w:topLinePunct w:val="0"/>
      <w:spacing w:after="120" w:afterLines="50" w:line="160" w:lineRule="exact"/>
      <w:rPr>
        <w:rFonts w:eastAsia="宋体"/>
        <w:sz w:val="28"/>
      </w:rPr>
    </w:pPr>
  </w:p>
  <w:p>
    <w:pPr>
      <w:tabs>
        <w:tab w:val="center" w:pos="4153"/>
        <w:tab w:val="right" w:pos="8306"/>
      </w:tabs>
      <w:overflowPunct/>
      <w:topLinePunct w:val="0"/>
      <w:spacing w:after="120" w:afterLines="50" w:line="160" w:lineRule="exact"/>
      <w:rPr>
        <w:rFonts w:eastAsia="宋体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sz w:val="38"/>
      </w:rPr>
    </w:pPr>
  </w:p>
  <w:p>
    <w:pPr>
      <w:spacing w:line="240" w:lineRule="atLeast"/>
    </w:pPr>
  </w:p>
  <w:p>
    <w:pPr>
      <w:spacing w:line="240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45EE7"/>
    <w:rsid w:val="4F64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095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095"/>
    <w:pPr>
      <w:widowControl w:val="0"/>
      <w:overflowPunct w:val="0"/>
      <w:topLinePunct/>
      <w:adjustRightInd w:val="0"/>
      <w:spacing w:line="580" w:lineRule="exact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2025-07-02T07:21:00Z</dcterms:created>
  <dc:creator>贾小利</dc:creator>
  <cp:lastModifiedBy>贾小利</cp:lastModifiedBy>
  <dcterms:modified xsi:type="dcterms:W3CDTF">2025-07-02T07:21:48Z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4FDFB1E6C49A49BCA4F1EC132B8CFA10</vt:lpwstr>
  </property>
</Properties>
</file>