
<file path=[Content_Types].xml><?xml version="1.0" encoding="utf-8"?>
<Types xmlns="http://schemas.openxmlformats.org/package/2006/content-types">
  <Default Extension="wmf" ContentType="image/x-wmf"/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EB780">
      <w:pPr>
        <w:spacing w:before="624" w:beforeLines="200" w:after="624" w:afterLines="200"/>
        <w:jc w:val="center"/>
        <w:outlineLvl w:val="0"/>
        <w:rPr>
          <w:rFonts w:ascii="Times New Roman" w:hAnsi="Times New Roman" w:eastAsia="方正小标宋_GBK"/>
          <w:sz w:val="36"/>
          <w:szCs w:val="36"/>
        </w:rPr>
      </w:pPr>
      <w:bookmarkStart w:id="1" w:name="_GoBack"/>
      <w:bookmarkEnd w:id="1"/>
      <w:r>
        <w:rPr>
          <w:rFonts w:ascii="Times New Roman" w:hAnsi="Times New Roman" w:eastAsia="方正小标宋_GBK"/>
          <w:sz w:val="36"/>
          <w:szCs w:val="36"/>
        </w:rPr>
        <w:t>8月</w:t>
      </w:r>
      <w:r>
        <w:rPr>
          <w:rFonts w:hint="eastAsia" w:ascii="Times New Roman" w:hAnsi="Times New Roman" w:eastAsia="方正小标宋_GBK"/>
          <w:sz w:val="36"/>
          <w:szCs w:val="36"/>
        </w:rPr>
        <w:t>交通运输经济</w:t>
      </w:r>
      <w:bookmarkStart w:id="0" w:name="_Hlk67645109"/>
      <w:r>
        <w:rPr>
          <w:rFonts w:hint="eastAsia" w:ascii="Times New Roman" w:hAnsi="Times New Roman" w:eastAsia="方正小标宋_GBK"/>
          <w:sz w:val="36"/>
          <w:szCs w:val="36"/>
        </w:rPr>
        <w:t>运行情况</w:t>
      </w:r>
      <w:bookmarkEnd w:id="0"/>
    </w:p>
    <w:p w14:paraId="11325F74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8月，交通运输经济运行总体延续回升向好态势，货运量、跨区域人员流动量保持平稳增长，港口货物吞吐量增长较快，交通固定资产投资规模保持高位。</w:t>
      </w:r>
    </w:p>
    <w:p w14:paraId="54849039">
      <w:pPr>
        <w:spacing w:line="360" w:lineRule="auto"/>
        <w:ind w:firstLine="640" w:firstLineChars="200"/>
        <w:outlineLvl w:val="0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一、营业性货运量</w:t>
      </w:r>
    </w:p>
    <w:p w14:paraId="7C9DC58D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8月</w:t>
      </w:r>
      <w:r>
        <w:rPr>
          <w:rFonts w:hint="eastAsia" w:ascii="Times New Roman" w:hAnsi="Times New Roman" w:eastAsia="仿宋_GB2312"/>
          <w:sz w:val="32"/>
          <w:szCs w:val="32"/>
        </w:rPr>
        <w:t>，完成营业性货运量</w:t>
      </w:r>
      <w:r>
        <w:rPr>
          <w:rFonts w:ascii="Times New Roman" w:hAnsi="Times New Roman" w:eastAsia="仿宋_GB2312"/>
          <w:sz w:val="32"/>
          <w:szCs w:val="32"/>
        </w:rPr>
        <w:t>50.6</w:t>
      </w:r>
      <w:r>
        <w:rPr>
          <w:rFonts w:hint="eastAsia" w:ascii="Times New Roman" w:hAnsi="Times New Roman" w:eastAsia="仿宋_GB2312"/>
          <w:sz w:val="32"/>
          <w:szCs w:val="32"/>
        </w:rPr>
        <w:t>亿吨，同比增长</w:t>
      </w:r>
      <w:r>
        <w:rPr>
          <w:rFonts w:ascii="Times New Roman" w:hAnsi="Times New Roman" w:eastAsia="仿宋_GB2312"/>
          <w:sz w:val="32"/>
          <w:szCs w:val="32"/>
        </w:rPr>
        <w:t>3.6%</w:t>
      </w:r>
      <w:r>
        <w:rPr>
          <w:rFonts w:hint="eastAsia" w:ascii="Times New Roman" w:hAnsi="Times New Roman" w:eastAsia="仿宋_GB2312"/>
          <w:sz w:val="32"/>
          <w:szCs w:val="32"/>
        </w:rPr>
        <w:t>。其中，完成公路货运量</w:t>
      </w:r>
      <w:r>
        <w:rPr>
          <w:rFonts w:ascii="Times New Roman" w:hAnsi="Times New Roman" w:eastAsia="仿宋_GB2312"/>
          <w:sz w:val="32"/>
          <w:szCs w:val="32"/>
        </w:rPr>
        <w:t>37.5</w:t>
      </w:r>
      <w:r>
        <w:rPr>
          <w:rFonts w:hint="eastAsia" w:ascii="Times New Roman" w:hAnsi="Times New Roman" w:eastAsia="仿宋_GB2312"/>
          <w:sz w:val="32"/>
          <w:szCs w:val="32"/>
        </w:rPr>
        <w:t>亿吨，同比增长</w:t>
      </w:r>
      <w:r>
        <w:rPr>
          <w:rFonts w:ascii="Times New Roman" w:hAnsi="Times New Roman" w:eastAsia="仿宋_GB2312"/>
          <w:sz w:val="32"/>
          <w:szCs w:val="32"/>
        </w:rPr>
        <w:t>3.9%</w:t>
      </w:r>
      <w:r>
        <w:rPr>
          <w:rFonts w:hint="eastAsia" w:ascii="Times New Roman" w:hAnsi="Times New Roman" w:eastAsia="仿宋_GB2312"/>
          <w:sz w:val="32"/>
          <w:szCs w:val="32"/>
        </w:rPr>
        <w:t>；完成水路货运量8.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亿吨，同比增长</w:t>
      </w:r>
      <w:r>
        <w:rPr>
          <w:rFonts w:ascii="Times New Roman" w:hAnsi="Times New Roman" w:eastAsia="仿宋_GB2312"/>
          <w:sz w:val="32"/>
          <w:szCs w:val="32"/>
        </w:rPr>
        <w:t>1.2%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BB0B32D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1—</w:t>
      </w:r>
      <w:r>
        <w:rPr>
          <w:rFonts w:ascii="Times New Roman" w:hAnsi="Times New Roman" w:eastAsia="仿宋_GB2312"/>
          <w:sz w:val="32"/>
          <w:szCs w:val="32"/>
        </w:rPr>
        <w:t>8月</w:t>
      </w:r>
      <w:r>
        <w:rPr>
          <w:rFonts w:hint="eastAsia" w:ascii="Times New Roman" w:hAnsi="Times New Roman" w:eastAsia="仿宋_GB2312"/>
          <w:sz w:val="32"/>
          <w:szCs w:val="32"/>
        </w:rPr>
        <w:t>，完成营业性货运量</w:t>
      </w:r>
      <w:r>
        <w:rPr>
          <w:rFonts w:ascii="Times New Roman" w:hAnsi="Times New Roman" w:eastAsia="仿宋_GB2312"/>
          <w:sz w:val="32"/>
          <w:szCs w:val="32"/>
        </w:rPr>
        <w:t>380.6</w:t>
      </w:r>
      <w:r>
        <w:rPr>
          <w:rFonts w:hint="eastAsia" w:ascii="Times New Roman" w:hAnsi="Times New Roman" w:eastAsia="仿宋_GB2312"/>
          <w:sz w:val="32"/>
          <w:szCs w:val="32"/>
        </w:rPr>
        <w:t>亿吨，同比增长</w:t>
      </w:r>
      <w:r>
        <w:rPr>
          <w:rFonts w:ascii="Times New Roman" w:hAnsi="Times New Roman" w:eastAsia="仿宋_GB2312"/>
          <w:sz w:val="32"/>
          <w:szCs w:val="32"/>
        </w:rPr>
        <w:t>3.8%</w:t>
      </w:r>
      <w:r>
        <w:rPr>
          <w:rFonts w:hint="eastAsia" w:ascii="Times New Roman" w:hAnsi="Times New Roman" w:eastAsia="仿宋_GB2312"/>
          <w:sz w:val="32"/>
          <w:szCs w:val="32"/>
        </w:rPr>
        <w:t>。其中，完成公路货运量</w:t>
      </w:r>
      <w:r>
        <w:rPr>
          <w:rFonts w:ascii="Times New Roman" w:hAnsi="Times New Roman" w:eastAsia="仿宋_GB2312"/>
          <w:sz w:val="32"/>
          <w:szCs w:val="32"/>
        </w:rPr>
        <w:t>280.2</w:t>
      </w:r>
      <w:r>
        <w:rPr>
          <w:rFonts w:hint="eastAsia" w:ascii="Times New Roman" w:hAnsi="Times New Roman" w:eastAsia="仿宋_GB2312"/>
          <w:sz w:val="32"/>
          <w:szCs w:val="32"/>
        </w:rPr>
        <w:t>亿吨，同比增长</w:t>
      </w:r>
      <w:r>
        <w:rPr>
          <w:rFonts w:ascii="Times New Roman" w:hAnsi="Times New Roman" w:eastAsia="仿宋_GB2312"/>
          <w:sz w:val="32"/>
          <w:szCs w:val="32"/>
        </w:rPr>
        <w:t>3.9%</w:t>
      </w:r>
      <w:r>
        <w:rPr>
          <w:rFonts w:hint="eastAsia" w:ascii="Times New Roman" w:hAnsi="Times New Roman" w:eastAsia="仿宋_GB2312"/>
          <w:sz w:val="32"/>
          <w:szCs w:val="32"/>
        </w:rPr>
        <w:t>；完成水路货运量</w:t>
      </w:r>
      <w:r>
        <w:rPr>
          <w:rFonts w:ascii="Times New Roman" w:hAnsi="Times New Roman" w:eastAsia="仿宋_GB2312"/>
          <w:sz w:val="32"/>
          <w:szCs w:val="32"/>
        </w:rPr>
        <w:t>65.6</w:t>
      </w:r>
      <w:r>
        <w:rPr>
          <w:rFonts w:hint="eastAsia" w:ascii="Times New Roman" w:hAnsi="Times New Roman" w:eastAsia="仿宋_GB2312"/>
          <w:sz w:val="32"/>
          <w:szCs w:val="32"/>
        </w:rPr>
        <w:t>亿吨，同比增长</w:t>
      </w:r>
      <w:r>
        <w:rPr>
          <w:rFonts w:ascii="Times New Roman" w:hAnsi="Times New Roman" w:eastAsia="仿宋_GB2312"/>
          <w:sz w:val="32"/>
          <w:szCs w:val="32"/>
        </w:rPr>
        <w:t>3.8%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4D6900D">
      <w:pPr>
        <w:spacing w:line="360" w:lineRule="auto"/>
        <w:jc w:val="center"/>
        <w:rPr>
          <w:rFonts w:ascii="Times New Roman" w:hAnsi="Times New Roman" w:eastAsia="仿宋_GB2312"/>
          <w:sz w:val="32"/>
          <w:szCs w:val="32"/>
          <w:highlight w:val="yellow"/>
        </w:rPr>
      </w:pPr>
      <w:r>
        <w:drawing>
          <wp:inline distT="0" distB="0" distL="0" distR="0">
            <wp:extent cx="5162550" cy="2918460"/>
            <wp:effectExtent l="0" t="0" r="0" b="1524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661203C">
      <w:pPr>
        <w:spacing w:line="360" w:lineRule="auto"/>
        <w:jc w:val="center"/>
        <w:rPr>
          <w:rFonts w:eastAsia="微软雅黑"/>
          <w:sz w:val="24"/>
          <w:szCs w:val="32"/>
        </w:rPr>
      </w:pPr>
      <w:r>
        <w:rPr>
          <w:rFonts w:hint="eastAsia" w:eastAsia="微软雅黑"/>
          <w:sz w:val="24"/>
          <w:szCs w:val="32"/>
        </w:rPr>
        <w:t>图</w:t>
      </w:r>
      <w:r>
        <w:rPr>
          <w:rFonts w:ascii="Times New Roman" w:hAnsi="Times New Roman" w:eastAsia="微软雅黑"/>
          <w:sz w:val="24"/>
          <w:szCs w:val="32"/>
        </w:rPr>
        <w:t>1</w:t>
      </w:r>
      <w:r>
        <w:rPr>
          <w:rFonts w:eastAsia="微软雅黑"/>
          <w:sz w:val="24"/>
          <w:szCs w:val="32"/>
        </w:rPr>
        <w:t xml:space="preserve">  </w:t>
      </w:r>
      <w:r>
        <w:rPr>
          <w:rFonts w:hint="eastAsia" w:eastAsia="微软雅黑"/>
          <w:sz w:val="24"/>
          <w:szCs w:val="32"/>
        </w:rPr>
        <w:t>营业性货运量月度同比</w:t>
      </w:r>
      <w:r>
        <w:rPr>
          <w:rFonts w:eastAsia="微软雅黑"/>
          <w:sz w:val="24"/>
          <w:szCs w:val="32"/>
        </w:rPr>
        <w:t>增速变化</w:t>
      </w:r>
    </w:p>
    <w:p w14:paraId="171E6BA6">
      <w:pPr>
        <w:spacing w:line="360" w:lineRule="auto"/>
        <w:ind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二、港口货物吞吐量</w:t>
      </w:r>
    </w:p>
    <w:p w14:paraId="05148E95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8月，完成港口货物吞吐量15.9亿吨，同比增长4.7%。其中，内、外贸吞吐量同比分别增长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.6%和</w:t>
      </w:r>
      <w:r>
        <w:rPr>
          <w:rFonts w:ascii="Times New Roman" w:hAnsi="Times New Roman" w:eastAsia="仿宋_GB2312"/>
          <w:sz w:val="32"/>
          <w:szCs w:val="32"/>
        </w:rPr>
        <w:t>4.9</w:t>
      </w:r>
      <w:r>
        <w:rPr>
          <w:rFonts w:hint="eastAsia" w:ascii="Times New Roman" w:hAnsi="Times New Roman" w:eastAsia="仿宋_GB2312"/>
          <w:sz w:val="32"/>
          <w:szCs w:val="32"/>
        </w:rPr>
        <w:t>%。完成集装箱吞吐量</w:t>
      </w:r>
      <w:r>
        <w:rPr>
          <w:rFonts w:ascii="Times New Roman" w:hAnsi="Times New Roman" w:eastAsia="仿宋_GB2312"/>
          <w:sz w:val="32"/>
          <w:szCs w:val="32"/>
        </w:rPr>
        <w:t>3149</w:t>
      </w:r>
      <w:r>
        <w:rPr>
          <w:rFonts w:hint="eastAsia" w:ascii="Times New Roman" w:hAnsi="Times New Roman" w:eastAsia="仿宋_GB2312"/>
          <w:sz w:val="32"/>
          <w:szCs w:val="32"/>
        </w:rPr>
        <w:t>万标箱，同比增长</w:t>
      </w:r>
      <w:r>
        <w:rPr>
          <w:rFonts w:ascii="Times New Roman" w:hAnsi="Times New Roman" w:eastAsia="仿宋_GB2312"/>
          <w:sz w:val="32"/>
          <w:szCs w:val="32"/>
        </w:rPr>
        <w:t>6.5%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0AEA45A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</w:rPr>
        <w:t>1—</w:t>
      </w:r>
      <w:r>
        <w:rPr>
          <w:rFonts w:ascii="Times New Roman" w:hAnsi="Times New Roman" w:eastAsia="仿宋_GB2312"/>
          <w:sz w:val="32"/>
          <w:szCs w:val="32"/>
        </w:rPr>
        <w:t>8月</w:t>
      </w:r>
      <w:r>
        <w:rPr>
          <w:rFonts w:hint="eastAsia" w:ascii="Times New Roman" w:hAnsi="Times New Roman" w:eastAsia="仿宋_GB2312"/>
          <w:sz w:val="32"/>
          <w:szCs w:val="32"/>
        </w:rPr>
        <w:t>，完成港口货物吞吐量120.3亿吨，同比增长4.4%，其中内、外贸吞吐量同比分别增长5.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%和2.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%。完成集装箱吞吐量</w:t>
      </w:r>
      <w:r>
        <w:rPr>
          <w:rFonts w:ascii="Times New Roman" w:hAnsi="Times New Roman" w:eastAsia="仿宋_GB2312"/>
          <w:sz w:val="32"/>
          <w:szCs w:val="32"/>
        </w:rPr>
        <w:t>2.3亿</w:t>
      </w:r>
      <w:r>
        <w:rPr>
          <w:rFonts w:hint="eastAsia" w:ascii="Times New Roman" w:hAnsi="Times New Roman" w:eastAsia="仿宋_GB2312"/>
          <w:sz w:val="32"/>
          <w:szCs w:val="32"/>
        </w:rPr>
        <w:t>标箱，同比增长</w:t>
      </w:r>
      <w:r>
        <w:rPr>
          <w:rFonts w:ascii="Times New Roman" w:hAnsi="Times New Roman" w:eastAsia="仿宋_GB2312"/>
          <w:sz w:val="32"/>
          <w:szCs w:val="32"/>
        </w:rPr>
        <w:t>6.3%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6E3C957"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drawing>
          <wp:inline distT="0" distB="0" distL="0" distR="0">
            <wp:extent cx="4991100" cy="2752725"/>
            <wp:effectExtent l="0" t="0" r="0" b="95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AFF4BC">
      <w:pPr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微软雅黑"/>
          <w:sz w:val="24"/>
          <w:szCs w:val="32"/>
        </w:rPr>
        <w:t>图</w:t>
      </w:r>
      <w:r>
        <w:rPr>
          <w:rFonts w:ascii="Times New Roman" w:hAnsi="Times New Roman" w:eastAsia="微软雅黑"/>
          <w:sz w:val="24"/>
          <w:szCs w:val="32"/>
        </w:rPr>
        <w:t>2</w:t>
      </w:r>
      <w:r>
        <w:rPr>
          <w:rFonts w:eastAsia="微软雅黑"/>
          <w:sz w:val="24"/>
          <w:szCs w:val="32"/>
        </w:rPr>
        <w:t xml:space="preserve">  </w:t>
      </w:r>
      <w:r>
        <w:rPr>
          <w:rFonts w:hint="eastAsia" w:eastAsia="微软雅黑"/>
          <w:sz w:val="24"/>
          <w:szCs w:val="32"/>
        </w:rPr>
        <w:t>港口货物吞吐量月度同比</w:t>
      </w:r>
      <w:r>
        <w:rPr>
          <w:rFonts w:eastAsia="微软雅黑"/>
          <w:sz w:val="24"/>
          <w:szCs w:val="32"/>
        </w:rPr>
        <w:t>增速变化</w:t>
      </w:r>
    </w:p>
    <w:p w14:paraId="184CA558">
      <w:pPr>
        <w:spacing w:line="360" w:lineRule="auto"/>
        <w:ind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三、人员流动量</w:t>
      </w:r>
    </w:p>
    <w:p w14:paraId="4F6FDAAA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8月</w:t>
      </w:r>
      <w:r>
        <w:rPr>
          <w:rFonts w:hint="eastAsia" w:ascii="Times New Roman" w:hAnsi="Times New Roman" w:eastAsia="仿宋_GB2312"/>
          <w:sz w:val="32"/>
          <w:szCs w:val="32"/>
        </w:rPr>
        <w:t>，完成跨区域人员流动量</w:t>
      </w:r>
      <w:r>
        <w:rPr>
          <w:rFonts w:ascii="Times New Roman" w:hAnsi="Times New Roman" w:eastAsia="仿宋_GB2312"/>
          <w:sz w:val="32"/>
          <w:szCs w:val="32"/>
        </w:rPr>
        <w:t>60.9</w:t>
      </w:r>
      <w:r>
        <w:rPr>
          <w:rFonts w:hint="eastAsia" w:ascii="Times New Roman" w:hAnsi="Times New Roman" w:eastAsia="仿宋_GB2312"/>
          <w:bCs/>
          <w:sz w:val="32"/>
          <w:szCs w:val="32"/>
        </w:rPr>
        <w:t>亿人次，同比增长</w:t>
      </w:r>
      <w:r>
        <w:rPr>
          <w:rFonts w:ascii="Times New Roman" w:hAnsi="Times New Roman" w:eastAsia="仿宋_GB2312"/>
          <w:sz w:val="32"/>
          <w:szCs w:val="32"/>
        </w:rPr>
        <w:t>1.9</w:t>
      </w:r>
      <w:r>
        <w:rPr>
          <w:rFonts w:hint="eastAsia" w:ascii="Times New Roman" w:hAnsi="Times New Roman" w:eastAsia="仿宋_GB2312"/>
          <w:sz w:val="32"/>
          <w:szCs w:val="32"/>
        </w:rPr>
        <w:t>%。其中，完成公路人员流动量</w:t>
      </w:r>
      <w:r>
        <w:rPr>
          <w:rFonts w:ascii="Times New Roman" w:hAnsi="Times New Roman" w:eastAsia="仿宋_GB2312"/>
          <w:sz w:val="32"/>
          <w:szCs w:val="32"/>
        </w:rPr>
        <w:t>54.7亿人</w:t>
      </w:r>
      <w:r>
        <w:rPr>
          <w:rFonts w:hint="eastAsia" w:ascii="Times New Roman" w:hAnsi="Times New Roman" w:eastAsia="仿宋_GB2312"/>
          <w:sz w:val="32"/>
          <w:szCs w:val="32"/>
        </w:rPr>
        <w:t>次</w:t>
      </w:r>
      <w:r>
        <w:rPr>
          <w:rFonts w:ascii="Times New Roman" w:hAnsi="Times New Roman" w:eastAsia="仿宋_GB2312"/>
          <w:sz w:val="32"/>
          <w:szCs w:val="32"/>
        </w:rPr>
        <w:t>，同比</w:t>
      </w:r>
      <w:r>
        <w:rPr>
          <w:rFonts w:hint="eastAsia" w:ascii="Times New Roman" w:hAnsi="Times New Roman" w:eastAsia="仿宋_GB2312"/>
          <w:sz w:val="32"/>
          <w:szCs w:val="32"/>
        </w:rPr>
        <w:t>增长</w:t>
      </w:r>
      <w:r>
        <w:rPr>
          <w:rFonts w:ascii="Times New Roman" w:hAnsi="Times New Roman" w:eastAsia="仿宋_GB2312"/>
          <w:sz w:val="32"/>
          <w:szCs w:val="32"/>
        </w:rPr>
        <w:t>1.5%</w:t>
      </w:r>
      <w:r>
        <w:rPr>
          <w:rFonts w:hint="eastAsia" w:ascii="Times New Roman" w:hAnsi="Times New Roman" w:eastAsia="仿宋_GB2312"/>
          <w:sz w:val="32"/>
          <w:szCs w:val="32"/>
        </w:rPr>
        <w:t>；完成水路</w:t>
      </w:r>
      <w:r>
        <w:rPr>
          <w:rFonts w:ascii="Times New Roman" w:hAnsi="Times New Roman" w:eastAsia="仿宋_GB2312"/>
          <w:sz w:val="32"/>
          <w:szCs w:val="32"/>
        </w:rPr>
        <w:t>客运量3728</w:t>
      </w:r>
      <w:r>
        <w:rPr>
          <w:rFonts w:hint="eastAsia" w:ascii="Times New Roman" w:hAnsi="Times New Roman" w:eastAsia="仿宋_GB2312"/>
          <w:sz w:val="32"/>
          <w:szCs w:val="32"/>
        </w:rPr>
        <w:t>万人次，同比增长</w:t>
      </w:r>
      <w:r>
        <w:rPr>
          <w:rFonts w:ascii="Times New Roman" w:hAnsi="Times New Roman" w:eastAsia="仿宋_GB2312"/>
          <w:sz w:val="32"/>
          <w:szCs w:val="32"/>
        </w:rPr>
        <w:t>1.9%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124805B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1—</w:t>
      </w:r>
      <w:r>
        <w:rPr>
          <w:rFonts w:ascii="Times New Roman" w:hAnsi="Times New Roman" w:eastAsia="仿宋_GB2312"/>
          <w:sz w:val="32"/>
          <w:szCs w:val="32"/>
        </w:rPr>
        <w:t>8月</w:t>
      </w:r>
      <w:r>
        <w:rPr>
          <w:rFonts w:hint="eastAsia" w:ascii="Times New Roman" w:hAnsi="Times New Roman" w:eastAsia="仿宋_GB2312"/>
          <w:sz w:val="32"/>
          <w:szCs w:val="32"/>
        </w:rPr>
        <w:t>，完成跨区域人员流动量</w:t>
      </w:r>
      <w:r>
        <w:rPr>
          <w:rFonts w:ascii="Times New Roman" w:hAnsi="Times New Roman" w:eastAsia="仿宋_GB2312"/>
          <w:bCs/>
          <w:sz w:val="32"/>
          <w:szCs w:val="32"/>
        </w:rPr>
        <w:t>455.5</w:t>
      </w:r>
      <w:r>
        <w:rPr>
          <w:rFonts w:hint="eastAsia" w:ascii="Times New Roman" w:hAnsi="Times New Roman" w:eastAsia="仿宋_GB2312"/>
          <w:bCs/>
          <w:sz w:val="32"/>
          <w:szCs w:val="32"/>
        </w:rPr>
        <w:t>亿人次，同比增长</w:t>
      </w:r>
      <w:r>
        <w:rPr>
          <w:rFonts w:ascii="Times New Roman" w:hAnsi="Times New Roman" w:eastAsia="仿宋_GB2312"/>
          <w:bCs/>
          <w:sz w:val="32"/>
          <w:szCs w:val="32"/>
        </w:rPr>
        <w:t>3.6%</w:t>
      </w:r>
      <w:r>
        <w:rPr>
          <w:rFonts w:hint="eastAsia" w:ascii="Times New Roman" w:hAnsi="Times New Roman" w:eastAsia="仿宋_GB2312"/>
          <w:sz w:val="32"/>
          <w:szCs w:val="32"/>
        </w:rPr>
        <w:t>。其中，完成公路人员流动量</w:t>
      </w:r>
      <w:r>
        <w:rPr>
          <w:rFonts w:ascii="Times New Roman" w:hAnsi="Times New Roman" w:eastAsia="仿宋_GB2312"/>
          <w:sz w:val="32"/>
          <w:szCs w:val="32"/>
        </w:rPr>
        <w:t>416.5亿人</w:t>
      </w:r>
      <w:r>
        <w:rPr>
          <w:rFonts w:hint="eastAsia" w:ascii="Times New Roman" w:hAnsi="Times New Roman" w:eastAsia="仿宋_GB2312"/>
          <w:sz w:val="32"/>
          <w:szCs w:val="32"/>
        </w:rPr>
        <w:t>次</w:t>
      </w:r>
      <w:r>
        <w:rPr>
          <w:rFonts w:ascii="Times New Roman" w:hAnsi="Times New Roman" w:eastAsia="仿宋_GB2312"/>
          <w:sz w:val="32"/>
          <w:szCs w:val="32"/>
        </w:rPr>
        <w:t>，同比</w:t>
      </w:r>
      <w:r>
        <w:rPr>
          <w:rFonts w:hint="eastAsia" w:ascii="Times New Roman" w:hAnsi="Times New Roman" w:eastAsia="仿宋_GB2312"/>
          <w:sz w:val="32"/>
          <w:szCs w:val="32"/>
        </w:rPr>
        <w:t>增长</w:t>
      </w:r>
      <w:r>
        <w:rPr>
          <w:rFonts w:ascii="Times New Roman" w:hAnsi="Times New Roman" w:eastAsia="仿宋_GB2312"/>
          <w:sz w:val="32"/>
          <w:szCs w:val="32"/>
        </w:rPr>
        <w:t>3.4%</w:t>
      </w:r>
      <w:r>
        <w:rPr>
          <w:rFonts w:hint="eastAsia" w:ascii="Times New Roman" w:hAnsi="Times New Roman" w:eastAsia="仿宋_GB2312"/>
          <w:sz w:val="32"/>
          <w:szCs w:val="32"/>
        </w:rPr>
        <w:t>；完成水路</w:t>
      </w:r>
      <w:r>
        <w:rPr>
          <w:rFonts w:ascii="Times New Roman" w:hAnsi="Times New Roman" w:eastAsia="仿宋_GB2312"/>
          <w:sz w:val="32"/>
          <w:szCs w:val="32"/>
        </w:rPr>
        <w:t>客运量1.9</w:t>
      </w:r>
      <w:r>
        <w:rPr>
          <w:rFonts w:hint="eastAsia" w:ascii="Times New Roman" w:hAnsi="Times New Roman" w:eastAsia="仿宋_GB2312"/>
          <w:sz w:val="32"/>
          <w:szCs w:val="32"/>
        </w:rPr>
        <w:t>亿人次，同比下降</w:t>
      </w:r>
      <w:r>
        <w:rPr>
          <w:rFonts w:ascii="Times New Roman" w:hAnsi="Times New Roman" w:eastAsia="仿宋_GB2312"/>
          <w:sz w:val="32"/>
          <w:szCs w:val="32"/>
        </w:rPr>
        <w:t>1.0%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05CD94F">
      <w:pPr>
        <w:spacing w:line="360" w:lineRule="auto"/>
        <w:jc w:val="center"/>
        <w:rPr>
          <w:rFonts w:ascii="Times New Roman" w:hAnsi="Times New Roman" w:eastAsia="仿宋_GB2312"/>
          <w:sz w:val="32"/>
          <w:szCs w:val="32"/>
          <w:highlight w:val="yellow"/>
        </w:rPr>
      </w:pPr>
      <w:r>
        <w:drawing>
          <wp:inline distT="0" distB="0" distL="0" distR="0">
            <wp:extent cx="5113020" cy="2876550"/>
            <wp:effectExtent l="0" t="0" r="1143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0972A8">
      <w:pPr>
        <w:spacing w:line="360" w:lineRule="auto"/>
        <w:jc w:val="center"/>
        <w:rPr>
          <w:rFonts w:eastAsia="微软雅黑"/>
          <w:sz w:val="24"/>
          <w:szCs w:val="32"/>
        </w:rPr>
      </w:pPr>
      <w:r>
        <w:rPr>
          <w:rFonts w:hint="eastAsia" w:eastAsia="微软雅黑"/>
          <w:sz w:val="24"/>
          <w:szCs w:val="32"/>
        </w:rPr>
        <w:t>图</w:t>
      </w:r>
      <w:r>
        <w:rPr>
          <w:rFonts w:ascii="Times New Roman" w:hAnsi="Times New Roman" w:eastAsia="微软雅黑"/>
          <w:sz w:val="24"/>
          <w:szCs w:val="32"/>
        </w:rPr>
        <w:t>3</w:t>
      </w:r>
      <w:r>
        <w:rPr>
          <w:rFonts w:eastAsia="微软雅黑"/>
          <w:sz w:val="24"/>
          <w:szCs w:val="32"/>
        </w:rPr>
        <w:t xml:space="preserve">  </w:t>
      </w:r>
      <w:r>
        <w:rPr>
          <w:rFonts w:hint="eastAsia" w:eastAsia="微软雅黑"/>
          <w:sz w:val="24"/>
          <w:szCs w:val="32"/>
        </w:rPr>
        <w:t>跨区域人员流动量月度同比</w:t>
      </w:r>
      <w:r>
        <w:rPr>
          <w:rFonts w:eastAsia="微软雅黑"/>
          <w:sz w:val="24"/>
          <w:szCs w:val="32"/>
        </w:rPr>
        <w:t>增速变化</w:t>
      </w:r>
    </w:p>
    <w:p w14:paraId="16807166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城市客运方面，</w:t>
      </w:r>
      <w:r>
        <w:rPr>
          <w:rFonts w:ascii="Times New Roman" w:hAnsi="Times New Roman" w:eastAsia="仿宋_GB2312"/>
          <w:sz w:val="32"/>
          <w:szCs w:val="32"/>
        </w:rPr>
        <w:t>8月</w:t>
      </w:r>
      <w:r>
        <w:rPr>
          <w:rFonts w:hint="eastAsia" w:ascii="Times New Roman" w:hAnsi="Times New Roman" w:eastAsia="仿宋_GB2312"/>
          <w:sz w:val="32"/>
          <w:szCs w:val="32"/>
        </w:rPr>
        <w:t>，完成城市客运量</w:t>
      </w:r>
      <w:r>
        <w:rPr>
          <w:rFonts w:ascii="Times New Roman" w:hAnsi="Times New Roman" w:eastAsia="仿宋_GB2312"/>
          <w:sz w:val="32"/>
          <w:szCs w:val="32"/>
        </w:rPr>
        <w:t>85.5</w:t>
      </w:r>
      <w:r>
        <w:rPr>
          <w:rFonts w:hint="eastAsia" w:ascii="Times New Roman" w:hAnsi="Times New Roman" w:eastAsia="仿宋_GB2312"/>
          <w:sz w:val="32"/>
          <w:szCs w:val="32"/>
        </w:rPr>
        <w:t>亿人次，同比下降</w:t>
      </w:r>
      <w:r>
        <w:rPr>
          <w:rFonts w:ascii="Times New Roman" w:hAnsi="Times New Roman" w:eastAsia="仿宋_GB2312"/>
          <w:sz w:val="32"/>
          <w:szCs w:val="32"/>
        </w:rPr>
        <w:t>3.6%</w:t>
      </w:r>
      <w:r>
        <w:rPr>
          <w:rFonts w:hint="eastAsia" w:ascii="Times New Roman" w:hAnsi="Times New Roman" w:eastAsia="仿宋_GB2312"/>
          <w:sz w:val="32"/>
          <w:szCs w:val="32"/>
        </w:rPr>
        <w:t>。其中，城市轨道交通完成客运量</w:t>
      </w:r>
      <w:r>
        <w:rPr>
          <w:rFonts w:ascii="Times New Roman" w:hAnsi="Times New Roman" w:eastAsia="仿宋_GB2312"/>
          <w:sz w:val="32"/>
          <w:szCs w:val="32"/>
        </w:rPr>
        <w:t>28.8</w:t>
      </w:r>
      <w:r>
        <w:rPr>
          <w:rFonts w:hint="eastAsia" w:ascii="Times New Roman" w:hAnsi="Times New Roman" w:eastAsia="仿宋_GB2312"/>
          <w:sz w:val="32"/>
          <w:szCs w:val="32"/>
        </w:rPr>
        <w:t>亿人次，同比增长</w:t>
      </w:r>
      <w:r>
        <w:rPr>
          <w:rFonts w:ascii="Times New Roman" w:hAnsi="Times New Roman" w:eastAsia="仿宋_GB2312"/>
          <w:sz w:val="32"/>
          <w:szCs w:val="32"/>
        </w:rPr>
        <w:t>2.6%</w:t>
      </w:r>
      <w:r>
        <w:rPr>
          <w:rFonts w:hint="eastAsia" w:ascii="Times New Roman" w:hAnsi="Times New Roman" w:eastAsia="仿宋_GB2312"/>
          <w:sz w:val="32"/>
          <w:szCs w:val="32"/>
        </w:rPr>
        <w:t>；公共汽电车、出租汽车、城市客运轮渡分别完成客运量</w:t>
      </w:r>
      <w:r>
        <w:rPr>
          <w:rFonts w:ascii="Times New Roman" w:hAnsi="Times New Roman" w:eastAsia="仿宋_GB2312"/>
          <w:sz w:val="32"/>
          <w:szCs w:val="32"/>
        </w:rPr>
        <w:t>28.0</w:t>
      </w:r>
      <w:r>
        <w:rPr>
          <w:rFonts w:hint="eastAsia" w:ascii="Times New Roman" w:hAnsi="Times New Roman" w:eastAsia="仿宋_GB2312"/>
          <w:sz w:val="32"/>
          <w:szCs w:val="32"/>
        </w:rPr>
        <w:t>亿人次、</w:t>
      </w:r>
      <w:r>
        <w:rPr>
          <w:rFonts w:ascii="Times New Roman" w:hAnsi="Times New Roman" w:eastAsia="仿宋_GB2312"/>
          <w:sz w:val="32"/>
          <w:szCs w:val="32"/>
        </w:rPr>
        <w:t>28.7</w:t>
      </w:r>
      <w:r>
        <w:rPr>
          <w:rFonts w:hint="eastAsia" w:ascii="Times New Roman" w:hAnsi="Times New Roman" w:eastAsia="仿宋_GB2312"/>
          <w:sz w:val="32"/>
          <w:szCs w:val="32"/>
        </w:rPr>
        <w:t>亿人次和</w:t>
      </w:r>
      <w:r>
        <w:rPr>
          <w:rFonts w:ascii="Times New Roman" w:hAnsi="Times New Roman" w:eastAsia="仿宋_GB2312"/>
          <w:sz w:val="32"/>
          <w:szCs w:val="32"/>
        </w:rPr>
        <w:t>846</w:t>
      </w:r>
      <w:r>
        <w:rPr>
          <w:rFonts w:hint="eastAsia" w:ascii="Times New Roman" w:hAnsi="Times New Roman" w:eastAsia="仿宋_GB2312"/>
          <w:sz w:val="32"/>
          <w:szCs w:val="32"/>
        </w:rPr>
        <w:t>万人次，同比分别下降</w:t>
      </w:r>
      <w:r>
        <w:rPr>
          <w:rFonts w:ascii="Times New Roman" w:hAnsi="Times New Roman" w:eastAsia="仿宋_GB2312"/>
          <w:sz w:val="32"/>
          <w:szCs w:val="32"/>
        </w:rPr>
        <w:t>6.4%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6.7%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2.0%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88B0BC7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1—</w:t>
      </w:r>
      <w:r>
        <w:rPr>
          <w:rFonts w:ascii="Times New Roman" w:hAnsi="Times New Roman" w:eastAsia="仿宋_GB2312"/>
          <w:sz w:val="32"/>
          <w:szCs w:val="32"/>
        </w:rPr>
        <w:t>8月</w:t>
      </w:r>
      <w:r>
        <w:rPr>
          <w:rFonts w:hint="eastAsia" w:ascii="Times New Roman" w:hAnsi="Times New Roman" w:eastAsia="仿宋_GB2312"/>
          <w:sz w:val="32"/>
          <w:szCs w:val="32"/>
        </w:rPr>
        <w:t>，完成城市客运量</w:t>
      </w:r>
      <w:r>
        <w:rPr>
          <w:rFonts w:ascii="Times New Roman" w:hAnsi="Times New Roman" w:eastAsia="仿宋_GB2312"/>
          <w:sz w:val="32"/>
          <w:szCs w:val="32"/>
        </w:rPr>
        <w:t>688.7</w:t>
      </w:r>
      <w:r>
        <w:rPr>
          <w:rFonts w:hint="eastAsia" w:ascii="Times New Roman" w:hAnsi="Times New Roman" w:eastAsia="仿宋_GB2312"/>
          <w:sz w:val="32"/>
          <w:szCs w:val="32"/>
        </w:rPr>
        <w:t>亿人次，同比下降</w:t>
      </w:r>
      <w:r>
        <w:rPr>
          <w:rFonts w:ascii="Times New Roman" w:hAnsi="Times New Roman" w:eastAsia="仿宋_GB2312"/>
          <w:sz w:val="32"/>
          <w:szCs w:val="32"/>
        </w:rPr>
        <w:t>2.8%</w:t>
      </w:r>
      <w:r>
        <w:rPr>
          <w:rFonts w:hint="eastAsia" w:ascii="Times New Roman" w:hAnsi="Times New Roman" w:eastAsia="仿宋_GB2312"/>
          <w:sz w:val="32"/>
          <w:szCs w:val="32"/>
        </w:rPr>
        <w:t>。其中，城市轨道交通完成客运量</w:t>
      </w:r>
      <w:r>
        <w:rPr>
          <w:rFonts w:ascii="Times New Roman" w:hAnsi="Times New Roman" w:eastAsia="仿宋_GB2312"/>
          <w:sz w:val="32"/>
          <w:szCs w:val="32"/>
        </w:rPr>
        <w:t>219.3</w:t>
      </w:r>
      <w:r>
        <w:rPr>
          <w:rFonts w:hint="eastAsia" w:ascii="Times New Roman" w:hAnsi="Times New Roman" w:eastAsia="仿宋_GB2312"/>
          <w:sz w:val="32"/>
          <w:szCs w:val="32"/>
        </w:rPr>
        <w:t>亿人次，同比增长</w:t>
      </w:r>
      <w:r>
        <w:rPr>
          <w:rFonts w:ascii="Times New Roman" w:hAnsi="Times New Roman" w:eastAsia="仿宋_GB2312"/>
          <w:sz w:val="32"/>
          <w:szCs w:val="32"/>
        </w:rPr>
        <w:t>2.8%</w:t>
      </w:r>
      <w:r>
        <w:rPr>
          <w:rFonts w:hint="eastAsia" w:ascii="Times New Roman" w:hAnsi="Times New Roman" w:eastAsia="仿宋_GB2312"/>
          <w:sz w:val="32"/>
          <w:szCs w:val="32"/>
        </w:rPr>
        <w:t>；公共汽电车、出租汽车、城市客运轮渡分别完成客运量</w:t>
      </w:r>
      <w:r>
        <w:rPr>
          <w:rFonts w:ascii="Times New Roman" w:hAnsi="Times New Roman" w:eastAsia="仿宋_GB2312"/>
          <w:sz w:val="32"/>
          <w:szCs w:val="32"/>
        </w:rPr>
        <w:t>241.8</w:t>
      </w:r>
      <w:r>
        <w:rPr>
          <w:rFonts w:hint="eastAsia" w:ascii="Times New Roman" w:hAnsi="Times New Roman" w:eastAsia="仿宋_GB2312"/>
          <w:sz w:val="32"/>
          <w:szCs w:val="32"/>
        </w:rPr>
        <w:t>亿人次、</w:t>
      </w:r>
      <w:r>
        <w:rPr>
          <w:rFonts w:ascii="Times New Roman" w:hAnsi="Times New Roman" w:eastAsia="仿宋_GB2312"/>
          <w:sz w:val="32"/>
          <w:szCs w:val="32"/>
        </w:rPr>
        <w:t>227.1</w:t>
      </w:r>
      <w:r>
        <w:rPr>
          <w:rFonts w:hint="eastAsia" w:ascii="Times New Roman" w:hAnsi="Times New Roman" w:eastAsia="仿宋_GB2312"/>
          <w:sz w:val="32"/>
          <w:szCs w:val="32"/>
        </w:rPr>
        <w:t>亿人次和</w:t>
      </w:r>
      <w:r>
        <w:rPr>
          <w:rFonts w:ascii="Times New Roman" w:hAnsi="Times New Roman" w:eastAsia="仿宋_GB2312"/>
          <w:sz w:val="32"/>
          <w:szCs w:val="32"/>
        </w:rPr>
        <w:t>5163</w:t>
      </w:r>
      <w:r>
        <w:rPr>
          <w:rFonts w:hint="eastAsia" w:ascii="Times New Roman" w:hAnsi="Times New Roman" w:eastAsia="仿宋_GB2312"/>
          <w:sz w:val="32"/>
          <w:szCs w:val="32"/>
        </w:rPr>
        <w:t>万人次，同比分别下降</w:t>
      </w:r>
      <w:r>
        <w:rPr>
          <w:rFonts w:ascii="Times New Roman" w:hAnsi="Times New Roman" w:eastAsia="仿宋_GB2312"/>
          <w:sz w:val="32"/>
          <w:szCs w:val="32"/>
        </w:rPr>
        <w:t>5.5%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4.9%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2.8%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694FB432">
      <w:pPr>
        <w:spacing w:line="360" w:lineRule="auto"/>
        <w:ind w:firstLine="640" w:firstLineChars="200"/>
        <w:outlineLvl w:val="0"/>
        <w:rPr>
          <w:rFonts w:eastAsia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四、交通固定资产投资</w:t>
      </w:r>
    </w:p>
    <w:p w14:paraId="31C0D960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1—</w:t>
      </w:r>
      <w:r>
        <w:rPr>
          <w:rFonts w:ascii="Times New Roman" w:hAnsi="Times New Roman" w:eastAsia="仿宋_GB2312"/>
          <w:sz w:val="32"/>
          <w:szCs w:val="32"/>
        </w:rPr>
        <w:t>8月</w:t>
      </w:r>
      <w:r>
        <w:rPr>
          <w:rFonts w:hint="eastAsia" w:ascii="Times New Roman" w:hAnsi="Times New Roman" w:eastAsia="仿宋_GB2312"/>
          <w:sz w:val="32"/>
          <w:szCs w:val="32"/>
        </w:rPr>
        <w:t>，完成交通固定资产投资</w:t>
      </w:r>
      <w:r>
        <w:rPr>
          <w:rFonts w:ascii="Times New Roman" w:hAnsi="Times New Roman" w:eastAsia="仿宋_GB2312"/>
          <w:sz w:val="32"/>
          <w:szCs w:val="32"/>
        </w:rPr>
        <w:t>2.26</w:t>
      </w:r>
      <w:r>
        <w:rPr>
          <w:rFonts w:hint="eastAsia" w:ascii="Times New Roman" w:hAnsi="Times New Roman" w:eastAsia="仿宋_GB2312"/>
          <w:sz w:val="32"/>
          <w:szCs w:val="32"/>
        </w:rPr>
        <w:t>万亿元，其中公路、水运分别完成投资1.</w:t>
      </w:r>
      <w:r>
        <w:rPr>
          <w:rFonts w:ascii="Times New Roman" w:hAnsi="Times New Roman" w:eastAsia="仿宋_GB2312"/>
          <w:sz w:val="32"/>
          <w:szCs w:val="32"/>
        </w:rPr>
        <w:t>54</w:t>
      </w:r>
      <w:r>
        <w:rPr>
          <w:rFonts w:hint="eastAsia" w:ascii="Times New Roman" w:hAnsi="Times New Roman" w:eastAsia="仿宋_GB2312"/>
          <w:sz w:val="32"/>
          <w:szCs w:val="32"/>
        </w:rPr>
        <w:t>万亿元和</w:t>
      </w:r>
      <w:r>
        <w:rPr>
          <w:rFonts w:ascii="Times New Roman" w:hAnsi="Times New Roman" w:eastAsia="仿宋_GB2312"/>
          <w:sz w:val="32"/>
          <w:szCs w:val="32"/>
        </w:rPr>
        <w:t>1433</w:t>
      </w:r>
      <w:r>
        <w:rPr>
          <w:rFonts w:hint="eastAsia" w:ascii="Times New Roman" w:hAnsi="Times New Roman" w:eastAsia="仿宋_GB2312"/>
          <w:sz w:val="32"/>
          <w:szCs w:val="32"/>
        </w:rPr>
        <w:t>亿元。</w:t>
      </w:r>
    </w:p>
    <w:p w14:paraId="4E601157">
      <w:pPr>
        <w:spacing w:line="360" w:lineRule="auto"/>
        <w:jc w:val="center"/>
        <w:rPr>
          <w:rFonts w:ascii="Times New Roman" w:hAnsi="Times New Roman"/>
          <w:kern w:val="0"/>
          <w:sz w:val="20"/>
          <w:szCs w:val="20"/>
        </w:rPr>
      </w:pPr>
      <w:r>
        <w:rPr>
          <w:rFonts w:hint="eastAsia" w:ascii="Times New Roman" w:hAnsi="Times New Roman" w:eastAsia="仿宋_GB2312"/>
          <w:sz w:val="32"/>
          <w:szCs w:val="32"/>
        </w:rPr>
        <w:t>（以上综合统计数据源自交通运输部综合规划司）</w:t>
      </w:r>
    </w:p>
    <w:sectPr>
      <w:footerReference r:id="rId3" w:type="default"/>
      <w:pgSz w:w="11906" w:h="16838"/>
      <w:pgMar w:top="1440" w:right="1800" w:bottom="1440" w:left="1800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FDEAB">
    <w:pPr>
      <w:pStyle w:val="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14:paraId="26FE2BA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ODdmZWRhOThjYjQ2YWQ0YWE3MjllNWY4ZGY0MjIifQ=="/>
  </w:docVars>
  <w:rsids>
    <w:rsidRoot w:val="00345E3A"/>
    <w:rsid w:val="00000F2D"/>
    <w:rsid w:val="000038B2"/>
    <w:rsid w:val="00004910"/>
    <w:rsid w:val="00012212"/>
    <w:rsid w:val="0001226E"/>
    <w:rsid w:val="00013269"/>
    <w:rsid w:val="000210D0"/>
    <w:rsid w:val="000217B7"/>
    <w:rsid w:val="00021A0B"/>
    <w:rsid w:val="00024163"/>
    <w:rsid w:val="0002486C"/>
    <w:rsid w:val="00025390"/>
    <w:rsid w:val="0002599D"/>
    <w:rsid w:val="00026F2B"/>
    <w:rsid w:val="00027780"/>
    <w:rsid w:val="00030E1B"/>
    <w:rsid w:val="00041E50"/>
    <w:rsid w:val="000425C1"/>
    <w:rsid w:val="0004386C"/>
    <w:rsid w:val="00044081"/>
    <w:rsid w:val="00045A33"/>
    <w:rsid w:val="00046766"/>
    <w:rsid w:val="00051AA2"/>
    <w:rsid w:val="00052312"/>
    <w:rsid w:val="000523F1"/>
    <w:rsid w:val="00053C5F"/>
    <w:rsid w:val="000554C4"/>
    <w:rsid w:val="000558DE"/>
    <w:rsid w:val="00056491"/>
    <w:rsid w:val="00057EC5"/>
    <w:rsid w:val="00060B58"/>
    <w:rsid w:val="00061E41"/>
    <w:rsid w:val="00062E6B"/>
    <w:rsid w:val="0006346E"/>
    <w:rsid w:val="000669C3"/>
    <w:rsid w:val="00072290"/>
    <w:rsid w:val="00073935"/>
    <w:rsid w:val="000744F1"/>
    <w:rsid w:val="00075DE2"/>
    <w:rsid w:val="0007642A"/>
    <w:rsid w:val="00076895"/>
    <w:rsid w:val="00076CD5"/>
    <w:rsid w:val="0007759D"/>
    <w:rsid w:val="00077771"/>
    <w:rsid w:val="00077B36"/>
    <w:rsid w:val="000802D2"/>
    <w:rsid w:val="00081F86"/>
    <w:rsid w:val="000824B4"/>
    <w:rsid w:val="00083BFB"/>
    <w:rsid w:val="00083CFD"/>
    <w:rsid w:val="00085510"/>
    <w:rsid w:val="000867F8"/>
    <w:rsid w:val="00086A48"/>
    <w:rsid w:val="00090E34"/>
    <w:rsid w:val="000947A5"/>
    <w:rsid w:val="00096239"/>
    <w:rsid w:val="00096387"/>
    <w:rsid w:val="00097C58"/>
    <w:rsid w:val="000A4F0C"/>
    <w:rsid w:val="000A75E6"/>
    <w:rsid w:val="000B0C4D"/>
    <w:rsid w:val="000B189A"/>
    <w:rsid w:val="000B2312"/>
    <w:rsid w:val="000B2507"/>
    <w:rsid w:val="000B3BFF"/>
    <w:rsid w:val="000B4DB8"/>
    <w:rsid w:val="000B5CFB"/>
    <w:rsid w:val="000B5ECE"/>
    <w:rsid w:val="000B5F2C"/>
    <w:rsid w:val="000B6866"/>
    <w:rsid w:val="000B6AB4"/>
    <w:rsid w:val="000C13FE"/>
    <w:rsid w:val="000C18B1"/>
    <w:rsid w:val="000C1921"/>
    <w:rsid w:val="000C4322"/>
    <w:rsid w:val="000C682C"/>
    <w:rsid w:val="000C69B2"/>
    <w:rsid w:val="000C70B7"/>
    <w:rsid w:val="000C781B"/>
    <w:rsid w:val="000D0C46"/>
    <w:rsid w:val="000D2BDF"/>
    <w:rsid w:val="000D3928"/>
    <w:rsid w:val="000D5F8E"/>
    <w:rsid w:val="000E65D0"/>
    <w:rsid w:val="000E723F"/>
    <w:rsid w:val="000F2585"/>
    <w:rsid w:val="000F2818"/>
    <w:rsid w:val="000F296F"/>
    <w:rsid w:val="000F2A3C"/>
    <w:rsid w:val="000F3E59"/>
    <w:rsid w:val="000F3EAB"/>
    <w:rsid w:val="000F5750"/>
    <w:rsid w:val="001007D4"/>
    <w:rsid w:val="00102490"/>
    <w:rsid w:val="00102837"/>
    <w:rsid w:val="0010399A"/>
    <w:rsid w:val="001073FC"/>
    <w:rsid w:val="00107566"/>
    <w:rsid w:val="00110FF5"/>
    <w:rsid w:val="0011178A"/>
    <w:rsid w:val="00111990"/>
    <w:rsid w:val="00111F1B"/>
    <w:rsid w:val="00112FC6"/>
    <w:rsid w:val="00115CF7"/>
    <w:rsid w:val="00120400"/>
    <w:rsid w:val="00120AF4"/>
    <w:rsid w:val="00120C2F"/>
    <w:rsid w:val="00122F70"/>
    <w:rsid w:val="00123FFB"/>
    <w:rsid w:val="00124A09"/>
    <w:rsid w:val="00124E3F"/>
    <w:rsid w:val="0013067B"/>
    <w:rsid w:val="00131348"/>
    <w:rsid w:val="001328A6"/>
    <w:rsid w:val="00134A86"/>
    <w:rsid w:val="00134C10"/>
    <w:rsid w:val="00135A8D"/>
    <w:rsid w:val="00137497"/>
    <w:rsid w:val="001403FE"/>
    <w:rsid w:val="0014088D"/>
    <w:rsid w:val="001468AA"/>
    <w:rsid w:val="00146D0A"/>
    <w:rsid w:val="00153319"/>
    <w:rsid w:val="001570A2"/>
    <w:rsid w:val="0015740D"/>
    <w:rsid w:val="0016221A"/>
    <w:rsid w:val="00166D35"/>
    <w:rsid w:val="00167E1A"/>
    <w:rsid w:val="00171174"/>
    <w:rsid w:val="00171586"/>
    <w:rsid w:val="00173915"/>
    <w:rsid w:val="00173D81"/>
    <w:rsid w:val="00175764"/>
    <w:rsid w:val="00175F65"/>
    <w:rsid w:val="00176585"/>
    <w:rsid w:val="00176597"/>
    <w:rsid w:val="00180AA9"/>
    <w:rsid w:val="00181441"/>
    <w:rsid w:val="001816FC"/>
    <w:rsid w:val="00182243"/>
    <w:rsid w:val="00183DAF"/>
    <w:rsid w:val="00183F0B"/>
    <w:rsid w:val="001849A5"/>
    <w:rsid w:val="00184ACD"/>
    <w:rsid w:val="00184FA0"/>
    <w:rsid w:val="00185DD4"/>
    <w:rsid w:val="00191B45"/>
    <w:rsid w:val="0019207A"/>
    <w:rsid w:val="00195301"/>
    <w:rsid w:val="001953B4"/>
    <w:rsid w:val="00196FC6"/>
    <w:rsid w:val="001A0632"/>
    <w:rsid w:val="001A0D97"/>
    <w:rsid w:val="001A2746"/>
    <w:rsid w:val="001A3069"/>
    <w:rsid w:val="001A64F9"/>
    <w:rsid w:val="001B00AA"/>
    <w:rsid w:val="001B22F0"/>
    <w:rsid w:val="001B2C76"/>
    <w:rsid w:val="001B78D9"/>
    <w:rsid w:val="001C27D2"/>
    <w:rsid w:val="001C4164"/>
    <w:rsid w:val="001C54A7"/>
    <w:rsid w:val="001C6602"/>
    <w:rsid w:val="001C6E3E"/>
    <w:rsid w:val="001D0F6C"/>
    <w:rsid w:val="001D218A"/>
    <w:rsid w:val="001D3367"/>
    <w:rsid w:val="001D3EF6"/>
    <w:rsid w:val="001D5051"/>
    <w:rsid w:val="001D7A44"/>
    <w:rsid w:val="001E0880"/>
    <w:rsid w:val="001E0E2A"/>
    <w:rsid w:val="001E279B"/>
    <w:rsid w:val="001E34D9"/>
    <w:rsid w:val="001E3F02"/>
    <w:rsid w:val="001E7A89"/>
    <w:rsid w:val="001F0AA2"/>
    <w:rsid w:val="001F10BC"/>
    <w:rsid w:val="001F1B76"/>
    <w:rsid w:val="001F28C1"/>
    <w:rsid w:val="001F58DC"/>
    <w:rsid w:val="001F6A9D"/>
    <w:rsid w:val="00200545"/>
    <w:rsid w:val="00202185"/>
    <w:rsid w:val="00203C9C"/>
    <w:rsid w:val="00204E54"/>
    <w:rsid w:val="002058D1"/>
    <w:rsid w:val="00207788"/>
    <w:rsid w:val="00211D6C"/>
    <w:rsid w:val="002122C9"/>
    <w:rsid w:val="00216953"/>
    <w:rsid w:val="00222EE3"/>
    <w:rsid w:val="00224D15"/>
    <w:rsid w:val="002256BD"/>
    <w:rsid w:val="00226E50"/>
    <w:rsid w:val="00227A43"/>
    <w:rsid w:val="00234C6C"/>
    <w:rsid w:val="00236041"/>
    <w:rsid w:val="002379D0"/>
    <w:rsid w:val="00242197"/>
    <w:rsid w:val="00242BE5"/>
    <w:rsid w:val="0024383D"/>
    <w:rsid w:val="0024522C"/>
    <w:rsid w:val="002454EC"/>
    <w:rsid w:val="002477D4"/>
    <w:rsid w:val="00251D88"/>
    <w:rsid w:val="00254432"/>
    <w:rsid w:val="002544F7"/>
    <w:rsid w:val="00256481"/>
    <w:rsid w:val="00257006"/>
    <w:rsid w:val="00261B29"/>
    <w:rsid w:val="00262A81"/>
    <w:rsid w:val="002648EE"/>
    <w:rsid w:val="00264D63"/>
    <w:rsid w:val="00265B32"/>
    <w:rsid w:val="00267BE2"/>
    <w:rsid w:val="00271D5D"/>
    <w:rsid w:val="00274E24"/>
    <w:rsid w:val="00275D7E"/>
    <w:rsid w:val="0027672C"/>
    <w:rsid w:val="0027752F"/>
    <w:rsid w:val="002804DB"/>
    <w:rsid w:val="002808A6"/>
    <w:rsid w:val="002808CC"/>
    <w:rsid w:val="00281AD0"/>
    <w:rsid w:val="002830F9"/>
    <w:rsid w:val="00283417"/>
    <w:rsid w:val="0028537E"/>
    <w:rsid w:val="00285DDE"/>
    <w:rsid w:val="002872E0"/>
    <w:rsid w:val="00292A09"/>
    <w:rsid w:val="00295369"/>
    <w:rsid w:val="00295E1C"/>
    <w:rsid w:val="00296745"/>
    <w:rsid w:val="002974AE"/>
    <w:rsid w:val="002A0062"/>
    <w:rsid w:val="002A0470"/>
    <w:rsid w:val="002A342F"/>
    <w:rsid w:val="002A4BFE"/>
    <w:rsid w:val="002A7181"/>
    <w:rsid w:val="002B0FF3"/>
    <w:rsid w:val="002B1879"/>
    <w:rsid w:val="002B261E"/>
    <w:rsid w:val="002B2BE6"/>
    <w:rsid w:val="002B57FE"/>
    <w:rsid w:val="002B59E2"/>
    <w:rsid w:val="002B6DDD"/>
    <w:rsid w:val="002B71D3"/>
    <w:rsid w:val="002C14CD"/>
    <w:rsid w:val="002C2B70"/>
    <w:rsid w:val="002C3352"/>
    <w:rsid w:val="002C40B0"/>
    <w:rsid w:val="002D0113"/>
    <w:rsid w:val="002D33D3"/>
    <w:rsid w:val="002D45CA"/>
    <w:rsid w:val="002D4873"/>
    <w:rsid w:val="002D76BE"/>
    <w:rsid w:val="002E29AB"/>
    <w:rsid w:val="002E2A41"/>
    <w:rsid w:val="002E3ACD"/>
    <w:rsid w:val="002E515E"/>
    <w:rsid w:val="002E5255"/>
    <w:rsid w:val="002E6012"/>
    <w:rsid w:val="002E6915"/>
    <w:rsid w:val="002E691C"/>
    <w:rsid w:val="002E7800"/>
    <w:rsid w:val="002F16EF"/>
    <w:rsid w:val="002F185D"/>
    <w:rsid w:val="002F1FB5"/>
    <w:rsid w:val="002F24D3"/>
    <w:rsid w:val="002F40F8"/>
    <w:rsid w:val="002F42F6"/>
    <w:rsid w:val="002F5E11"/>
    <w:rsid w:val="00300307"/>
    <w:rsid w:val="00301030"/>
    <w:rsid w:val="00301812"/>
    <w:rsid w:val="003021B1"/>
    <w:rsid w:val="00302C75"/>
    <w:rsid w:val="00304641"/>
    <w:rsid w:val="00305A0A"/>
    <w:rsid w:val="00305E6E"/>
    <w:rsid w:val="003102A0"/>
    <w:rsid w:val="00311BE2"/>
    <w:rsid w:val="00311D84"/>
    <w:rsid w:val="0031494C"/>
    <w:rsid w:val="0031641A"/>
    <w:rsid w:val="00316ADB"/>
    <w:rsid w:val="00324319"/>
    <w:rsid w:val="003278DF"/>
    <w:rsid w:val="00336139"/>
    <w:rsid w:val="0034055C"/>
    <w:rsid w:val="003449C2"/>
    <w:rsid w:val="00345483"/>
    <w:rsid w:val="00345E3A"/>
    <w:rsid w:val="003467F3"/>
    <w:rsid w:val="00347FE7"/>
    <w:rsid w:val="00350AF8"/>
    <w:rsid w:val="00355105"/>
    <w:rsid w:val="00357A84"/>
    <w:rsid w:val="0036187A"/>
    <w:rsid w:val="00362320"/>
    <w:rsid w:val="003631AB"/>
    <w:rsid w:val="0036356A"/>
    <w:rsid w:val="00363EB8"/>
    <w:rsid w:val="003671EB"/>
    <w:rsid w:val="00371A60"/>
    <w:rsid w:val="00371EB2"/>
    <w:rsid w:val="0037273F"/>
    <w:rsid w:val="00372D9E"/>
    <w:rsid w:val="00373566"/>
    <w:rsid w:val="003740FA"/>
    <w:rsid w:val="0037554D"/>
    <w:rsid w:val="003756F9"/>
    <w:rsid w:val="00375770"/>
    <w:rsid w:val="00380BF7"/>
    <w:rsid w:val="00380D04"/>
    <w:rsid w:val="00383424"/>
    <w:rsid w:val="00383B86"/>
    <w:rsid w:val="003840C6"/>
    <w:rsid w:val="0039027B"/>
    <w:rsid w:val="00390A32"/>
    <w:rsid w:val="00390E37"/>
    <w:rsid w:val="0039205E"/>
    <w:rsid w:val="00392559"/>
    <w:rsid w:val="0039278F"/>
    <w:rsid w:val="00393953"/>
    <w:rsid w:val="003969E9"/>
    <w:rsid w:val="00396A86"/>
    <w:rsid w:val="00396E92"/>
    <w:rsid w:val="003972C6"/>
    <w:rsid w:val="003A0A29"/>
    <w:rsid w:val="003A277B"/>
    <w:rsid w:val="003A3EDD"/>
    <w:rsid w:val="003A4703"/>
    <w:rsid w:val="003A4FAF"/>
    <w:rsid w:val="003A5257"/>
    <w:rsid w:val="003A6FF1"/>
    <w:rsid w:val="003B04A7"/>
    <w:rsid w:val="003B287E"/>
    <w:rsid w:val="003B3F8B"/>
    <w:rsid w:val="003B4FCD"/>
    <w:rsid w:val="003B7EE4"/>
    <w:rsid w:val="003C275E"/>
    <w:rsid w:val="003C284F"/>
    <w:rsid w:val="003C2A70"/>
    <w:rsid w:val="003C2B9A"/>
    <w:rsid w:val="003C64D6"/>
    <w:rsid w:val="003D0C3D"/>
    <w:rsid w:val="003D11D9"/>
    <w:rsid w:val="003D1680"/>
    <w:rsid w:val="003D1977"/>
    <w:rsid w:val="003D19C3"/>
    <w:rsid w:val="003D3270"/>
    <w:rsid w:val="003D3886"/>
    <w:rsid w:val="003D4152"/>
    <w:rsid w:val="003D43FE"/>
    <w:rsid w:val="003D5346"/>
    <w:rsid w:val="003D53D5"/>
    <w:rsid w:val="003D680A"/>
    <w:rsid w:val="003E006E"/>
    <w:rsid w:val="003E0863"/>
    <w:rsid w:val="003E6147"/>
    <w:rsid w:val="003E6B16"/>
    <w:rsid w:val="003E6DAC"/>
    <w:rsid w:val="00400DC7"/>
    <w:rsid w:val="004012DD"/>
    <w:rsid w:val="004013E7"/>
    <w:rsid w:val="00401A67"/>
    <w:rsid w:val="00402C0D"/>
    <w:rsid w:val="004039FC"/>
    <w:rsid w:val="0040671E"/>
    <w:rsid w:val="00406B97"/>
    <w:rsid w:val="004077B3"/>
    <w:rsid w:val="0041203B"/>
    <w:rsid w:val="00412D64"/>
    <w:rsid w:val="00413E28"/>
    <w:rsid w:val="0041505D"/>
    <w:rsid w:val="004157DF"/>
    <w:rsid w:val="00417992"/>
    <w:rsid w:val="00420432"/>
    <w:rsid w:val="004227C5"/>
    <w:rsid w:val="004259CF"/>
    <w:rsid w:val="004264D5"/>
    <w:rsid w:val="00426516"/>
    <w:rsid w:val="00426D02"/>
    <w:rsid w:val="00427180"/>
    <w:rsid w:val="004305C3"/>
    <w:rsid w:val="00434C7E"/>
    <w:rsid w:val="00435301"/>
    <w:rsid w:val="004353EC"/>
    <w:rsid w:val="00435D85"/>
    <w:rsid w:val="0043689D"/>
    <w:rsid w:val="0044122A"/>
    <w:rsid w:val="0044212F"/>
    <w:rsid w:val="00444B28"/>
    <w:rsid w:val="00444CB3"/>
    <w:rsid w:val="00444D04"/>
    <w:rsid w:val="00446039"/>
    <w:rsid w:val="00446346"/>
    <w:rsid w:val="004474A6"/>
    <w:rsid w:val="00447FA8"/>
    <w:rsid w:val="004510F6"/>
    <w:rsid w:val="004544CA"/>
    <w:rsid w:val="00456754"/>
    <w:rsid w:val="00457051"/>
    <w:rsid w:val="004577E6"/>
    <w:rsid w:val="00457F15"/>
    <w:rsid w:val="00460193"/>
    <w:rsid w:val="0046120B"/>
    <w:rsid w:val="00463E4D"/>
    <w:rsid w:val="004647A1"/>
    <w:rsid w:val="00464E57"/>
    <w:rsid w:val="00465115"/>
    <w:rsid w:val="00465620"/>
    <w:rsid w:val="00466C23"/>
    <w:rsid w:val="004723BD"/>
    <w:rsid w:val="00473BB3"/>
    <w:rsid w:val="00474ADB"/>
    <w:rsid w:val="0047516A"/>
    <w:rsid w:val="00475596"/>
    <w:rsid w:val="00477728"/>
    <w:rsid w:val="00480B8D"/>
    <w:rsid w:val="00484904"/>
    <w:rsid w:val="004871C3"/>
    <w:rsid w:val="00487688"/>
    <w:rsid w:val="004878C3"/>
    <w:rsid w:val="00491945"/>
    <w:rsid w:val="004944E3"/>
    <w:rsid w:val="0049616A"/>
    <w:rsid w:val="004963B8"/>
    <w:rsid w:val="004A3AC4"/>
    <w:rsid w:val="004A40B4"/>
    <w:rsid w:val="004B03D5"/>
    <w:rsid w:val="004B20D0"/>
    <w:rsid w:val="004B21D6"/>
    <w:rsid w:val="004B310F"/>
    <w:rsid w:val="004B6723"/>
    <w:rsid w:val="004B6A4F"/>
    <w:rsid w:val="004B6F1A"/>
    <w:rsid w:val="004B7413"/>
    <w:rsid w:val="004C0D4D"/>
    <w:rsid w:val="004C1751"/>
    <w:rsid w:val="004C1A87"/>
    <w:rsid w:val="004C2A16"/>
    <w:rsid w:val="004C4496"/>
    <w:rsid w:val="004C4854"/>
    <w:rsid w:val="004C50D9"/>
    <w:rsid w:val="004D2804"/>
    <w:rsid w:val="004D36E9"/>
    <w:rsid w:val="004D3CE3"/>
    <w:rsid w:val="004D3EE7"/>
    <w:rsid w:val="004D429E"/>
    <w:rsid w:val="004D6D6D"/>
    <w:rsid w:val="004D7EE6"/>
    <w:rsid w:val="004E07C1"/>
    <w:rsid w:val="004E5667"/>
    <w:rsid w:val="004E7179"/>
    <w:rsid w:val="004E7C21"/>
    <w:rsid w:val="004E7F30"/>
    <w:rsid w:val="004F1378"/>
    <w:rsid w:val="004F14AF"/>
    <w:rsid w:val="004F14DF"/>
    <w:rsid w:val="004F3007"/>
    <w:rsid w:val="004F43E9"/>
    <w:rsid w:val="004F62AF"/>
    <w:rsid w:val="004F66B5"/>
    <w:rsid w:val="004F7A3D"/>
    <w:rsid w:val="00500169"/>
    <w:rsid w:val="0050161E"/>
    <w:rsid w:val="005021CB"/>
    <w:rsid w:val="00503672"/>
    <w:rsid w:val="00505010"/>
    <w:rsid w:val="005052B2"/>
    <w:rsid w:val="005055DA"/>
    <w:rsid w:val="0050710D"/>
    <w:rsid w:val="005106E3"/>
    <w:rsid w:val="0051090A"/>
    <w:rsid w:val="005125EB"/>
    <w:rsid w:val="00512D5C"/>
    <w:rsid w:val="00513542"/>
    <w:rsid w:val="005140B0"/>
    <w:rsid w:val="005170BC"/>
    <w:rsid w:val="00517655"/>
    <w:rsid w:val="0052170A"/>
    <w:rsid w:val="00521989"/>
    <w:rsid w:val="0052248A"/>
    <w:rsid w:val="00522D75"/>
    <w:rsid w:val="0052536B"/>
    <w:rsid w:val="00526527"/>
    <w:rsid w:val="005267AC"/>
    <w:rsid w:val="005308B3"/>
    <w:rsid w:val="00530DE1"/>
    <w:rsid w:val="00531188"/>
    <w:rsid w:val="005318BF"/>
    <w:rsid w:val="005325AE"/>
    <w:rsid w:val="00532EB0"/>
    <w:rsid w:val="00533FB4"/>
    <w:rsid w:val="00534048"/>
    <w:rsid w:val="00535022"/>
    <w:rsid w:val="00535EE1"/>
    <w:rsid w:val="00535F39"/>
    <w:rsid w:val="00550481"/>
    <w:rsid w:val="00553871"/>
    <w:rsid w:val="00553CC6"/>
    <w:rsid w:val="005546CF"/>
    <w:rsid w:val="005569AE"/>
    <w:rsid w:val="00556F13"/>
    <w:rsid w:val="00565B9C"/>
    <w:rsid w:val="0056752F"/>
    <w:rsid w:val="0057000E"/>
    <w:rsid w:val="00571DD3"/>
    <w:rsid w:val="00572473"/>
    <w:rsid w:val="00573898"/>
    <w:rsid w:val="00574274"/>
    <w:rsid w:val="00581F93"/>
    <w:rsid w:val="005850EB"/>
    <w:rsid w:val="00585CE3"/>
    <w:rsid w:val="0058609F"/>
    <w:rsid w:val="00586713"/>
    <w:rsid w:val="00590013"/>
    <w:rsid w:val="00591D1E"/>
    <w:rsid w:val="00594AE6"/>
    <w:rsid w:val="00596ABB"/>
    <w:rsid w:val="005A33B6"/>
    <w:rsid w:val="005A4315"/>
    <w:rsid w:val="005A54DE"/>
    <w:rsid w:val="005A69BD"/>
    <w:rsid w:val="005B0F7A"/>
    <w:rsid w:val="005B15EF"/>
    <w:rsid w:val="005B39EA"/>
    <w:rsid w:val="005B3CCE"/>
    <w:rsid w:val="005C4A02"/>
    <w:rsid w:val="005C5348"/>
    <w:rsid w:val="005C7533"/>
    <w:rsid w:val="005C7B3F"/>
    <w:rsid w:val="005C7CB6"/>
    <w:rsid w:val="005D2FFD"/>
    <w:rsid w:val="005D37CE"/>
    <w:rsid w:val="005D7E8C"/>
    <w:rsid w:val="005E02E7"/>
    <w:rsid w:val="005E05E1"/>
    <w:rsid w:val="005E0ED5"/>
    <w:rsid w:val="005E1033"/>
    <w:rsid w:val="005E28B1"/>
    <w:rsid w:val="005E44CB"/>
    <w:rsid w:val="005F252C"/>
    <w:rsid w:val="005F3085"/>
    <w:rsid w:val="005F47D9"/>
    <w:rsid w:val="005F67C0"/>
    <w:rsid w:val="005F777F"/>
    <w:rsid w:val="0060047F"/>
    <w:rsid w:val="00601AD0"/>
    <w:rsid w:val="0060282F"/>
    <w:rsid w:val="00602FD2"/>
    <w:rsid w:val="006061D7"/>
    <w:rsid w:val="00607D2C"/>
    <w:rsid w:val="006130DC"/>
    <w:rsid w:val="0061412A"/>
    <w:rsid w:val="00617069"/>
    <w:rsid w:val="006223A7"/>
    <w:rsid w:val="0062255D"/>
    <w:rsid w:val="00625D89"/>
    <w:rsid w:val="00627B00"/>
    <w:rsid w:val="00627D81"/>
    <w:rsid w:val="00632A01"/>
    <w:rsid w:val="00633B90"/>
    <w:rsid w:val="00633ECC"/>
    <w:rsid w:val="00635DA6"/>
    <w:rsid w:val="00636033"/>
    <w:rsid w:val="00636DF4"/>
    <w:rsid w:val="00637377"/>
    <w:rsid w:val="00640414"/>
    <w:rsid w:val="006405BC"/>
    <w:rsid w:val="0064183B"/>
    <w:rsid w:val="006438C5"/>
    <w:rsid w:val="006446CE"/>
    <w:rsid w:val="006526E2"/>
    <w:rsid w:val="00652E80"/>
    <w:rsid w:val="006539E1"/>
    <w:rsid w:val="00656F95"/>
    <w:rsid w:val="00657C61"/>
    <w:rsid w:val="00660C97"/>
    <w:rsid w:val="00660F61"/>
    <w:rsid w:val="00661C48"/>
    <w:rsid w:val="00662655"/>
    <w:rsid w:val="006628A1"/>
    <w:rsid w:val="0066457A"/>
    <w:rsid w:val="006650DB"/>
    <w:rsid w:val="00667A9B"/>
    <w:rsid w:val="00671126"/>
    <w:rsid w:val="00671A5C"/>
    <w:rsid w:val="00673FA8"/>
    <w:rsid w:val="00674E5C"/>
    <w:rsid w:val="00675F75"/>
    <w:rsid w:val="00677101"/>
    <w:rsid w:val="0067760D"/>
    <w:rsid w:val="00680EAF"/>
    <w:rsid w:val="00682C17"/>
    <w:rsid w:val="00687523"/>
    <w:rsid w:val="0068790D"/>
    <w:rsid w:val="00687C26"/>
    <w:rsid w:val="00687C49"/>
    <w:rsid w:val="00687E4C"/>
    <w:rsid w:val="00690277"/>
    <w:rsid w:val="0069088E"/>
    <w:rsid w:val="0069164A"/>
    <w:rsid w:val="006927E6"/>
    <w:rsid w:val="00692D4B"/>
    <w:rsid w:val="0069546C"/>
    <w:rsid w:val="0069764B"/>
    <w:rsid w:val="006A06C4"/>
    <w:rsid w:val="006A456F"/>
    <w:rsid w:val="006A6AFB"/>
    <w:rsid w:val="006A72BA"/>
    <w:rsid w:val="006A745B"/>
    <w:rsid w:val="006B1A0C"/>
    <w:rsid w:val="006B1EE7"/>
    <w:rsid w:val="006B28FD"/>
    <w:rsid w:val="006B369D"/>
    <w:rsid w:val="006B3778"/>
    <w:rsid w:val="006B4C95"/>
    <w:rsid w:val="006B643F"/>
    <w:rsid w:val="006B70DA"/>
    <w:rsid w:val="006B7DFC"/>
    <w:rsid w:val="006C1830"/>
    <w:rsid w:val="006C3016"/>
    <w:rsid w:val="006C3C80"/>
    <w:rsid w:val="006C4E71"/>
    <w:rsid w:val="006C53F1"/>
    <w:rsid w:val="006C5FFA"/>
    <w:rsid w:val="006C72F5"/>
    <w:rsid w:val="006C7EAF"/>
    <w:rsid w:val="006D069A"/>
    <w:rsid w:val="006E2280"/>
    <w:rsid w:val="006E2E7B"/>
    <w:rsid w:val="006E4C90"/>
    <w:rsid w:val="006E4F57"/>
    <w:rsid w:val="006E7056"/>
    <w:rsid w:val="006F0551"/>
    <w:rsid w:val="006F1987"/>
    <w:rsid w:val="006F474F"/>
    <w:rsid w:val="006F6674"/>
    <w:rsid w:val="006F790B"/>
    <w:rsid w:val="007003AF"/>
    <w:rsid w:val="0070151B"/>
    <w:rsid w:val="00701A4E"/>
    <w:rsid w:val="00704BFA"/>
    <w:rsid w:val="00705824"/>
    <w:rsid w:val="00706F11"/>
    <w:rsid w:val="007072DD"/>
    <w:rsid w:val="00707987"/>
    <w:rsid w:val="00713076"/>
    <w:rsid w:val="0071371C"/>
    <w:rsid w:val="007147DA"/>
    <w:rsid w:val="00722783"/>
    <w:rsid w:val="007240EB"/>
    <w:rsid w:val="00724285"/>
    <w:rsid w:val="00726994"/>
    <w:rsid w:val="007310FC"/>
    <w:rsid w:val="00731B90"/>
    <w:rsid w:val="00732563"/>
    <w:rsid w:val="00732AB8"/>
    <w:rsid w:val="00732FD6"/>
    <w:rsid w:val="00733001"/>
    <w:rsid w:val="00733CEB"/>
    <w:rsid w:val="00734042"/>
    <w:rsid w:val="00735181"/>
    <w:rsid w:val="00736448"/>
    <w:rsid w:val="0074142D"/>
    <w:rsid w:val="00741ECA"/>
    <w:rsid w:val="0074770A"/>
    <w:rsid w:val="0075014D"/>
    <w:rsid w:val="00750CDD"/>
    <w:rsid w:val="0075125C"/>
    <w:rsid w:val="007517E1"/>
    <w:rsid w:val="007547DF"/>
    <w:rsid w:val="0075578B"/>
    <w:rsid w:val="00755AC8"/>
    <w:rsid w:val="0075617C"/>
    <w:rsid w:val="0076132B"/>
    <w:rsid w:val="00763963"/>
    <w:rsid w:val="007666EF"/>
    <w:rsid w:val="007667F5"/>
    <w:rsid w:val="0076757C"/>
    <w:rsid w:val="00770144"/>
    <w:rsid w:val="007706B2"/>
    <w:rsid w:val="00773499"/>
    <w:rsid w:val="00774182"/>
    <w:rsid w:val="00774B3F"/>
    <w:rsid w:val="00776EC4"/>
    <w:rsid w:val="00777C6B"/>
    <w:rsid w:val="007828A8"/>
    <w:rsid w:val="00783AA4"/>
    <w:rsid w:val="00786406"/>
    <w:rsid w:val="007900D4"/>
    <w:rsid w:val="00791762"/>
    <w:rsid w:val="00792475"/>
    <w:rsid w:val="007932A9"/>
    <w:rsid w:val="0079339C"/>
    <w:rsid w:val="00793BB9"/>
    <w:rsid w:val="00793EC3"/>
    <w:rsid w:val="007944B4"/>
    <w:rsid w:val="0079534D"/>
    <w:rsid w:val="00795962"/>
    <w:rsid w:val="00795DFB"/>
    <w:rsid w:val="00796E3D"/>
    <w:rsid w:val="007A33E3"/>
    <w:rsid w:val="007A4559"/>
    <w:rsid w:val="007A4DF4"/>
    <w:rsid w:val="007A4EEB"/>
    <w:rsid w:val="007A5429"/>
    <w:rsid w:val="007A5461"/>
    <w:rsid w:val="007A680C"/>
    <w:rsid w:val="007B0345"/>
    <w:rsid w:val="007B0A24"/>
    <w:rsid w:val="007B1073"/>
    <w:rsid w:val="007B4631"/>
    <w:rsid w:val="007C3BF7"/>
    <w:rsid w:val="007C6382"/>
    <w:rsid w:val="007C71F1"/>
    <w:rsid w:val="007D0C15"/>
    <w:rsid w:val="007D18C0"/>
    <w:rsid w:val="007D2925"/>
    <w:rsid w:val="007D43BC"/>
    <w:rsid w:val="007D65B0"/>
    <w:rsid w:val="007D7BA5"/>
    <w:rsid w:val="007E1868"/>
    <w:rsid w:val="007E2906"/>
    <w:rsid w:val="007E7664"/>
    <w:rsid w:val="007E7787"/>
    <w:rsid w:val="007E77A4"/>
    <w:rsid w:val="007E7FC4"/>
    <w:rsid w:val="007F301B"/>
    <w:rsid w:val="007F62D6"/>
    <w:rsid w:val="008009EE"/>
    <w:rsid w:val="00801633"/>
    <w:rsid w:val="00806FB6"/>
    <w:rsid w:val="00807D88"/>
    <w:rsid w:val="00810A5E"/>
    <w:rsid w:val="00813495"/>
    <w:rsid w:val="0081526F"/>
    <w:rsid w:val="00816DEB"/>
    <w:rsid w:val="00821A2C"/>
    <w:rsid w:val="00823155"/>
    <w:rsid w:val="008235B3"/>
    <w:rsid w:val="00824264"/>
    <w:rsid w:val="008279E5"/>
    <w:rsid w:val="0083203D"/>
    <w:rsid w:val="00833C2C"/>
    <w:rsid w:val="0083480E"/>
    <w:rsid w:val="00836BF2"/>
    <w:rsid w:val="00840EC4"/>
    <w:rsid w:val="00843AD7"/>
    <w:rsid w:val="00845C0C"/>
    <w:rsid w:val="00852042"/>
    <w:rsid w:val="008541BF"/>
    <w:rsid w:val="00855797"/>
    <w:rsid w:val="00855CBB"/>
    <w:rsid w:val="00857E04"/>
    <w:rsid w:val="008601F3"/>
    <w:rsid w:val="008609A7"/>
    <w:rsid w:val="008614A2"/>
    <w:rsid w:val="00864108"/>
    <w:rsid w:val="00865598"/>
    <w:rsid w:val="00866416"/>
    <w:rsid w:val="00870307"/>
    <w:rsid w:val="00870A8A"/>
    <w:rsid w:val="0087214B"/>
    <w:rsid w:val="00872E00"/>
    <w:rsid w:val="00874589"/>
    <w:rsid w:val="008763DC"/>
    <w:rsid w:val="00880392"/>
    <w:rsid w:val="008874BE"/>
    <w:rsid w:val="0088780B"/>
    <w:rsid w:val="00891263"/>
    <w:rsid w:val="00891752"/>
    <w:rsid w:val="00892DB2"/>
    <w:rsid w:val="00893947"/>
    <w:rsid w:val="00896BA6"/>
    <w:rsid w:val="0089716E"/>
    <w:rsid w:val="00897BB2"/>
    <w:rsid w:val="008A3150"/>
    <w:rsid w:val="008A4118"/>
    <w:rsid w:val="008A4AA9"/>
    <w:rsid w:val="008A64FB"/>
    <w:rsid w:val="008A699E"/>
    <w:rsid w:val="008A785B"/>
    <w:rsid w:val="008B2B1A"/>
    <w:rsid w:val="008B39FC"/>
    <w:rsid w:val="008B5086"/>
    <w:rsid w:val="008B6870"/>
    <w:rsid w:val="008B7808"/>
    <w:rsid w:val="008C0A20"/>
    <w:rsid w:val="008C1749"/>
    <w:rsid w:val="008C2508"/>
    <w:rsid w:val="008C3291"/>
    <w:rsid w:val="008C3458"/>
    <w:rsid w:val="008C36AB"/>
    <w:rsid w:val="008C4AC5"/>
    <w:rsid w:val="008C6ED6"/>
    <w:rsid w:val="008C790E"/>
    <w:rsid w:val="008C7B82"/>
    <w:rsid w:val="008D0E58"/>
    <w:rsid w:val="008D1459"/>
    <w:rsid w:val="008D4215"/>
    <w:rsid w:val="008D5549"/>
    <w:rsid w:val="008D6DD6"/>
    <w:rsid w:val="008D7C8C"/>
    <w:rsid w:val="008E080F"/>
    <w:rsid w:val="008E1216"/>
    <w:rsid w:val="008E163C"/>
    <w:rsid w:val="008E2722"/>
    <w:rsid w:val="008E3898"/>
    <w:rsid w:val="008E43D1"/>
    <w:rsid w:val="008E56F4"/>
    <w:rsid w:val="008E63FD"/>
    <w:rsid w:val="008F46FE"/>
    <w:rsid w:val="008F55F9"/>
    <w:rsid w:val="008F6268"/>
    <w:rsid w:val="00900842"/>
    <w:rsid w:val="00901492"/>
    <w:rsid w:val="00904535"/>
    <w:rsid w:val="00905C0A"/>
    <w:rsid w:val="0091127E"/>
    <w:rsid w:val="00913087"/>
    <w:rsid w:val="00913C1D"/>
    <w:rsid w:val="00913D3A"/>
    <w:rsid w:val="0091417E"/>
    <w:rsid w:val="00915A8E"/>
    <w:rsid w:val="009215F3"/>
    <w:rsid w:val="009231B0"/>
    <w:rsid w:val="009327C1"/>
    <w:rsid w:val="0093314E"/>
    <w:rsid w:val="00933B5D"/>
    <w:rsid w:val="00937F02"/>
    <w:rsid w:val="0094112D"/>
    <w:rsid w:val="0094210D"/>
    <w:rsid w:val="009430DE"/>
    <w:rsid w:val="00946A24"/>
    <w:rsid w:val="00946A89"/>
    <w:rsid w:val="0094746A"/>
    <w:rsid w:val="00950ECF"/>
    <w:rsid w:val="00952BC8"/>
    <w:rsid w:val="00953C56"/>
    <w:rsid w:val="00954659"/>
    <w:rsid w:val="00955190"/>
    <w:rsid w:val="00955C16"/>
    <w:rsid w:val="00955C6A"/>
    <w:rsid w:val="009610CF"/>
    <w:rsid w:val="00961BF9"/>
    <w:rsid w:val="009620E5"/>
    <w:rsid w:val="00963290"/>
    <w:rsid w:val="009634AC"/>
    <w:rsid w:val="0097017C"/>
    <w:rsid w:val="00971402"/>
    <w:rsid w:val="00977D72"/>
    <w:rsid w:val="00987FB1"/>
    <w:rsid w:val="0099250C"/>
    <w:rsid w:val="009927A3"/>
    <w:rsid w:val="009949AC"/>
    <w:rsid w:val="00995E87"/>
    <w:rsid w:val="00997C1C"/>
    <w:rsid w:val="009A1A04"/>
    <w:rsid w:val="009A228C"/>
    <w:rsid w:val="009A3CA6"/>
    <w:rsid w:val="009A69C6"/>
    <w:rsid w:val="009B1EFD"/>
    <w:rsid w:val="009B213A"/>
    <w:rsid w:val="009B4D44"/>
    <w:rsid w:val="009B66B7"/>
    <w:rsid w:val="009B7F05"/>
    <w:rsid w:val="009C0A9B"/>
    <w:rsid w:val="009C7199"/>
    <w:rsid w:val="009D0622"/>
    <w:rsid w:val="009D5023"/>
    <w:rsid w:val="009D5392"/>
    <w:rsid w:val="009D64DA"/>
    <w:rsid w:val="009D6D8F"/>
    <w:rsid w:val="009E2757"/>
    <w:rsid w:val="009E3332"/>
    <w:rsid w:val="009E3E7F"/>
    <w:rsid w:val="009E5CD7"/>
    <w:rsid w:val="009E7BDC"/>
    <w:rsid w:val="009F43FF"/>
    <w:rsid w:val="009F4BDF"/>
    <w:rsid w:val="009F5D38"/>
    <w:rsid w:val="00A01B14"/>
    <w:rsid w:val="00A01EDA"/>
    <w:rsid w:val="00A030B3"/>
    <w:rsid w:val="00A031BB"/>
    <w:rsid w:val="00A04B2E"/>
    <w:rsid w:val="00A058FE"/>
    <w:rsid w:val="00A1157F"/>
    <w:rsid w:val="00A11A7F"/>
    <w:rsid w:val="00A154B4"/>
    <w:rsid w:val="00A15784"/>
    <w:rsid w:val="00A15F8F"/>
    <w:rsid w:val="00A21827"/>
    <w:rsid w:val="00A21CE4"/>
    <w:rsid w:val="00A21DD6"/>
    <w:rsid w:val="00A22E7F"/>
    <w:rsid w:val="00A23578"/>
    <w:rsid w:val="00A2496A"/>
    <w:rsid w:val="00A25999"/>
    <w:rsid w:val="00A261CE"/>
    <w:rsid w:val="00A31983"/>
    <w:rsid w:val="00A31CC7"/>
    <w:rsid w:val="00A3229B"/>
    <w:rsid w:val="00A33673"/>
    <w:rsid w:val="00A35AEF"/>
    <w:rsid w:val="00A35CF7"/>
    <w:rsid w:val="00A416DB"/>
    <w:rsid w:val="00A435F2"/>
    <w:rsid w:val="00A43732"/>
    <w:rsid w:val="00A43A20"/>
    <w:rsid w:val="00A43F13"/>
    <w:rsid w:val="00A44721"/>
    <w:rsid w:val="00A4619D"/>
    <w:rsid w:val="00A4645E"/>
    <w:rsid w:val="00A47815"/>
    <w:rsid w:val="00A501D6"/>
    <w:rsid w:val="00A50741"/>
    <w:rsid w:val="00A51428"/>
    <w:rsid w:val="00A518C2"/>
    <w:rsid w:val="00A51AD4"/>
    <w:rsid w:val="00A51D92"/>
    <w:rsid w:val="00A53FA4"/>
    <w:rsid w:val="00A552C9"/>
    <w:rsid w:val="00A55C21"/>
    <w:rsid w:val="00A56A09"/>
    <w:rsid w:val="00A61696"/>
    <w:rsid w:val="00A63075"/>
    <w:rsid w:val="00A6591C"/>
    <w:rsid w:val="00A70E3F"/>
    <w:rsid w:val="00A72055"/>
    <w:rsid w:val="00A73E94"/>
    <w:rsid w:val="00A74CC5"/>
    <w:rsid w:val="00A75877"/>
    <w:rsid w:val="00A77EFD"/>
    <w:rsid w:val="00A80D6D"/>
    <w:rsid w:val="00A8141C"/>
    <w:rsid w:val="00A814C4"/>
    <w:rsid w:val="00A82D74"/>
    <w:rsid w:val="00A8400B"/>
    <w:rsid w:val="00A908C2"/>
    <w:rsid w:val="00A9153C"/>
    <w:rsid w:val="00A91C1E"/>
    <w:rsid w:val="00A92E82"/>
    <w:rsid w:val="00A965B1"/>
    <w:rsid w:val="00A974D7"/>
    <w:rsid w:val="00A97AEA"/>
    <w:rsid w:val="00AA0580"/>
    <w:rsid w:val="00AA37A6"/>
    <w:rsid w:val="00AA4162"/>
    <w:rsid w:val="00AA510E"/>
    <w:rsid w:val="00AA554D"/>
    <w:rsid w:val="00AA7D18"/>
    <w:rsid w:val="00AB02DB"/>
    <w:rsid w:val="00AB0EC8"/>
    <w:rsid w:val="00AB23D8"/>
    <w:rsid w:val="00AB4D4C"/>
    <w:rsid w:val="00AB560B"/>
    <w:rsid w:val="00AB6106"/>
    <w:rsid w:val="00AB6F91"/>
    <w:rsid w:val="00AB72B1"/>
    <w:rsid w:val="00AB7422"/>
    <w:rsid w:val="00AC16D5"/>
    <w:rsid w:val="00AC3B2E"/>
    <w:rsid w:val="00AC52ED"/>
    <w:rsid w:val="00AC5679"/>
    <w:rsid w:val="00AD05F1"/>
    <w:rsid w:val="00AD0D66"/>
    <w:rsid w:val="00AD2939"/>
    <w:rsid w:val="00AD2C44"/>
    <w:rsid w:val="00AD3508"/>
    <w:rsid w:val="00AD4D35"/>
    <w:rsid w:val="00AD67D5"/>
    <w:rsid w:val="00AD76CF"/>
    <w:rsid w:val="00AD7751"/>
    <w:rsid w:val="00AE24C8"/>
    <w:rsid w:val="00AE25C8"/>
    <w:rsid w:val="00AE472F"/>
    <w:rsid w:val="00AE4F62"/>
    <w:rsid w:val="00AE50D1"/>
    <w:rsid w:val="00AE558B"/>
    <w:rsid w:val="00AE6E57"/>
    <w:rsid w:val="00AF13F1"/>
    <w:rsid w:val="00AF1FA3"/>
    <w:rsid w:val="00AF2045"/>
    <w:rsid w:val="00AF3C4B"/>
    <w:rsid w:val="00AF44E1"/>
    <w:rsid w:val="00AF4564"/>
    <w:rsid w:val="00AF6E44"/>
    <w:rsid w:val="00B00C60"/>
    <w:rsid w:val="00B00F88"/>
    <w:rsid w:val="00B0239F"/>
    <w:rsid w:val="00B029D9"/>
    <w:rsid w:val="00B03ED9"/>
    <w:rsid w:val="00B03F55"/>
    <w:rsid w:val="00B06BE4"/>
    <w:rsid w:val="00B1072F"/>
    <w:rsid w:val="00B117EE"/>
    <w:rsid w:val="00B1289E"/>
    <w:rsid w:val="00B12920"/>
    <w:rsid w:val="00B12B38"/>
    <w:rsid w:val="00B13284"/>
    <w:rsid w:val="00B13E14"/>
    <w:rsid w:val="00B200A7"/>
    <w:rsid w:val="00B201D5"/>
    <w:rsid w:val="00B21AF4"/>
    <w:rsid w:val="00B244DD"/>
    <w:rsid w:val="00B245A6"/>
    <w:rsid w:val="00B27986"/>
    <w:rsid w:val="00B30146"/>
    <w:rsid w:val="00B309ED"/>
    <w:rsid w:val="00B31DCE"/>
    <w:rsid w:val="00B323DE"/>
    <w:rsid w:val="00B354CC"/>
    <w:rsid w:val="00B36459"/>
    <w:rsid w:val="00B364FD"/>
    <w:rsid w:val="00B365A8"/>
    <w:rsid w:val="00B366AA"/>
    <w:rsid w:val="00B37137"/>
    <w:rsid w:val="00B42206"/>
    <w:rsid w:val="00B47AB0"/>
    <w:rsid w:val="00B5082D"/>
    <w:rsid w:val="00B5279F"/>
    <w:rsid w:val="00B5304B"/>
    <w:rsid w:val="00B53119"/>
    <w:rsid w:val="00B53D00"/>
    <w:rsid w:val="00B57096"/>
    <w:rsid w:val="00B60B7F"/>
    <w:rsid w:val="00B60C14"/>
    <w:rsid w:val="00B61426"/>
    <w:rsid w:val="00B618F8"/>
    <w:rsid w:val="00B62448"/>
    <w:rsid w:val="00B64041"/>
    <w:rsid w:val="00B66C2B"/>
    <w:rsid w:val="00B70E65"/>
    <w:rsid w:val="00B712A9"/>
    <w:rsid w:val="00B7189F"/>
    <w:rsid w:val="00B722A5"/>
    <w:rsid w:val="00B727B4"/>
    <w:rsid w:val="00B73452"/>
    <w:rsid w:val="00B74D96"/>
    <w:rsid w:val="00B75996"/>
    <w:rsid w:val="00B770FE"/>
    <w:rsid w:val="00B80B9E"/>
    <w:rsid w:val="00B81232"/>
    <w:rsid w:val="00B82092"/>
    <w:rsid w:val="00B8223C"/>
    <w:rsid w:val="00B841D1"/>
    <w:rsid w:val="00B84F50"/>
    <w:rsid w:val="00B90515"/>
    <w:rsid w:val="00B93BD2"/>
    <w:rsid w:val="00B94B11"/>
    <w:rsid w:val="00BA094B"/>
    <w:rsid w:val="00BA3D42"/>
    <w:rsid w:val="00BA5F96"/>
    <w:rsid w:val="00BA6B70"/>
    <w:rsid w:val="00BB062D"/>
    <w:rsid w:val="00BB225E"/>
    <w:rsid w:val="00BB258B"/>
    <w:rsid w:val="00BB2CB0"/>
    <w:rsid w:val="00BB45D2"/>
    <w:rsid w:val="00BB4675"/>
    <w:rsid w:val="00BB5738"/>
    <w:rsid w:val="00BB5BD9"/>
    <w:rsid w:val="00BC0EDC"/>
    <w:rsid w:val="00BC3005"/>
    <w:rsid w:val="00BC3BDE"/>
    <w:rsid w:val="00BC5618"/>
    <w:rsid w:val="00BC6F12"/>
    <w:rsid w:val="00BD2EB2"/>
    <w:rsid w:val="00BD383A"/>
    <w:rsid w:val="00BD3E2B"/>
    <w:rsid w:val="00BD448C"/>
    <w:rsid w:val="00BD4866"/>
    <w:rsid w:val="00BD52E3"/>
    <w:rsid w:val="00BD542E"/>
    <w:rsid w:val="00BE72D8"/>
    <w:rsid w:val="00BE7BDC"/>
    <w:rsid w:val="00BF0BDD"/>
    <w:rsid w:val="00BF2055"/>
    <w:rsid w:val="00BF21C3"/>
    <w:rsid w:val="00BF5BC9"/>
    <w:rsid w:val="00BF69C2"/>
    <w:rsid w:val="00BF6E34"/>
    <w:rsid w:val="00BF751C"/>
    <w:rsid w:val="00C000F4"/>
    <w:rsid w:val="00C01432"/>
    <w:rsid w:val="00C0176C"/>
    <w:rsid w:val="00C0244A"/>
    <w:rsid w:val="00C027C4"/>
    <w:rsid w:val="00C03BF0"/>
    <w:rsid w:val="00C0459D"/>
    <w:rsid w:val="00C06305"/>
    <w:rsid w:val="00C11F55"/>
    <w:rsid w:val="00C144B2"/>
    <w:rsid w:val="00C15380"/>
    <w:rsid w:val="00C1597B"/>
    <w:rsid w:val="00C161B8"/>
    <w:rsid w:val="00C17A9E"/>
    <w:rsid w:val="00C21744"/>
    <w:rsid w:val="00C21E54"/>
    <w:rsid w:val="00C22F28"/>
    <w:rsid w:val="00C23FDE"/>
    <w:rsid w:val="00C24FDC"/>
    <w:rsid w:val="00C2531F"/>
    <w:rsid w:val="00C3012C"/>
    <w:rsid w:val="00C30206"/>
    <w:rsid w:val="00C30558"/>
    <w:rsid w:val="00C3101D"/>
    <w:rsid w:val="00C326F9"/>
    <w:rsid w:val="00C327D5"/>
    <w:rsid w:val="00C3418B"/>
    <w:rsid w:val="00C3739E"/>
    <w:rsid w:val="00C37BC4"/>
    <w:rsid w:val="00C40DD6"/>
    <w:rsid w:val="00C44B34"/>
    <w:rsid w:val="00C44C4E"/>
    <w:rsid w:val="00C45478"/>
    <w:rsid w:val="00C464C0"/>
    <w:rsid w:val="00C4652B"/>
    <w:rsid w:val="00C46962"/>
    <w:rsid w:val="00C46C8F"/>
    <w:rsid w:val="00C46EDF"/>
    <w:rsid w:val="00C538D7"/>
    <w:rsid w:val="00C5723A"/>
    <w:rsid w:val="00C572AC"/>
    <w:rsid w:val="00C614B2"/>
    <w:rsid w:val="00C65B4C"/>
    <w:rsid w:val="00C663D2"/>
    <w:rsid w:val="00C67EF9"/>
    <w:rsid w:val="00C7252F"/>
    <w:rsid w:val="00C73498"/>
    <w:rsid w:val="00C81E26"/>
    <w:rsid w:val="00C8324E"/>
    <w:rsid w:val="00C83E6F"/>
    <w:rsid w:val="00C843F6"/>
    <w:rsid w:val="00C84613"/>
    <w:rsid w:val="00C85282"/>
    <w:rsid w:val="00C8658C"/>
    <w:rsid w:val="00C90573"/>
    <w:rsid w:val="00C9108E"/>
    <w:rsid w:val="00C91DA3"/>
    <w:rsid w:val="00C92B79"/>
    <w:rsid w:val="00C93259"/>
    <w:rsid w:val="00C939B2"/>
    <w:rsid w:val="00C9455C"/>
    <w:rsid w:val="00C97EF1"/>
    <w:rsid w:val="00CA2B1F"/>
    <w:rsid w:val="00CA31C0"/>
    <w:rsid w:val="00CA431C"/>
    <w:rsid w:val="00CA538E"/>
    <w:rsid w:val="00CB0063"/>
    <w:rsid w:val="00CB1914"/>
    <w:rsid w:val="00CB27C4"/>
    <w:rsid w:val="00CB4A15"/>
    <w:rsid w:val="00CC1E0A"/>
    <w:rsid w:val="00CC20E4"/>
    <w:rsid w:val="00CC2ADD"/>
    <w:rsid w:val="00CC64B3"/>
    <w:rsid w:val="00CD31B2"/>
    <w:rsid w:val="00CD3A10"/>
    <w:rsid w:val="00CD3B4E"/>
    <w:rsid w:val="00CD62CF"/>
    <w:rsid w:val="00CD720B"/>
    <w:rsid w:val="00CE0145"/>
    <w:rsid w:val="00CE034C"/>
    <w:rsid w:val="00CE07E3"/>
    <w:rsid w:val="00CE0D7C"/>
    <w:rsid w:val="00CE2AA3"/>
    <w:rsid w:val="00CE5B95"/>
    <w:rsid w:val="00CE5E77"/>
    <w:rsid w:val="00CF1786"/>
    <w:rsid w:val="00CF36F4"/>
    <w:rsid w:val="00CF37B6"/>
    <w:rsid w:val="00D017AD"/>
    <w:rsid w:val="00D02032"/>
    <w:rsid w:val="00D0235F"/>
    <w:rsid w:val="00D067CA"/>
    <w:rsid w:val="00D111A8"/>
    <w:rsid w:val="00D14C4D"/>
    <w:rsid w:val="00D14EB5"/>
    <w:rsid w:val="00D161B9"/>
    <w:rsid w:val="00D16581"/>
    <w:rsid w:val="00D16588"/>
    <w:rsid w:val="00D17FBF"/>
    <w:rsid w:val="00D21B9F"/>
    <w:rsid w:val="00D24C4F"/>
    <w:rsid w:val="00D2511F"/>
    <w:rsid w:val="00D251D8"/>
    <w:rsid w:val="00D257CD"/>
    <w:rsid w:val="00D258CD"/>
    <w:rsid w:val="00D265A4"/>
    <w:rsid w:val="00D2663D"/>
    <w:rsid w:val="00D30875"/>
    <w:rsid w:val="00D323A0"/>
    <w:rsid w:val="00D34AA1"/>
    <w:rsid w:val="00D37D4F"/>
    <w:rsid w:val="00D4233C"/>
    <w:rsid w:val="00D42571"/>
    <w:rsid w:val="00D43226"/>
    <w:rsid w:val="00D437F5"/>
    <w:rsid w:val="00D4437E"/>
    <w:rsid w:val="00D462C5"/>
    <w:rsid w:val="00D507FA"/>
    <w:rsid w:val="00D51E76"/>
    <w:rsid w:val="00D53D41"/>
    <w:rsid w:val="00D57C30"/>
    <w:rsid w:val="00D61959"/>
    <w:rsid w:val="00D62968"/>
    <w:rsid w:val="00D640E0"/>
    <w:rsid w:val="00D64DFA"/>
    <w:rsid w:val="00D66042"/>
    <w:rsid w:val="00D72327"/>
    <w:rsid w:val="00D7448E"/>
    <w:rsid w:val="00D745DF"/>
    <w:rsid w:val="00D7498A"/>
    <w:rsid w:val="00D7581F"/>
    <w:rsid w:val="00D761AC"/>
    <w:rsid w:val="00D804DC"/>
    <w:rsid w:val="00D8051B"/>
    <w:rsid w:val="00D82781"/>
    <w:rsid w:val="00D925BB"/>
    <w:rsid w:val="00D941E4"/>
    <w:rsid w:val="00D97C5C"/>
    <w:rsid w:val="00D97D6D"/>
    <w:rsid w:val="00DA0277"/>
    <w:rsid w:val="00DA15B3"/>
    <w:rsid w:val="00DA2FB6"/>
    <w:rsid w:val="00DA7D69"/>
    <w:rsid w:val="00DB38A4"/>
    <w:rsid w:val="00DB52DA"/>
    <w:rsid w:val="00DB5F20"/>
    <w:rsid w:val="00DC218C"/>
    <w:rsid w:val="00DC297A"/>
    <w:rsid w:val="00DC35C2"/>
    <w:rsid w:val="00DC361E"/>
    <w:rsid w:val="00DC3D6A"/>
    <w:rsid w:val="00DC4BAF"/>
    <w:rsid w:val="00DC6577"/>
    <w:rsid w:val="00DC7C93"/>
    <w:rsid w:val="00DD4370"/>
    <w:rsid w:val="00DD4AE9"/>
    <w:rsid w:val="00DE06AB"/>
    <w:rsid w:val="00DE521A"/>
    <w:rsid w:val="00DE5737"/>
    <w:rsid w:val="00DE6256"/>
    <w:rsid w:val="00DE7EF1"/>
    <w:rsid w:val="00DF1499"/>
    <w:rsid w:val="00DF2B2D"/>
    <w:rsid w:val="00DF2E87"/>
    <w:rsid w:val="00DF4090"/>
    <w:rsid w:val="00DF4380"/>
    <w:rsid w:val="00DF62CB"/>
    <w:rsid w:val="00DF7CA4"/>
    <w:rsid w:val="00E00BC4"/>
    <w:rsid w:val="00E01BB6"/>
    <w:rsid w:val="00E03886"/>
    <w:rsid w:val="00E05277"/>
    <w:rsid w:val="00E1029F"/>
    <w:rsid w:val="00E10306"/>
    <w:rsid w:val="00E1169F"/>
    <w:rsid w:val="00E117F8"/>
    <w:rsid w:val="00E13DE3"/>
    <w:rsid w:val="00E13EB7"/>
    <w:rsid w:val="00E13FCA"/>
    <w:rsid w:val="00E14047"/>
    <w:rsid w:val="00E177CC"/>
    <w:rsid w:val="00E21D98"/>
    <w:rsid w:val="00E22270"/>
    <w:rsid w:val="00E23AFD"/>
    <w:rsid w:val="00E24488"/>
    <w:rsid w:val="00E25AB3"/>
    <w:rsid w:val="00E26A2E"/>
    <w:rsid w:val="00E26F42"/>
    <w:rsid w:val="00E27DBD"/>
    <w:rsid w:val="00E3265F"/>
    <w:rsid w:val="00E35DF0"/>
    <w:rsid w:val="00E35F20"/>
    <w:rsid w:val="00E36502"/>
    <w:rsid w:val="00E36F9C"/>
    <w:rsid w:val="00E371A3"/>
    <w:rsid w:val="00E44A6E"/>
    <w:rsid w:val="00E44AE9"/>
    <w:rsid w:val="00E46C90"/>
    <w:rsid w:val="00E50318"/>
    <w:rsid w:val="00E511E3"/>
    <w:rsid w:val="00E545CC"/>
    <w:rsid w:val="00E62570"/>
    <w:rsid w:val="00E661F5"/>
    <w:rsid w:val="00E71353"/>
    <w:rsid w:val="00E71D2B"/>
    <w:rsid w:val="00E73851"/>
    <w:rsid w:val="00E73939"/>
    <w:rsid w:val="00E76188"/>
    <w:rsid w:val="00E77A28"/>
    <w:rsid w:val="00E80643"/>
    <w:rsid w:val="00E854AF"/>
    <w:rsid w:val="00E85C47"/>
    <w:rsid w:val="00E860FD"/>
    <w:rsid w:val="00E86FCE"/>
    <w:rsid w:val="00E87945"/>
    <w:rsid w:val="00E87AEE"/>
    <w:rsid w:val="00E87CCE"/>
    <w:rsid w:val="00E945FF"/>
    <w:rsid w:val="00E9471F"/>
    <w:rsid w:val="00E97932"/>
    <w:rsid w:val="00EA0AFF"/>
    <w:rsid w:val="00EA3F53"/>
    <w:rsid w:val="00EA7B4A"/>
    <w:rsid w:val="00EB34CB"/>
    <w:rsid w:val="00EB3C04"/>
    <w:rsid w:val="00EB4BA8"/>
    <w:rsid w:val="00EB4CAE"/>
    <w:rsid w:val="00EB5395"/>
    <w:rsid w:val="00EB5B9B"/>
    <w:rsid w:val="00EB6AF1"/>
    <w:rsid w:val="00EC69D7"/>
    <w:rsid w:val="00ED0718"/>
    <w:rsid w:val="00ED1557"/>
    <w:rsid w:val="00ED158B"/>
    <w:rsid w:val="00ED1A5B"/>
    <w:rsid w:val="00ED3260"/>
    <w:rsid w:val="00ED3446"/>
    <w:rsid w:val="00ED3EE6"/>
    <w:rsid w:val="00ED5142"/>
    <w:rsid w:val="00ED518A"/>
    <w:rsid w:val="00ED6335"/>
    <w:rsid w:val="00EE5F25"/>
    <w:rsid w:val="00EF0975"/>
    <w:rsid w:val="00EF0B9F"/>
    <w:rsid w:val="00EF1463"/>
    <w:rsid w:val="00EF3842"/>
    <w:rsid w:val="00EF6B80"/>
    <w:rsid w:val="00EF713D"/>
    <w:rsid w:val="00EF7715"/>
    <w:rsid w:val="00F03CBF"/>
    <w:rsid w:val="00F06440"/>
    <w:rsid w:val="00F138A0"/>
    <w:rsid w:val="00F149C5"/>
    <w:rsid w:val="00F20164"/>
    <w:rsid w:val="00F213A1"/>
    <w:rsid w:val="00F22931"/>
    <w:rsid w:val="00F24826"/>
    <w:rsid w:val="00F27E1D"/>
    <w:rsid w:val="00F303A2"/>
    <w:rsid w:val="00F35051"/>
    <w:rsid w:val="00F3549B"/>
    <w:rsid w:val="00F401CB"/>
    <w:rsid w:val="00F413F8"/>
    <w:rsid w:val="00F418B7"/>
    <w:rsid w:val="00F4376E"/>
    <w:rsid w:val="00F50FE0"/>
    <w:rsid w:val="00F51904"/>
    <w:rsid w:val="00F51A5F"/>
    <w:rsid w:val="00F614AA"/>
    <w:rsid w:val="00F620CE"/>
    <w:rsid w:val="00F622E1"/>
    <w:rsid w:val="00F6300E"/>
    <w:rsid w:val="00F63B5D"/>
    <w:rsid w:val="00F6459B"/>
    <w:rsid w:val="00F64E0C"/>
    <w:rsid w:val="00F67D87"/>
    <w:rsid w:val="00F709AB"/>
    <w:rsid w:val="00F71D27"/>
    <w:rsid w:val="00F722AE"/>
    <w:rsid w:val="00F74AAE"/>
    <w:rsid w:val="00F74C34"/>
    <w:rsid w:val="00F77731"/>
    <w:rsid w:val="00F81102"/>
    <w:rsid w:val="00F81BDD"/>
    <w:rsid w:val="00F839C4"/>
    <w:rsid w:val="00F83AC2"/>
    <w:rsid w:val="00F844D4"/>
    <w:rsid w:val="00F854E0"/>
    <w:rsid w:val="00F90964"/>
    <w:rsid w:val="00F916A1"/>
    <w:rsid w:val="00F93A01"/>
    <w:rsid w:val="00F95A1A"/>
    <w:rsid w:val="00F95A76"/>
    <w:rsid w:val="00F96132"/>
    <w:rsid w:val="00F96E0F"/>
    <w:rsid w:val="00FA1E68"/>
    <w:rsid w:val="00FA3ADE"/>
    <w:rsid w:val="00FA4C6D"/>
    <w:rsid w:val="00FB017C"/>
    <w:rsid w:val="00FB0788"/>
    <w:rsid w:val="00FB1EB8"/>
    <w:rsid w:val="00FB5866"/>
    <w:rsid w:val="00FB5C9E"/>
    <w:rsid w:val="00FC0BD9"/>
    <w:rsid w:val="00FC1D4F"/>
    <w:rsid w:val="00FC4063"/>
    <w:rsid w:val="00FC4F7A"/>
    <w:rsid w:val="00FD072F"/>
    <w:rsid w:val="00FD3851"/>
    <w:rsid w:val="00FD50F8"/>
    <w:rsid w:val="00FD6921"/>
    <w:rsid w:val="00FD709B"/>
    <w:rsid w:val="00FE0F3B"/>
    <w:rsid w:val="00FE133C"/>
    <w:rsid w:val="00FE1C17"/>
    <w:rsid w:val="00FE1FEB"/>
    <w:rsid w:val="00FE3731"/>
    <w:rsid w:val="00FE42D0"/>
    <w:rsid w:val="00FE4565"/>
    <w:rsid w:val="00FE5F75"/>
    <w:rsid w:val="00FE6A4F"/>
    <w:rsid w:val="00FF110B"/>
    <w:rsid w:val="00FF31A6"/>
    <w:rsid w:val="00FF4E8A"/>
    <w:rsid w:val="00FF5087"/>
    <w:rsid w:val="00FF6E96"/>
    <w:rsid w:val="08F413A9"/>
    <w:rsid w:val="0D737CD8"/>
    <w:rsid w:val="16547C21"/>
    <w:rsid w:val="16863201"/>
    <w:rsid w:val="172B70AC"/>
    <w:rsid w:val="17756643"/>
    <w:rsid w:val="1CE912A0"/>
    <w:rsid w:val="1F171494"/>
    <w:rsid w:val="2E5A2B7D"/>
    <w:rsid w:val="31CB60B6"/>
    <w:rsid w:val="32006FB8"/>
    <w:rsid w:val="381C6D2C"/>
    <w:rsid w:val="3B5662E6"/>
    <w:rsid w:val="40D961F5"/>
    <w:rsid w:val="450F4D67"/>
    <w:rsid w:val="48A808BE"/>
    <w:rsid w:val="4AE36CC2"/>
    <w:rsid w:val="54AC6D2B"/>
    <w:rsid w:val="556C71A1"/>
    <w:rsid w:val="58846A48"/>
    <w:rsid w:val="58E6624B"/>
    <w:rsid w:val="5D595DD4"/>
    <w:rsid w:val="61025BDF"/>
    <w:rsid w:val="629E0AD7"/>
    <w:rsid w:val="62D74037"/>
    <w:rsid w:val="662A5584"/>
    <w:rsid w:val="66FD234E"/>
    <w:rsid w:val="6AD35675"/>
    <w:rsid w:val="72B80ECA"/>
    <w:rsid w:val="74040BD2"/>
    <w:rsid w:val="76E61C4D"/>
    <w:rsid w:val="770338D9"/>
    <w:rsid w:val="7AAA2F92"/>
    <w:rsid w:val="7CEB2453"/>
    <w:rsid w:val="7F6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footnote reference"/>
    <w:unhideWhenUsed/>
    <w:qFormat/>
    <w:uiPriority w:val="99"/>
    <w:rPr>
      <w:vertAlign w:val="superscript"/>
    </w:rPr>
  </w:style>
  <w:style w:type="character" w:customStyle="1" w:styleId="10">
    <w:name w:val="批注框文本 字符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rFonts w:ascii="Calibri" w:hAnsi="Calibri"/>
      <w:sz w:val="18"/>
      <w:szCs w:val="18"/>
    </w:rPr>
  </w:style>
  <w:style w:type="character" w:customStyle="1" w:styleId="12">
    <w:name w:val="页眉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脚注文本 字符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明显强调1"/>
    <w:qFormat/>
    <w:uiPriority w:val="21"/>
    <w:rPr>
      <w:i/>
      <w:iCs/>
      <w:color w:val="4F81BD"/>
    </w:rPr>
  </w:style>
  <w:style w:type="character" w:customStyle="1" w:styleId="15">
    <w:name w:val="页脚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2025&#24180;\8&#26376;\&#19978;&#32593;&#31295;\&#32472;&#22270;-&#19978;&#32593;&#31295;-&#26609;&#29366;&#22270;%20-%20new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F:\2025&#24180;\8&#26376;\&#19978;&#32593;&#31295;\&#32472;&#22270;-&#19978;&#32593;&#31295;-&#26609;&#29366;&#22270;%20-%20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55693650865551"/>
          <c:y val="0.0625001085571898"/>
          <c:w val="0.870391017636557"/>
          <c:h val="0.670745570866142"/>
        </c:manualLayout>
      </c:layout>
      <c:lineChart>
        <c:grouping val="standard"/>
        <c:varyColors val="0"/>
        <c:ser>
          <c:idx val="0"/>
          <c:order val="0"/>
          <c:spPr>
            <a:ln w="12700" cap="rnd">
              <a:solidFill>
                <a:srgbClr val="0000FF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0000FF"/>
              </a:solidFill>
              <a:ln w="9525">
                <a:noFill/>
              </a:ln>
              <a:effectLst/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0"/>
                  <c:y val="-0.072727272727272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1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Sheet1!$A$104:$A$121</c:f>
              <c:strCache>
                <c:ptCount val="18"/>
                <c:pt idx="0">
                  <c:v>2024年1-2月</c:v>
                </c:pt>
                <c:pt idx="1">
                  <c:v>3月</c:v>
                </c:pt>
                <c:pt idx="2">
                  <c:v>4月</c:v>
                </c:pt>
                <c:pt idx="3">
                  <c:v>5月</c:v>
                </c:pt>
                <c:pt idx="4">
                  <c:v>6月</c:v>
                </c:pt>
                <c:pt idx="5">
                  <c:v>7月</c:v>
                </c:pt>
                <c:pt idx="6">
                  <c:v>8月</c:v>
                </c:pt>
                <c:pt idx="7">
                  <c:v>9月</c:v>
                </c:pt>
                <c:pt idx="8">
                  <c:v>10月</c:v>
                </c:pt>
                <c:pt idx="9">
                  <c:v>11月</c:v>
                </c:pt>
                <c:pt idx="10">
                  <c:v>12月</c:v>
                </c:pt>
                <c:pt idx="11">
                  <c:v>2025年1-2月</c:v>
                </c:pt>
                <c:pt idx="12">
                  <c:v>3月</c:v>
                </c:pt>
                <c:pt idx="13">
                  <c:v>4月</c:v>
                </c:pt>
                <c:pt idx="14">
                  <c:v>5月</c:v>
                </c:pt>
                <c:pt idx="15">
                  <c:v>6月</c:v>
                </c:pt>
                <c:pt idx="16">
                  <c:v>7月</c:v>
                </c:pt>
                <c:pt idx="17">
                  <c:v>8月</c:v>
                </c:pt>
              </c:strCache>
            </c:strRef>
          </c:cat>
          <c:val>
            <c:numRef>
              <c:f>Sheet1!$B$104:$B$121</c:f>
              <c:numCache>
                <c:formatCode>0.0%</c:formatCode>
                <c:ptCount val="18"/>
                <c:pt idx="0">
                  <c:v>0.0727999925052258</c:v>
                </c:pt>
                <c:pt idx="1">
                  <c:v>0.0129531365381443</c:v>
                </c:pt>
                <c:pt idx="2">
                  <c:v>0.0347088058080594</c:v>
                </c:pt>
                <c:pt idx="3">
                  <c:v>0.0398160690415421</c:v>
                </c:pt>
                <c:pt idx="4">
                  <c:v>0.0274429057717256</c:v>
                </c:pt>
                <c:pt idx="5">
                  <c:v>0.0136606694190187</c:v>
                </c:pt>
                <c:pt idx="6">
                  <c:v>0.0171794899176743</c:v>
                </c:pt>
                <c:pt idx="7">
                  <c:v>0.0231515599383678</c:v>
                </c:pt>
                <c:pt idx="8">
                  <c:v>0.0392467876838707</c:v>
                </c:pt>
                <c:pt idx="9">
                  <c:v>0.0421506220739118</c:v>
                </c:pt>
                <c:pt idx="10">
                  <c:v>0.0873218588691103</c:v>
                </c:pt>
                <c:pt idx="11">
                  <c:v>0.047882188228711</c:v>
                </c:pt>
                <c:pt idx="12">
                  <c:v>0.0501275185121688</c:v>
                </c:pt>
                <c:pt idx="13">
                  <c:v>0.0433001403141393</c:v>
                </c:pt>
                <c:pt idx="14">
                  <c:v>0.0184919502338556</c:v>
                </c:pt>
                <c:pt idx="15">
                  <c:v>0.0285794747423567</c:v>
                </c:pt>
                <c:pt idx="16">
                  <c:v>0.034045201085636</c:v>
                </c:pt>
                <c:pt idx="17">
                  <c:v>0.0357843909105566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2258400"/>
        <c:axId val="412258960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spPr>
                  <a:ln w="12700" cap="rnd">
                    <a:solidFill>
                      <a:schemeClr val="tx1"/>
                    </a:solidFill>
                    <a:prstDash val="sysDash"/>
                    <a:round/>
                  </a:ln>
                  <a:effectLst/>
                </c:spPr>
                <c:marker>
                  <c:symbol val="none"/>
                </c:marker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Sheet1!$A$104:$A$121</c15:sqref>
                        </c15:formulaRef>
                      </c:ext>
                    </c:extLst>
                    <c:strCache>
                      <c:ptCount val="18"/>
                      <c:pt idx="0">
                        <c:v>2024年1-2月</c:v>
                      </c:pt>
                      <c:pt idx="1">
                        <c:v>3月</c:v>
                      </c:pt>
                      <c:pt idx="2">
                        <c:v>4月</c:v>
                      </c:pt>
                      <c:pt idx="3">
                        <c:v>5月</c:v>
                      </c:pt>
                      <c:pt idx="4">
                        <c:v>6月</c:v>
                      </c:pt>
                      <c:pt idx="5">
                        <c:v>7月</c:v>
                      </c:pt>
                      <c:pt idx="6">
                        <c:v>8月</c:v>
                      </c:pt>
                      <c:pt idx="7">
                        <c:v>9月</c:v>
                      </c:pt>
                      <c:pt idx="8">
                        <c:v>10月</c:v>
                      </c:pt>
                      <c:pt idx="9">
                        <c:v>11月</c:v>
                      </c:pt>
                      <c:pt idx="10">
                        <c:v>12月</c:v>
                      </c:pt>
                      <c:pt idx="11">
                        <c:v>2025年1-2月</c:v>
                      </c:pt>
                      <c:pt idx="12">
                        <c:v>3月</c:v>
                      </c:pt>
                      <c:pt idx="13">
                        <c:v>4月</c:v>
                      </c:pt>
                      <c:pt idx="14">
                        <c:v>5月</c:v>
                      </c:pt>
                      <c:pt idx="15">
                        <c:v>6月</c:v>
                      </c:pt>
                      <c:pt idx="16">
                        <c:v>7月</c:v>
                      </c:pt>
                      <c:pt idx="17">
                        <c:v>8月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Sheet1!$C$104:$C$115</c15:sqref>
                        </c15:formulaRef>
                      </c:ext>
                    </c:extLst>
                    <c:numCache>
                      <c:formatCode>0.0</c:formatCode>
                      <c:ptCount val="12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41225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5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微软雅黑" panose="020B0503020204020204" pitchFamily="34" charset="-122"/>
                <a:cs typeface="Arial" panose="020B0604020202020204" pitchFamily="34" charset="0"/>
              </a:defRPr>
            </a:pPr>
          </a:p>
        </c:txPr>
        <c:crossAx val="412258960"/>
        <c:crossesAt val="-1"/>
        <c:auto val="1"/>
        <c:lblAlgn val="ctr"/>
        <c:lblOffset val="100"/>
        <c:tickLblSkip val="1"/>
        <c:noMultiLvlLbl val="0"/>
      </c:catAx>
      <c:valAx>
        <c:axId val="412258960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</a:p>
        </c:txPr>
        <c:crossAx val="412258400"/>
        <c:crosses val="autoZero"/>
        <c:crossBetween val="between"/>
        <c:majorUnit val="0.02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d3296746-8d05-4e00-8aea-b6acbb44be25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511965416088"/>
          <c:y val="0.0662377479951265"/>
          <c:w val="0.855002528353681"/>
          <c:h val="0.657766907312106"/>
        </c:manualLayout>
      </c:layout>
      <c:lineChart>
        <c:grouping val="standard"/>
        <c:varyColors val="0"/>
        <c:ser>
          <c:idx val="0"/>
          <c:order val="0"/>
          <c:spPr>
            <a:ln w="12700" cap="rnd">
              <a:solidFill>
                <a:srgbClr val="0000FF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0000FF"/>
              </a:solidFill>
              <a:ln w="9525">
                <a:noFill/>
              </a:ln>
              <a:effectLst/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0.00107972190499088"/>
                  <c:y val="-0.09836886681500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1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Sheet1!$A$154:$A$171</c:f>
              <c:strCache>
                <c:ptCount val="18"/>
                <c:pt idx="0">
                  <c:v>2024年1-2月</c:v>
                </c:pt>
                <c:pt idx="1">
                  <c:v>3月</c:v>
                </c:pt>
                <c:pt idx="2">
                  <c:v>4月</c:v>
                </c:pt>
                <c:pt idx="3">
                  <c:v>5月</c:v>
                </c:pt>
                <c:pt idx="4">
                  <c:v>6月</c:v>
                </c:pt>
                <c:pt idx="5">
                  <c:v>7月</c:v>
                </c:pt>
                <c:pt idx="6">
                  <c:v>8月</c:v>
                </c:pt>
                <c:pt idx="7">
                  <c:v>9月</c:v>
                </c:pt>
                <c:pt idx="8">
                  <c:v>10月</c:v>
                </c:pt>
                <c:pt idx="9">
                  <c:v>11月</c:v>
                </c:pt>
                <c:pt idx="10">
                  <c:v>12月</c:v>
                </c:pt>
                <c:pt idx="11">
                  <c:v>2025年1-2月</c:v>
                </c:pt>
                <c:pt idx="12">
                  <c:v>3月</c:v>
                </c:pt>
                <c:pt idx="13">
                  <c:v>4月</c:v>
                </c:pt>
                <c:pt idx="14">
                  <c:v>5月</c:v>
                </c:pt>
                <c:pt idx="15">
                  <c:v>6月</c:v>
                </c:pt>
                <c:pt idx="16">
                  <c:v>7月</c:v>
                </c:pt>
                <c:pt idx="17">
                  <c:v>8月</c:v>
                </c:pt>
              </c:strCache>
            </c:strRef>
          </c:cat>
          <c:val>
            <c:numRef>
              <c:f>Sheet1!$B$154:$B$171</c:f>
              <c:numCache>
                <c:formatCode>0.0%</c:formatCode>
                <c:ptCount val="18"/>
                <c:pt idx="0">
                  <c:v>0.081</c:v>
                </c:pt>
                <c:pt idx="1">
                  <c:v>0.0272037712974678</c:v>
                </c:pt>
                <c:pt idx="2">
                  <c:v>0.0268838743128239</c:v>
                </c:pt>
                <c:pt idx="3">
                  <c:v>0.0379057599886295</c:v>
                </c:pt>
                <c:pt idx="4">
                  <c:v>0.0308896713792718</c:v>
                </c:pt>
                <c:pt idx="5">
                  <c:v>0.00654703329555019</c:v>
                </c:pt>
                <c:pt idx="6">
                  <c:v>0.0199732510300481</c:v>
                </c:pt>
                <c:pt idx="7">
                  <c:v>0.0128641639583162</c:v>
                </c:pt>
                <c:pt idx="8">
                  <c:v>0.0296259195623247</c:v>
                </c:pt>
                <c:pt idx="9">
                  <c:v>0.036933631079421</c:v>
                </c:pt>
                <c:pt idx="10">
                  <c:v>0.0625151657880079</c:v>
                </c:pt>
                <c:pt idx="11">
                  <c:v>0.0226519635013487</c:v>
                </c:pt>
                <c:pt idx="12">
                  <c:v>0.0490924320299062</c:v>
                </c:pt>
                <c:pt idx="13">
                  <c:v>0.0484944832179363</c:v>
                </c:pt>
                <c:pt idx="14">
                  <c:v>0.0439200153243833</c:v>
                </c:pt>
                <c:pt idx="15">
                  <c:v>0.0477411397709078</c:v>
                </c:pt>
                <c:pt idx="16">
                  <c:v>0.0692759628996716</c:v>
                </c:pt>
                <c:pt idx="17">
                  <c:v>0.046838965089475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2262320"/>
        <c:axId val="412262880"/>
      </c:lineChart>
      <c:catAx>
        <c:axId val="41226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500000" spcFirstLastPara="1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Arial" panose="020B0604020202020204" pitchFamily="34" charset="0"/>
                <a:ea typeface="微软雅黑" panose="020B0503020204020204" pitchFamily="34" charset="-122"/>
                <a:cs typeface="Arial" panose="020B0604020202020204" pitchFamily="34" charset="0"/>
              </a:defRPr>
            </a:pPr>
          </a:p>
        </c:txPr>
        <c:crossAx val="412262880"/>
        <c:crossesAt val="-1"/>
        <c:auto val="1"/>
        <c:lblAlgn val="ctr"/>
        <c:lblOffset val="100"/>
        <c:tickLblSkip val="1"/>
        <c:noMultiLvlLbl val="0"/>
      </c:catAx>
      <c:valAx>
        <c:axId val="412262880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</a:p>
        </c:txPr>
        <c:crossAx val="412262320"/>
        <c:crosses val="autoZero"/>
        <c:crossBetween val="between"/>
        <c:majorUnit val="0.02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7409750b-5234-460f-b2c9-c91bcbb7ff8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2700000"/>
    <a:lstStyle/>
    <a:p>
      <a:pPr>
        <a:defRPr lang="zh-CN" sz="1000" u="none" strike="noStrike" kern="1200" cap="none" spc="0" normalizeH="0">
          <a:solidFill>
            <a:schemeClr val="tx1"/>
          </a:solidFill>
          <a:uFill>
            <a:solidFill>
              <a:schemeClr val="tx1"/>
            </a:solidFill>
          </a:uFill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872332655942"/>
          <c:y val="0.0625001302686731"/>
          <c:w val="0.855438037393815"/>
          <c:h val="0.670745570866142"/>
        </c:manualLayout>
      </c:layout>
      <c:lineChart>
        <c:grouping val="standard"/>
        <c:varyColors val="0"/>
        <c:ser>
          <c:idx val="0"/>
          <c:order val="0"/>
          <c:spPr>
            <a:ln w="12700" cap="rnd">
              <a:solidFill>
                <a:srgbClr val="0000FF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0000FF"/>
              </a:solidFill>
              <a:ln w="9525">
                <a:noFill/>
              </a:ln>
              <a:effectLst/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0"/>
                  <c:y val="-0.08636363636363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1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Sheet1!$A$31:$A$48</c:f>
              <c:strCache>
                <c:ptCount val="18"/>
                <c:pt idx="0">
                  <c:v>2024年1-2月</c:v>
                </c:pt>
                <c:pt idx="1">
                  <c:v>3月</c:v>
                </c:pt>
                <c:pt idx="2">
                  <c:v>4月</c:v>
                </c:pt>
                <c:pt idx="3">
                  <c:v>5月</c:v>
                </c:pt>
                <c:pt idx="4">
                  <c:v>6月</c:v>
                </c:pt>
                <c:pt idx="5">
                  <c:v>7月</c:v>
                </c:pt>
                <c:pt idx="6">
                  <c:v>8月</c:v>
                </c:pt>
                <c:pt idx="7">
                  <c:v>9月</c:v>
                </c:pt>
                <c:pt idx="8">
                  <c:v>10月</c:v>
                </c:pt>
                <c:pt idx="9">
                  <c:v>11月</c:v>
                </c:pt>
                <c:pt idx="10">
                  <c:v>12月</c:v>
                </c:pt>
                <c:pt idx="11">
                  <c:v>2025年1-2月</c:v>
                </c:pt>
                <c:pt idx="12">
                  <c:v>3月</c:v>
                </c:pt>
                <c:pt idx="13">
                  <c:v>4月</c:v>
                </c:pt>
                <c:pt idx="14">
                  <c:v>5月</c:v>
                </c:pt>
                <c:pt idx="15">
                  <c:v>6月</c:v>
                </c:pt>
                <c:pt idx="16">
                  <c:v>7月</c:v>
                </c:pt>
                <c:pt idx="17">
                  <c:v>8月</c:v>
                </c:pt>
              </c:strCache>
            </c:strRef>
          </c:cat>
          <c:val>
            <c:numRef>
              <c:f>Sheet1!$B$31:$B$48</c:f>
              <c:numCache>
                <c:formatCode>0.0%</c:formatCode>
                <c:ptCount val="18"/>
                <c:pt idx="0">
                  <c:v>0.118591450017533</c:v>
                </c:pt>
                <c:pt idx="1">
                  <c:v>0.0669962081079589</c:v>
                </c:pt>
                <c:pt idx="2">
                  <c:v>0.0306011610129977</c:v>
                </c:pt>
                <c:pt idx="3">
                  <c:v>0.0751528393741665</c:v>
                </c:pt>
                <c:pt idx="4">
                  <c:v>0.0294132843573387</c:v>
                </c:pt>
                <c:pt idx="5">
                  <c:v>0.0200177707854103</c:v>
                </c:pt>
                <c:pt idx="6">
                  <c:v>0.0345092235457423</c:v>
                </c:pt>
                <c:pt idx="7">
                  <c:v>-0.00837399751916679</c:v>
                </c:pt>
                <c:pt idx="8">
                  <c:v>0.0689547654014993</c:v>
                </c:pt>
                <c:pt idx="9">
                  <c:v>0.0423685506786484</c:v>
                </c:pt>
                <c:pt idx="10">
                  <c:v>0.0498319666890159</c:v>
                </c:pt>
                <c:pt idx="11">
                  <c:v>0.049136811082108</c:v>
                </c:pt>
                <c:pt idx="12">
                  <c:v>0.0179811198989706</c:v>
                </c:pt>
                <c:pt idx="13">
                  <c:v>0.0341146409692574</c:v>
                </c:pt>
                <c:pt idx="14">
                  <c:v>0.0796571874381569</c:v>
                </c:pt>
                <c:pt idx="15">
                  <c:v>0.0149822987416934</c:v>
                </c:pt>
                <c:pt idx="16">
                  <c:v>0.0223050248479706</c:v>
                </c:pt>
                <c:pt idx="17">
                  <c:v>0.0190088036627358</c:v>
                </c:pt>
              </c:numCache>
            </c:numRef>
          </c:val>
          <c:smooth val="0"/>
        </c:ser>
        <c:ser>
          <c:idx val="1"/>
          <c:order val="1"/>
          <c:spPr>
            <a:ln w="12700" cap="rnd">
              <a:solidFill>
                <a:schemeClr val="bg1">
                  <a:lumMod val="7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Sheet1!$A$31:$A$48</c:f>
              <c:strCache>
                <c:ptCount val="18"/>
                <c:pt idx="0">
                  <c:v>2024年1-2月</c:v>
                </c:pt>
                <c:pt idx="1">
                  <c:v>3月</c:v>
                </c:pt>
                <c:pt idx="2">
                  <c:v>4月</c:v>
                </c:pt>
                <c:pt idx="3">
                  <c:v>5月</c:v>
                </c:pt>
                <c:pt idx="4">
                  <c:v>6月</c:v>
                </c:pt>
                <c:pt idx="5">
                  <c:v>7月</c:v>
                </c:pt>
                <c:pt idx="6">
                  <c:v>8月</c:v>
                </c:pt>
                <c:pt idx="7">
                  <c:v>9月</c:v>
                </c:pt>
                <c:pt idx="8">
                  <c:v>10月</c:v>
                </c:pt>
                <c:pt idx="9">
                  <c:v>11月</c:v>
                </c:pt>
                <c:pt idx="10">
                  <c:v>12月</c:v>
                </c:pt>
                <c:pt idx="11">
                  <c:v>2025年1-2月</c:v>
                </c:pt>
                <c:pt idx="12">
                  <c:v>3月</c:v>
                </c:pt>
                <c:pt idx="13">
                  <c:v>4月</c:v>
                </c:pt>
                <c:pt idx="14">
                  <c:v>5月</c:v>
                </c:pt>
                <c:pt idx="15">
                  <c:v>6月</c:v>
                </c:pt>
                <c:pt idx="16">
                  <c:v>7月</c:v>
                </c:pt>
                <c:pt idx="17">
                  <c:v>8月</c:v>
                </c:pt>
              </c:strCache>
            </c:strRef>
          </c:cat>
          <c:val>
            <c:numRef>
              <c:f>Sheet1!$C$31:$C$48</c:f>
              <c:numCache>
                <c:formatCode>0%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880544"/>
        <c:axId val="409881104"/>
      </c:lineChart>
      <c:catAx>
        <c:axId val="40988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5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微软雅黑" panose="020B0503020204020204" pitchFamily="34" charset="-122"/>
                <a:cs typeface="Arial" panose="020B0604020202020204" pitchFamily="34" charset="0"/>
              </a:defRPr>
            </a:pPr>
          </a:p>
        </c:txPr>
        <c:crossAx val="409881104"/>
        <c:crossesAt val="-1"/>
        <c:auto val="1"/>
        <c:lblAlgn val="ctr"/>
        <c:lblOffset val="100"/>
        <c:tickLblSkip val="1"/>
        <c:noMultiLvlLbl val="0"/>
      </c:catAx>
      <c:valAx>
        <c:axId val="409881104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</a:p>
        </c:txPr>
        <c:crossAx val="409880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02e36c7-e349-47ba-a5f9-1ee8add8f45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1019</Characters>
  <Lines>7</Lines>
  <Paragraphs>2</Paragraphs>
  <TotalTime>220</TotalTime>
  <ScaleCrop>false</ScaleCrop>
  <LinksUpToDate>false</LinksUpToDate>
  <CharactersWithSpaces>1025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2024-12-20T02:52:00Z</dcterms:created>
  <dc:creator>USER</dc:creator>
  <cp:lastModifiedBy>李鹏起</cp:lastModifiedBy>
  <cp:lastPrinted>2024-08-27T09:20:00Z</cp:lastPrinted>
  <dcterms:modified xsi:type="dcterms:W3CDTF">2025-09-25T07:40:51Z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C6DBB55A26FE4B62B401BFBF470C999C_13</vt:lpwstr>
  </property>
  <property fmtid="{D5CDD505-2E9C-101B-9397-08002B2CF9AE}" pid="4" name="KSOTemplateDocerSaveRecord">
    <vt:lpwstr>eyJoZGlkIjoiZTM3ODdmZWRhOThjYjQ2YWQ0YWE3MjllNWY4ZGY0MjIiLCJ1c2VySWQiOiIyODcyMjA2MDIifQ==</vt:lpwstr>
  </property>
</Properties>
</file>