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eastAsia="仿宋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仿宋"/>
          <w:b w:val="0"/>
          <w:bCs/>
          <w:sz w:val="32"/>
          <w:szCs w:val="28"/>
          <w:highlight w:val="none"/>
        </w:rPr>
        <w:t xml:space="preserve"> </w:t>
      </w:r>
      <w:r>
        <w:rPr>
          <w:rFonts w:eastAsia="仿宋" w:cs="仿宋"/>
          <w:sz w:val="28"/>
          <w:szCs w:val="28"/>
          <w:highlight w:val="none"/>
        </w:rPr>
        <w:t xml:space="preserve">                              </w:t>
      </w:r>
    </w:p>
    <w:p>
      <w:pPr>
        <w:spacing w:line="360" w:lineRule="auto"/>
        <w:jc w:val="center"/>
        <w:outlineLvl w:val="1"/>
        <w:rPr>
          <w:rFonts w:hint="eastAsia" w:ascii="方正小标宋_GBK" w:hAnsi="方正小标宋_GBK" w:eastAsia="方正小标宋_GBK" w:cs="仿宋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/>
          <w:sz w:val="44"/>
          <w:szCs w:val="44"/>
          <w:highlight w:val="none"/>
        </w:rPr>
        <w:t>交通运输信用修复通知书</w:t>
      </w:r>
    </w:p>
    <w:tbl>
      <w:tblPr>
        <w:tblStyle w:val="3"/>
        <w:tblpPr w:leftFromText="662" w:rightFromText="28708" w:topFromText="161" w:vertAnchor="text" w:horzAnchor="margin" w:tblpXSpec="center" w:tblpY="260"/>
        <w:tblW w:w="9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2074"/>
        <w:gridCol w:w="1914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92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信用修复申请人信息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单位名称（个人姓名）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 xml:space="preserve">                    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申请日期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2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/>
                <w:sz w:val="28"/>
                <w:szCs w:val="28"/>
                <w:highlight w:val="none"/>
              </w:rPr>
              <w:t>认定部门（单位）修复决定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exact"/>
        </w:trPr>
        <w:tc>
          <w:tcPr>
            <w:tcW w:w="2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/>
                <w:sz w:val="28"/>
                <w:szCs w:val="28"/>
                <w:highlight w:val="none"/>
              </w:rPr>
              <w:t>修复认定情况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  <w:t>填写说明（供参考）：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基本情况：</w:t>
            </w:r>
          </w:p>
          <w:p>
            <w:pPr>
              <w:spacing w:line="400" w:lineRule="exact"/>
              <w:ind w:firstLine="560" w:firstLineChars="200"/>
              <w:rPr>
                <w:rFonts w:hint="eastAsia" w:eastAsia="仿宋_GB2312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eastAsia="仿宋" w:cs="仿宋"/>
                <w:sz w:val="28"/>
                <w:szCs w:val="28"/>
                <w:highlight w:val="none"/>
              </w:rPr>
              <w:t>(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单</w:t>
            </w:r>
            <w:bookmarkStart w:id="0" w:name="_GoBack"/>
            <w:bookmarkEnd w:id="0"/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位</w:t>
            </w:r>
            <w:r>
              <w:rPr>
                <w:rFonts w:eastAsia="仿宋" w:cs="仿宋"/>
                <w:sz w:val="28"/>
                <w:szCs w:val="28"/>
                <w:highlight w:val="none"/>
              </w:rPr>
              <w:t>/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个人）</w:t>
            </w:r>
            <w:r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  <w:t>于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30"/>
                <w:highlight w:val="none"/>
              </w:rPr>
              <w:t>年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30"/>
                <w:highlight w:val="none"/>
              </w:rPr>
              <w:t>月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30"/>
                <w:highlight w:val="none"/>
              </w:rPr>
              <w:t>日，违反了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hint="eastAsia" w:eastAsia="仿宋_GB2312"/>
                <w:sz w:val="28"/>
                <w:szCs w:val="30"/>
                <w:highlight w:val="none"/>
              </w:rPr>
              <w:t>被列入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hint="eastAsia" w:eastAsia="仿宋_GB2312"/>
                <w:sz w:val="28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eastAsia="仿宋_GB2312"/>
                <w:sz w:val="28"/>
                <w:szCs w:val="30"/>
                <w:highlight w:val="none"/>
              </w:rPr>
              <w:t>黑名单</w:t>
            </w:r>
            <w:r>
              <w:rPr>
                <w:rFonts w:hint="eastAsia" w:eastAsia="仿宋_GB2312"/>
                <w:sz w:val="28"/>
                <w:szCs w:val="30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修复情况：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经</w:t>
            </w:r>
            <w:r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  <w:t>核查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，</w:t>
            </w:r>
            <w:r>
              <w:rPr>
                <w:rFonts w:eastAsia="仿宋_GB2312"/>
                <w:sz w:val="28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eastAsia="仿宋" w:cs="仿宋"/>
                <w:sz w:val="28"/>
                <w:szCs w:val="28"/>
                <w:highlight w:val="none"/>
              </w:rPr>
              <w:t>(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单位</w:t>
            </w:r>
            <w:r>
              <w:rPr>
                <w:rFonts w:eastAsia="仿宋" w:cs="仿宋"/>
                <w:sz w:val="28"/>
                <w:szCs w:val="28"/>
                <w:highlight w:val="none"/>
              </w:rPr>
              <w:t>/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个人）已履行法定责任和义务。</w:t>
            </w:r>
            <w:r>
              <w:rPr>
                <w:rFonts w:hint="eastAsia" w:eastAsia="仿宋" w:cs="仿宋"/>
                <w:sz w:val="28"/>
                <w:szCs w:val="28"/>
                <w:highlight w:val="none"/>
                <w:lang w:eastAsia="zh-CN"/>
              </w:rPr>
              <w:t>进行了以下信用修复措施：</w:t>
            </w:r>
          </w:p>
          <w:p>
            <w:pPr>
              <w:spacing w:line="400" w:lineRule="exact"/>
              <w:ind w:firstLine="560" w:firstLineChars="200"/>
              <w:rPr>
                <w:rFonts w:hint="eastAsia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  <w:lang w:val="en-US" w:eastAsia="zh-CN"/>
              </w:rPr>
              <w:t>1.</w:t>
            </w:r>
          </w:p>
          <w:p>
            <w:pPr>
              <w:spacing w:line="400" w:lineRule="exact"/>
              <w:ind w:firstLine="560" w:firstLineChars="200"/>
              <w:rPr>
                <w:rFonts w:hint="eastAsia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  <w:lang w:val="en-US" w:eastAsia="zh-CN"/>
              </w:rPr>
              <w:t>2.</w:t>
            </w:r>
          </w:p>
          <w:p>
            <w:pPr>
              <w:spacing w:line="400" w:lineRule="exact"/>
              <w:ind w:firstLine="560" w:firstLineChars="200"/>
              <w:rPr>
                <w:rFonts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2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/>
                <w:sz w:val="28"/>
                <w:szCs w:val="28"/>
                <w:highlight w:val="none"/>
              </w:rPr>
              <w:t>修复决定</w:t>
            </w:r>
          </w:p>
        </w:tc>
        <w:tc>
          <w:tcPr>
            <w:tcW w:w="622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" w:cs="仿宋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□同意信用修复，</w:t>
            </w:r>
            <w:r>
              <w:rPr>
                <w:rFonts w:hint="eastAsia" w:eastAsia="仿宋" w:cs="仿宋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仿宋" w:cs="仿宋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eastAsia="仿宋" w:cs="仿宋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。（认定部门（单位）依据各领域红黑名单制度填写决定。）</w:t>
            </w:r>
          </w:p>
          <w:p>
            <w:pPr>
              <w:spacing w:line="400" w:lineRule="exact"/>
              <w:rPr>
                <w:rFonts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□不同意信用修复。</w:t>
            </w:r>
          </w:p>
          <w:p>
            <w:pPr>
              <w:spacing w:line="360" w:lineRule="auto"/>
              <w:rPr>
                <w:rFonts w:eastAsia="仿宋" w:cs="仿宋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日期</w:t>
            </w:r>
            <w:r>
              <w:rPr>
                <w:rFonts w:eastAsia="仿宋" w:cs="仿宋"/>
                <w:sz w:val="28"/>
                <w:szCs w:val="28"/>
                <w:highlight w:val="none"/>
              </w:rPr>
              <w:t xml:space="preserve">:          </w:t>
            </w:r>
            <w:r>
              <w:rPr>
                <w:rFonts w:hint="eastAsia" w:eastAsia="仿宋" w:cs="仿宋"/>
                <w:sz w:val="28"/>
                <w:szCs w:val="28"/>
                <w:highlight w:val="none"/>
              </w:rPr>
              <w:t>单位盖章</w:t>
            </w:r>
            <w:r>
              <w:rPr>
                <w:rFonts w:eastAsia="仿宋" w:cs="仿宋"/>
                <w:sz w:val="28"/>
                <w:szCs w:val="28"/>
                <w:highlight w:val="none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225" w:type="dxa"/>
            <w:gridSpan w:val="3"/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eastAsia="仿宋" w:cs="仿宋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  <w:lang w:eastAsia="zh-CN"/>
        </w:rPr>
      </w:pPr>
      <w:r>
        <w:rPr>
          <w:rFonts w:hint="eastAsia" w:eastAsia="仿宋" w:cs="仿宋"/>
          <w:bCs w:val="0"/>
          <w:sz w:val="24"/>
          <w:szCs w:val="24"/>
          <w:highlight w:val="none"/>
          <w:lang w:eastAsia="zh-CN"/>
        </w:rPr>
        <w:t>说明：</w:t>
      </w:r>
      <w:r>
        <w:rPr>
          <w:rFonts w:hint="eastAsia" w:eastAsia="仿宋" w:cs="仿宋"/>
          <w:bCs w:val="0"/>
          <w:sz w:val="24"/>
          <w:szCs w:val="24"/>
          <w:highlight w:val="none"/>
        </w:rPr>
        <w:t>申请书一式</w:t>
      </w:r>
      <w:r>
        <w:rPr>
          <w:rFonts w:hint="eastAsia" w:eastAsia="仿宋" w:cs="仿宋"/>
          <w:bCs w:val="0"/>
          <w:sz w:val="24"/>
          <w:szCs w:val="24"/>
          <w:highlight w:val="none"/>
          <w:lang w:eastAsia="zh-CN"/>
        </w:rPr>
        <w:t>两</w:t>
      </w:r>
      <w:r>
        <w:rPr>
          <w:rFonts w:hint="eastAsia" w:eastAsia="仿宋" w:cs="仿宋"/>
          <w:bCs w:val="0"/>
          <w:sz w:val="24"/>
          <w:szCs w:val="24"/>
          <w:highlight w:val="none"/>
        </w:rPr>
        <w:t>份，申请单位（个人）、认定部门（单位）各留一份存档</w:t>
      </w:r>
      <w:r>
        <w:rPr>
          <w:rFonts w:hint="eastAsia" w:eastAsia="仿宋" w:cs="仿宋"/>
          <w:sz w:val="24"/>
          <w:highlight w:val="none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B595E"/>
    <w:rsid w:val="143B595E"/>
    <w:rsid w:val="364F68C7"/>
    <w:rsid w:val="609D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2018-12-27T07:49:00Z</dcterms:created>
  <dc:creator>逸帆</dc:creator>
  <cp:lastModifiedBy>逸帆</cp:lastModifiedBy>
  <dcterms:modified xsi:type="dcterms:W3CDTF">2018-12-27T07:58:15Z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