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74965B39" w:rsidR="00F6451E" w:rsidRPr="00772FB8" w:rsidRDefault="00772FB8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772FB8">
        <w:rPr>
          <w:rFonts w:ascii="宋体" w:eastAsia="宋体" w:hAnsi="宋体" w:cstheme="minorEastAsia" w:hint="eastAsia"/>
          <w:sz w:val="44"/>
          <w:szCs w:val="44"/>
        </w:rPr>
        <w:t>关于海峡两岸海上直航政策措施的公告</w:t>
      </w:r>
    </w:p>
    <w:p w14:paraId="75E452B5" w14:textId="0159DA1C" w:rsidR="00F6451E" w:rsidRDefault="00CC2AB2" w:rsidP="00CC2AB2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CC2AB2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交通运输部公告2011年第37号</w:t>
      </w:r>
    </w:p>
    <w:p w14:paraId="5DEFB7CB" w14:textId="77777777" w:rsidR="00F6451E" w:rsidRDefault="00F6451E" w:rsidP="00CC2AB2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312C877E" w14:textId="77777777" w:rsidR="00CC2AB2" w:rsidRPr="00CC2AB2" w:rsidRDefault="00CC2AB2" w:rsidP="00CC2AB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为进一步落实《海峡两岸海运协议》，促进两岸海上直航健康稳定发展，充分发挥直航效益，现就有关政策措施公告如下：</w:t>
      </w:r>
    </w:p>
    <w:p w14:paraId="1456AF50" w14:textId="77777777" w:rsidR="00CC2AB2" w:rsidRPr="00CC2AB2" w:rsidRDefault="00CC2AB2" w:rsidP="00CC2AB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一、关于增加直航港口</w:t>
      </w:r>
    </w:p>
    <w:p w14:paraId="5C904EED" w14:textId="77777777" w:rsidR="00CC2AB2" w:rsidRPr="00CC2AB2" w:rsidRDefault="00CC2AB2" w:rsidP="00CC2AB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大陆方面增加潍坊港、安庆港为两岸海运直航港口。至此，大陆方面共有70个直航港口（港区）。</w:t>
      </w:r>
    </w:p>
    <w:p w14:paraId="2730C326" w14:textId="77777777" w:rsidR="00CC2AB2" w:rsidRPr="00CC2AB2" w:rsidRDefault="00CC2AB2" w:rsidP="00CC2AB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二、关于两岸间不定期海上货物运输</w:t>
      </w:r>
    </w:p>
    <w:p w14:paraId="14BB559C" w14:textId="77777777" w:rsidR="00CC2AB2" w:rsidRPr="00CC2AB2" w:rsidRDefault="00CC2AB2" w:rsidP="00CC2AB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自2012年1月1日起，停止外国企业、经营组织和自然人经第三地从事两岸间不定期海上货物运输。</w:t>
      </w:r>
    </w:p>
    <w:p w14:paraId="71CFFC1D" w14:textId="77777777" w:rsidR="00CC2AB2" w:rsidRPr="00CC2AB2" w:rsidRDefault="00CC2AB2" w:rsidP="00CC2AB2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两岸登记船舶无法满足市场需求时，经特别许可，两岸具有相应直航运输资质的公司，可租用外国籍船舶经第三地从事两岸间单航次不定期货物运输。</w:t>
      </w:r>
    </w:p>
    <w:p w14:paraId="5307D873" w14:textId="77777777" w:rsidR="00CC2AB2" w:rsidRPr="00CC2AB2" w:rsidRDefault="00CC2AB2" w:rsidP="00CC2AB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6F078D9D" w14:textId="77777777" w:rsidR="00CC2AB2" w:rsidRPr="00CC2AB2" w:rsidRDefault="00CC2AB2" w:rsidP="00CC2AB2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中华人民共和国交通运输部（章）</w:t>
      </w:r>
    </w:p>
    <w:p w14:paraId="790B7EC9" w14:textId="0FD0B813" w:rsidR="00F6451E" w:rsidRDefault="00CC2AB2" w:rsidP="00CC2AB2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 w:rsidRPr="00CC2AB2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〇</w:t>
      </w:r>
      <w:r w:rsidRPr="00CC2AB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一一年七月五日</w:t>
      </w:r>
    </w:p>
    <w:sectPr w:rsidR="00F6451E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BF8F" w14:textId="77777777" w:rsidR="00F7780E" w:rsidRDefault="00F7780E">
      <w:r>
        <w:separator/>
      </w:r>
    </w:p>
  </w:endnote>
  <w:endnote w:type="continuationSeparator" w:id="0">
    <w:p w14:paraId="26C4AC92" w14:textId="77777777" w:rsidR="00F7780E" w:rsidRDefault="00F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814EE1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A519" w14:textId="77777777" w:rsidR="00F7780E" w:rsidRDefault="00F7780E">
      <w:r>
        <w:separator/>
      </w:r>
    </w:p>
  </w:footnote>
  <w:footnote w:type="continuationSeparator" w:id="0">
    <w:p w14:paraId="4AB6062F" w14:textId="77777777" w:rsidR="00F7780E" w:rsidRDefault="00F7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D29F88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3378B3"/>
    <w:rsid w:val="003E5B7A"/>
    <w:rsid w:val="00772FB8"/>
    <w:rsid w:val="00AF4B72"/>
    <w:rsid w:val="00CC2AB2"/>
    <w:rsid w:val="00F6451E"/>
    <w:rsid w:val="00F7780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931358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3</cp:revision>
  <cp:lastPrinted>2021-10-26T03:30:00Z</cp:lastPrinted>
  <dcterms:created xsi:type="dcterms:W3CDTF">2023-04-28T06:48:00Z</dcterms:created>
  <dcterms:modified xsi:type="dcterms:W3CDTF">2023-04-28T06:49:00Z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