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E649C" w14:textId="77777777" w:rsidR="00352BFE" w:rsidRDefault="00352BFE" w:rsidP="00352BFE">
      <w:pPr>
        <w:pStyle w:val="2"/>
        <w:keepNext w:val="0"/>
        <w:widowControl w:val="0"/>
        <w:spacing w:beforeLines="0" w:before="0" w:afterLines="0" w:after="0" w:line="580" w:lineRule="exact"/>
        <w:rPr>
          <w:rFonts w:ascii="Times New Roman" w:eastAsia="黑体" w:hAnsi="Times New Roman"/>
          <w:b w:val="0"/>
          <w:bCs w:val="0"/>
          <w:color w:val="000000"/>
        </w:rPr>
      </w:pPr>
      <w:r>
        <w:rPr>
          <w:rFonts w:ascii="Times New Roman" w:eastAsia="黑体" w:hAnsi="Times New Roman"/>
          <w:b w:val="0"/>
          <w:bCs w:val="0"/>
          <w:spacing w:val="0"/>
          <w:lang w:bidi="ar"/>
        </w:rPr>
        <w:t>附件</w:t>
      </w:r>
      <w:r>
        <w:rPr>
          <w:rFonts w:ascii="Times New Roman" w:eastAsia="黑体" w:hAnsi="Times New Roman"/>
          <w:b w:val="0"/>
          <w:bCs w:val="0"/>
          <w:spacing w:val="0"/>
          <w:lang w:bidi="ar"/>
        </w:rPr>
        <w:t>2</w:t>
      </w:r>
    </w:p>
    <w:p w14:paraId="78A69DF1" w14:textId="77777777" w:rsidR="00352BFE" w:rsidRDefault="00352BFE" w:rsidP="00352BFE">
      <w:pPr>
        <w:spacing w:line="58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14:paraId="2B062E9F" w14:textId="77777777" w:rsidR="00352BFE" w:rsidRDefault="00352BFE" w:rsidP="00352BFE">
      <w:pPr>
        <w:jc w:val="center"/>
        <w:rPr>
          <w:rFonts w:ascii="Times New Roman" w:eastAsia="方正小标宋简体" w:hAnsi="Times New Roman" w:cs="Times New Roman"/>
          <w:spacing w:val="0"/>
          <w:kern w:val="0"/>
          <w:sz w:val="44"/>
          <w:szCs w:val="44"/>
          <w:lang w:bidi="ar"/>
        </w:rPr>
      </w:pPr>
      <w:r>
        <w:rPr>
          <w:rFonts w:ascii="Times New Roman" w:eastAsia="方正小标宋简体" w:hAnsi="Times New Roman" w:cs="Times New Roman"/>
          <w:spacing w:val="0"/>
          <w:kern w:val="0"/>
          <w:sz w:val="44"/>
          <w:szCs w:val="44"/>
          <w:lang w:bidi="ar"/>
        </w:rPr>
        <w:t>×</w:t>
      </w:r>
      <w:r>
        <w:rPr>
          <w:rFonts w:ascii="Times New Roman" w:eastAsia="方正小标宋简体" w:hAnsi="Times New Roman" w:cs="Times New Roman"/>
          <w:spacing w:val="0"/>
          <w:kern w:val="0"/>
          <w:sz w:val="44"/>
          <w:szCs w:val="44"/>
          <w:lang w:bidi="ar"/>
        </w:rPr>
        <w:t>市</w:t>
      </w:r>
      <w:r>
        <w:rPr>
          <w:rFonts w:ascii="Times New Roman" w:eastAsia="方正小标宋简体" w:hAnsi="Times New Roman" w:cs="Times New Roman"/>
          <w:spacing w:val="0"/>
          <w:kern w:val="0"/>
          <w:sz w:val="44"/>
          <w:szCs w:val="44"/>
          <w:lang w:bidi="ar"/>
        </w:rPr>
        <w:t>×</w:t>
      </w:r>
      <w:r>
        <w:rPr>
          <w:rFonts w:ascii="Times New Roman" w:eastAsia="方正小标宋简体" w:hAnsi="Times New Roman" w:cs="Times New Roman"/>
          <w:spacing w:val="0"/>
          <w:kern w:val="0"/>
          <w:sz w:val="44"/>
          <w:szCs w:val="44"/>
          <w:lang w:bidi="ar"/>
        </w:rPr>
        <w:t>号线正式运营前安全评估报告</w:t>
      </w:r>
    </w:p>
    <w:p w14:paraId="27375E35" w14:textId="77777777" w:rsidR="00352BFE" w:rsidRDefault="00352BFE" w:rsidP="00352BFE">
      <w:pPr>
        <w:spacing w:line="580" w:lineRule="exact"/>
        <w:jc w:val="center"/>
        <w:rPr>
          <w:rFonts w:ascii="Times New Roman" w:eastAsia="仿宋_GB2312" w:hAnsi="Times New Roman" w:cs="Times New Roman"/>
          <w:spacing w:val="0"/>
          <w:kern w:val="0"/>
          <w:sz w:val="32"/>
          <w:szCs w:val="32"/>
          <w:lang w:bidi="ar"/>
        </w:rPr>
      </w:pPr>
      <w:r>
        <w:rPr>
          <w:rFonts w:ascii="Times New Roman" w:eastAsia="仿宋_GB2312" w:hAnsi="Times New Roman" w:cs="Times New Roman"/>
          <w:spacing w:val="0"/>
          <w:kern w:val="0"/>
          <w:sz w:val="32"/>
          <w:szCs w:val="32"/>
          <w:lang w:bidi="ar"/>
        </w:rPr>
        <w:t>（第三方安全评估机构名称）（盖章）</w:t>
      </w:r>
    </w:p>
    <w:p w14:paraId="1225E5EF" w14:textId="77777777" w:rsidR="00352BFE" w:rsidRDefault="00352BFE" w:rsidP="00352BFE">
      <w:pPr>
        <w:spacing w:line="580" w:lineRule="exact"/>
        <w:ind w:firstLineChars="200" w:firstLine="504"/>
        <w:rPr>
          <w:rFonts w:ascii="Times New Roman" w:eastAsia="黑体" w:hAnsi="Times New Roman" w:cs="Times New Roman"/>
          <w:color w:val="000000"/>
          <w:sz w:val="32"/>
          <w:szCs w:val="32"/>
        </w:rPr>
      </w:pPr>
    </w:p>
    <w:p w14:paraId="52F2AAA9" w14:textId="77777777" w:rsidR="00352BFE" w:rsidRDefault="00352BFE" w:rsidP="00352BFE">
      <w:pPr>
        <w:spacing w:beforeLines="50" w:before="156" w:line="580" w:lineRule="exact"/>
        <w:ind w:firstLineChars="200" w:firstLine="640"/>
        <w:rPr>
          <w:rFonts w:ascii="Times New Roman" w:eastAsia="黑体" w:hAnsi="Times New Roman" w:cs="Times New Roman"/>
          <w:spacing w:val="0"/>
          <w:kern w:val="0"/>
          <w:sz w:val="32"/>
          <w:szCs w:val="32"/>
          <w:lang w:bidi="ar"/>
        </w:rPr>
      </w:pPr>
      <w:r>
        <w:rPr>
          <w:rFonts w:ascii="Times New Roman" w:eastAsia="黑体" w:hAnsi="Times New Roman" w:cs="Times New Roman"/>
          <w:spacing w:val="0"/>
          <w:kern w:val="0"/>
          <w:sz w:val="32"/>
          <w:szCs w:val="32"/>
          <w:lang w:bidi="ar"/>
        </w:rPr>
        <w:t>一、评估工作基本情况</w:t>
      </w:r>
    </w:p>
    <w:p w14:paraId="4289EF02" w14:textId="77777777" w:rsidR="00352BFE" w:rsidRDefault="00352BFE" w:rsidP="00352BFE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pacing w:val="0"/>
          <w:kern w:val="0"/>
          <w:sz w:val="32"/>
          <w:szCs w:val="32"/>
          <w:lang w:bidi="ar"/>
        </w:rPr>
      </w:pPr>
      <w:r>
        <w:rPr>
          <w:rFonts w:ascii="Times New Roman" w:eastAsia="仿宋_GB2312" w:hAnsi="Times New Roman" w:cs="Times New Roman"/>
          <w:spacing w:val="0"/>
          <w:kern w:val="0"/>
          <w:sz w:val="32"/>
          <w:szCs w:val="32"/>
          <w:lang w:bidi="ar"/>
        </w:rPr>
        <w:t>评估人员组成、评估方式、评估内容等。</w:t>
      </w:r>
    </w:p>
    <w:p w14:paraId="40A302DB" w14:textId="77777777" w:rsidR="00352BFE" w:rsidRDefault="00352BFE" w:rsidP="00352BFE">
      <w:pPr>
        <w:spacing w:beforeLines="50" w:before="156" w:line="580" w:lineRule="exact"/>
        <w:ind w:firstLineChars="200" w:firstLine="640"/>
        <w:rPr>
          <w:rFonts w:ascii="Times New Roman" w:eastAsia="黑体" w:hAnsi="Times New Roman" w:cs="Times New Roman"/>
          <w:spacing w:val="0"/>
          <w:kern w:val="0"/>
          <w:sz w:val="32"/>
          <w:szCs w:val="32"/>
          <w:lang w:bidi="ar"/>
        </w:rPr>
      </w:pPr>
      <w:r>
        <w:rPr>
          <w:rFonts w:ascii="Times New Roman" w:eastAsia="黑体" w:hAnsi="Times New Roman" w:cs="Times New Roman"/>
          <w:spacing w:val="0"/>
          <w:kern w:val="0"/>
          <w:sz w:val="32"/>
          <w:szCs w:val="32"/>
          <w:lang w:bidi="ar"/>
        </w:rPr>
        <w:t>二、</w:t>
      </w:r>
      <w:r>
        <w:rPr>
          <w:rFonts w:ascii="Times New Roman" w:eastAsia="黑体" w:hAnsi="Times New Roman" w:cs="Times New Roman" w:hint="eastAsia"/>
          <w:spacing w:val="0"/>
          <w:kern w:val="0"/>
          <w:sz w:val="32"/>
          <w:szCs w:val="32"/>
          <w:lang w:bidi="ar"/>
        </w:rPr>
        <w:t>运营</w:t>
      </w:r>
      <w:r>
        <w:rPr>
          <w:rFonts w:ascii="Times New Roman" w:eastAsia="黑体" w:hAnsi="Times New Roman" w:cs="Times New Roman"/>
          <w:spacing w:val="0"/>
          <w:kern w:val="0"/>
          <w:sz w:val="32"/>
          <w:szCs w:val="32"/>
          <w:lang w:bidi="ar"/>
        </w:rPr>
        <w:t>线路概况</w:t>
      </w:r>
    </w:p>
    <w:p w14:paraId="48B17150" w14:textId="77777777" w:rsidR="00352BFE" w:rsidRDefault="00352BFE" w:rsidP="00352BFE">
      <w:pPr>
        <w:spacing w:line="580" w:lineRule="exact"/>
        <w:ind w:firstLineChars="200" w:firstLine="640"/>
        <w:rPr>
          <w:rFonts w:ascii="Times New Roman" w:eastAsia="仿宋_GB2312" w:hAnsi="Times New Roman"/>
          <w:spacing w:val="0"/>
          <w:kern w:val="0"/>
          <w:sz w:val="32"/>
          <w:szCs w:val="32"/>
          <w:lang w:bidi="ar"/>
        </w:rPr>
      </w:pPr>
      <w:r>
        <w:rPr>
          <w:rFonts w:ascii="Times New Roman" w:eastAsia="仿宋_GB2312" w:hAnsi="Times New Roman" w:cs="Times New Roman"/>
          <w:spacing w:val="0"/>
          <w:kern w:val="0"/>
          <w:sz w:val="32"/>
          <w:szCs w:val="32"/>
          <w:lang w:bidi="ar"/>
        </w:rPr>
        <w:t>线路走向、里程、敷设方式、车站及车辆基地、变电所、控制中心等基本情况，设施设备配置、选型等情况（</w:t>
      </w:r>
      <w:proofErr w:type="gramStart"/>
      <w:r>
        <w:rPr>
          <w:rFonts w:ascii="Times New Roman" w:eastAsia="仿宋_GB2312" w:hAnsi="Times New Roman" w:cs="Times New Roman"/>
          <w:spacing w:val="0"/>
          <w:kern w:val="0"/>
          <w:sz w:val="32"/>
          <w:szCs w:val="32"/>
          <w:lang w:bidi="ar"/>
        </w:rPr>
        <w:t>含主要</w:t>
      </w:r>
      <w:proofErr w:type="gramEnd"/>
      <w:r>
        <w:rPr>
          <w:rFonts w:ascii="Times New Roman" w:eastAsia="仿宋_GB2312" w:hAnsi="Times New Roman" w:cs="Times New Roman"/>
          <w:spacing w:val="0"/>
          <w:kern w:val="0"/>
          <w:sz w:val="32"/>
          <w:szCs w:val="32"/>
          <w:lang w:bidi="ar"/>
        </w:rPr>
        <w:t>技术参数），安全应急设施规划布局情况，与城市轨道交通线网及其他交通方式的配套衔接情况，出入口数量、站台面积、通道宽度、换乘条件、站</w:t>
      </w:r>
      <w:r>
        <w:rPr>
          <w:rFonts w:ascii="Times New Roman" w:eastAsia="仿宋_GB2312" w:hAnsi="Times New Roman"/>
          <w:spacing w:val="0"/>
          <w:kern w:val="0"/>
          <w:sz w:val="32"/>
          <w:szCs w:val="32"/>
          <w:lang w:bidi="ar"/>
        </w:rPr>
        <w:t>厅容纳能力等车站布局情况</w:t>
      </w:r>
      <w:r>
        <w:rPr>
          <w:rFonts w:ascii="Times New Roman" w:eastAsia="仿宋_GB2312" w:hAnsi="Times New Roman" w:hint="eastAsia"/>
          <w:spacing w:val="0"/>
          <w:kern w:val="0"/>
          <w:sz w:val="32"/>
          <w:szCs w:val="32"/>
          <w:lang w:bidi="ar"/>
        </w:rPr>
        <w:t>，甩项工程完工和履行设计变更等情况</w:t>
      </w:r>
      <w:r>
        <w:rPr>
          <w:rFonts w:ascii="Times New Roman" w:eastAsia="仿宋_GB2312" w:hAnsi="Times New Roman"/>
          <w:spacing w:val="0"/>
          <w:kern w:val="0"/>
          <w:sz w:val="32"/>
          <w:szCs w:val="32"/>
          <w:lang w:bidi="ar"/>
        </w:rPr>
        <w:t>。</w:t>
      </w:r>
    </w:p>
    <w:p w14:paraId="5A54D72A" w14:textId="77777777" w:rsidR="00352BFE" w:rsidRDefault="00352BFE" w:rsidP="00352BFE">
      <w:pPr>
        <w:spacing w:beforeLines="50" w:before="156" w:line="580" w:lineRule="exact"/>
        <w:ind w:firstLineChars="200" w:firstLine="640"/>
        <w:rPr>
          <w:rFonts w:ascii="Times New Roman" w:eastAsia="黑体" w:hAnsi="Times New Roman" w:cs="Times New Roman"/>
          <w:spacing w:val="0"/>
          <w:kern w:val="0"/>
          <w:sz w:val="32"/>
          <w:szCs w:val="32"/>
          <w:lang w:bidi="ar"/>
        </w:rPr>
      </w:pPr>
      <w:r>
        <w:rPr>
          <w:rFonts w:ascii="Times New Roman" w:eastAsia="黑体" w:hAnsi="Times New Roman" w:cs="Times New Roman"/>
          <w:spacing w:val="0"/>
          <w:kern w:val="0"/>
          <w:sz w:val="32"/>
          <w:szCs w:val="32"/>
          <w:lang w:bidi="ar"/>
        </w:rPr>
        <w:t>三、行车组织</w:t>
      </w:r>
    </w:p>
    <w:p w14:paraId="03CF3C94" w14:textId="77777777" w:rsidR="00352BFE" w:rsidRDefault="00352BFE" w:rsidP="00352BFE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pacing w:val="0"/>
          <w:kern w:val="0"/>
          <w:sz w:val="32"/>
          <w:szCs w:val="32"/>
          <w:lang w:bidi="ar"/>
        </w:rPr>
      </w:pPr>
      <w:r>
        <w:rPr>
          <w:rFonts w:ascii="Times New Roman" w:eastAsia="仿宋_GB2312" w:hAnsi="Times New Roman" w:cs="Times New Roman"/>
          <w:spacing w:val="0"/>
          <w:kern w:val="0"/>
          <w:sz w:val="32"/>
          <w:szCs w:val="32"/>
          <w:lang w:bidi="ar"/>
        </w:rPr>
        <w:t>包括运力运量不匹配风险、行车指挥接口风险、错误调度命令风险、正常行车作业风险、非正常行车作业风险、应急行车作业风险、车辆基地行车作业风险、调车作业风险、</w:t>
      </w:r>
      <w:proofErr w:type="gramStart"/>
      <w:r>
        <w:rPr>
          <w:rFonts w:ascii="Times New Roman" w:eastAsia="仿宋_GB2312" w:hAnsi="Times New Roman" w:cs="Times New Roman"/>
          <w:spacing w:val="0"/>
          <w:kern w:val="0"/>
          <w:sz w:val="32"/>
          <w:szCs w:val="32"/>
          <w:lang w:bidi="ar"/>
        </w:rPr>
        <w:t>试车线</w:t>
      </w:r>
      <w:proofErr w:type="gramEnd"/>
      <w:r>
        <w:rPr>
          <w:rFonts w:ascii="Times New Roman" w:eastAsia="仿宋_GB2312" w:hAnsi="Times New Roman" w:cs="Times New Roman"/>
          <w:spacing w:val="0"/>
          <w:kern w:val="0"/>
          <w:sz w:val="32"/>
          <w:szCs w:val="32"/>
          <w:lang w:bidi="ar"/>
        </w:rPr>
        <w:t>作业风险、施工行车作业风险、施工行车安全防护风险等管控措施落实情况。</w:t>
      </w:r>
    </w:p>
    <w:p w14:paraId="4053B6D5" w14:textId="77777777" w:rsidR="00352BFE" w:rsidRDefault="00352BFE" w:rsidP="00352BFE">
      <w:pPr>
        <w:spacing w:beforeLines="50" w:before="156" w:line="580" w:lineRule="exact"/>
        <w:ind w:firstLineChars="200" w:firstLine="640"/>
        <w:rPr>
          <w:rFonts w:ascii="Times New Roman" w:eastAsia="黑体" w:hAnsi="Times New Roman" w:cs="Times New Roman"/>
          <w:spacing w:val="0"/>
          <w:kern w:val="0"/>
          <w:sz w:val="32"/>
          <w:szCs w:val="32"/>
          <w:lang w:bidi="ar"/>
        </w:rPr>
      </w:pPr>
      <w:r>
        <w:rPr>
          <w:rFonts w:ascii="Times New Roman" w:eastAsia="黑体" w:hAnsi="Times New Roman" w:cs="Times New Roman"/>
          <w:spacing w:val="0"/>
          <w:kern w:val="0"/>
          <w:sz w:val="32"/>
          <w:szCs w:val="32"/>
          <w:lang w:bidi="ar"/>
        </w:rPr>
        <w:t>四、客运组织</w:t>
      </w:r>
    </w:p>
    <w:p w14:paraId="6699E4A4" w14:textId="77777777" w:rsidR="00352BFE" w:rsidRDefault="00352BFE" w:rsidP="00352BFE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pacing w:val="0"/>
          <w:kern w:val="0"/>
          <w:sz w:val="32"/>
          <w:szCs w:val="32"/>
          <w:lang w:bidi="ar"/>
        </w:rPr>
      </w:pPr>
      <w:r>
        <w:rPr>
          <w:rFonts w:ascii="Times New Roman" w:eastAsia="仿宋_GB2312" w:hAnsi="Times New Roman" w:cs="Times New Roman"/>
          <w:spacing w:val="0"/>
          <w:kern w:val="0"/>
          <w:sz w:val="32"/>
          <w:szCs w:val="32"/>
          <w:lang w:bidi="ar"/>
        </w:rPr>
        <w:t>包括客流交织风险、车站环境风险、换乘站接口风险、</w:t>
      </w:r>
      <w:r>
        <w:rPr>
          <w:rFonts w:ascii="Times New Roman" w:eastAsia="仿宋_GB2312" w:hAnsi="Times New Roman" w:cs="Times New Roman"/>
          <w:spacing w:val="0"/>
          <w:kern w:val="0"/>
          <w:sz w:val="32"/>
          <w:szCs w:val="32"/>
          <w:lang w:bidi="ar"/>
        </w:rPr>
        <w:lastRenderedPageBreak/>
        <w:t>大客流冲击风险、设备故障客运组织风险、突发事件客运组织风险、施工作业客运组织风险等管控措施落实情况。</w:t>
      </w:r>
    </w:p>
    <w:p w14:paraId="38E54A8F" w14:textId="77777777" w:rsidR="00352BFE" w:rsidRDefault="00352BFE" w:rsidP="00352BFE">
      <w:pPr>
        <w:spacing w:beforeLines="50" w:before="156" w:line="580" w:lineRule="exact"/>
        <w:ind w:firstLineChars="200" w:firstLine="640"/>
        <w:rPr>
          <w:rFonts w:ascii="Times New Roman" w:eastAsia="黑体" w:hAnsi="Times New Roman" w:cs="Times New Roman"/>
          <w:spacing w:val="0"/>
          <w:kern w:val="0"/>
          <w:sz w:val="32"/>
          <w:szCs w:val="32"/>
          <w:lang w:bidi="ar"/>
        </w:rPr>
      </w:pPr>
      <w:r>
        <w:rPr>
          <w:rFonts w:ascii="Times New Roman" w:eastAsia="黑体" w:hAnsi="Times New Roman" w:cs="Times New Roman"/>
          <w:spacing w:val="0"/>
          <w:kern w:val="0"/>
          <w:sz w:val="32"/>
          <w:szCs w:val="32"/>
          <w:lang w:bidi="ar"/>
        </w:rPr>
        <w:t>五、设施设备运行维护</w:t>
      </w:r>
    </w:p>
    <w:p w14:paraId="4F6A27C4" w14:textId="77777777" w:rsidR="00352BFE" w:rsidRDefault="00352BFE" w:rsidP="00352BFE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pacing w:val="0"/>
          <w:kern w:val="0"/>
          <w:sz w:val="32"/>
          <w:szCs w:val="32"/>
          <w:lang w:bidi="ar"/>
        </w:rPr>
      </w:pPr>
      <w:r>
        <w:rPr>
          <w:rFonts w:ascii="Times New Roman" w:eastAsia="仿宋_GB2312" w:hAnsi="Times New Roman" w:cs="Times New Roman"/>
          <w:spacing w:val="0"/>
          <w:kern w:val="0"/>
          <w:sz w:val="32"/>
          <w:szCs w:val="32"/>
          <w:lang w:bidi="ar"/>
        </w:rPr>
        <w:t>包括土建设施、车辆、供电系统、通信系统、信号系统、机电系统等风险管控措施落实情况。</w:t>
      </w:r>
    </w:p>
    <w:p w14:paraId="36845F8C" w14:textId="77777777" w:rsidR="00352BFE" w:rsidRDefault="00352BFE" w:rsidP="00352BFE">
      <w:pPr>
        <w:spacing w:beforeLines="50" w:before="156" w:line="580" w:lineRule="exact"/>
        <w:ind w:firstLineChars="200" w:firstLine="640"/>
        <w:rPr>
          <w:rFonts w:ascii="Times New Roman" w:eastAsia="黑体" w:hAnsi="Times New Roman" w:cs="Times New Roman"/>
          <w:spacing w:val="0"/>
          <w:kern w:val="0"/>
          <w:sz w:val="32"/>
          <w:szCs w:val="32"/>
          <w:lang w:bidi="ar"/>
        </w:rPr>
      </w:pPr>
      <w:r>
        <w:rPr>
          <w:rFonts w:ascii="Times New Roman" w:eastAsia="黑体" w:hAnsi="Times New Roman" w:cs="Times New Roman"/>
          <w:spacing w:val="0"/>
          <w:kern w:val="0"/>
          <w:sz w:val="32"/>
          <w:szCs w:val="32"/>
          <w:lang w:bidi="ar"/>
        </w:rPr>
        <w:t>六、人员管理</w:t>
      </w:r>
    </w:p>
    <w:p w14:paraId="0F52536E" w14:textId="77777777" w:rsidR="00352BFE" w:rsidRDefault="00352BFE" w:rsidP="00352BFE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pacing w:val="0"/>
          <w:kern w:val="0"/>
          <w:sz w:val="32"/>
          <w:szCs w:val="32"/>
          <w:lang w:bidi="ar"/>
        </w:rPr>
      </w:pPr>
      <w:r>
        <w:rPr>
          <w:rFonts w:ascii="Times New Roman" w:eastAsia="仿宋_GB2312" w:hAnsi="Times New Roman" w:cs="Times New Roman"/>
          <w:spacing w:val="0"/>
          <w:kern w:val="0"/>
          <w:sz w:val="32"/>
          <w:szCs w:val="32"/>
          <w:lang w:bidi="ar"/>
        </w:rPr>
        <w:t>包括继续教育、新增、转岗、复岗的教育培训以及培训内容</w:t>
      </w:r>
      <w:r>
        <w:rPr>
          <w:rFonts w:ascii="Times New Roman" w:eastAsia="仿宋_GB2312" w:hAnsi="Times New Roman" w:cs="Times New Roman" w:hint="eastAsia"/>
          <w:spacing w:val="0"/>
          <w:kern w:val="0"/>
          <w:sz w:val="32"/>
          <w:szCs w:val="32"/>
          <w:lang w:bidi="ar"/>
        </w:rPr>
        <w:t>，</w:t>
      </w:r>
      <w:proofErr w:type="gramStart"/>
      <w:r>
        <w:rPr>
          <w:rFonts w:ascii="Times New Roman" w:eastAsia="仿宋_GB2312" w:hAnsi="Times New Roman" w:cs="Times New Roman" w:hint="eastAsia"/>
          <w:spacing w:val="0"/>
          <w:kern w:val="0"/>
          <w:sz w:val="32"/>
          <w:szCs w:val="32"/>
          <w:lang w:bidi="ar"/>
        </w:rPr>
        <w:t>以及委</w:t>
      </w:r>
      <w:proofErr w:type="gramEnd"/>
      <w:r>
        <w:rPr>
          <w:rFonts w:ascii="Times New Roman" w:eastAsia="仿宋_GB2312" w:hAnsi="Times New Roman" w:cs="Times New Roman" w:hint="eastAsia"/>
          <w:spacing w:val="0"/>
          <w:kern w:val="0"/>
          <w:sz w:val="32"/>
          <w:szCs w:val="32"/>
          <w:lang w:bidi="ar"/>
        </w:rPr>
        <w:t>外单位人员管理情况</w:t>
      </w:r>
      <w:r>
        <w:rPr>
          <w:rFonts w:ascii="Times New Roman" w:eastAsia="仿宋_GB2312" w:hAnsi="Times New Roman" w:cs="Times New Roman"/>
          <w:spacing w:val="0"/>
          <w:kern w:val="0"/>
          <w:sz w:val="32"/>
          <w:szCs w:val="32"/>
          <w:lang w:bidi="ar"/>
        </w:rPr>
        <w:t>。</w:t>
      </w:r>
    </w:p>
    <w:p w14:paraId="64576712" w14:textId="77777777" w:rsidR="00352BFE" w:rsidRDefault="00352BFE" w:rsidP="00352BFE">
      <w:pPr>
        <w:spacing w:beforeLines="50" w:before="156" w:line="580" w:lineRule="exact"/>
        <w:ind w:firstLineChars="200" w:firstLine="640"/>
        <w:rPr>
          <w:rFonts w:ascii="Times New Roman" w:eastAsia="黑体" w:hAnsi="Times New Roman" w:cs="Times New Roman"/>
          <w:spacing w:val="0"/>
          <w:kern w:val="0"/>
          <w:sz w:val="32"/>
          <w:szCs w:val="32"/>
          <w:lang w:bidi="ar"/>
        </w:rPr>
      </w:pPr>
      <w:r>
        <w:rPr>
          <w:rFonts w:ascii="Times New Roman" w:eastAsia="黑体" w:hAnsi="Times New Roman" w:cs="Times New Roman"/>
          <w:spacing w:val="0"/>
          <w:kern w:val="0"/>
          <w:sz w:val="32"/>
          <w:szCs w:val="32"/>
          <w:lang w:bidi="ar"/>
        </w:rPr>
        <w:t>七、应急管理</w:t>
      </w:r>
    </w:p>
    <w:p w14:paraId="0819FBA7" w14:textId="77777777" w:rsidR="00352BFE" w:rsidRDefault="00352BFE" w:rsidP="00352BFE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pacing w:val="0"/>
          <w:kern w:val="0"/>
          <w:sz w:val="32"/>
          <w:szCs w:val="32"/>
          <w:lang w:bidi="ar"/>
        </w:rPr>
      </w:pPr>
      <w:r>
        <w:rPr>
          <w:rFonts w:ascii="Times New Roman" w:eastAsia="仿宋_GB2312" w:hAnsi="Times New Roman" w:cs="Times New Roman"/>
          <w:spacing w:val="0"/>
          <w:kern w:val="0"/>
          <w:sz w:val="32"/>
          <w:szCs w:val="32"/>
          <w:lang w:bidi="ar"/>
        </w:rPr>
        <w:t>包括应急机制、应急预案、应急演练、应急保障、险性事件、警示教育等。</w:t>
      </w:r>
    </w:p>
    <w:p w14:paraId="67D7EE89" w14:textId="77777777" w:rsidR="00352BFE" w:rsidRDefault="00352BFE" w:rsidP="00352BFE">
      <w:pPr>
        <w:spacing w:beforeLines="50" w:before="156" w:line="580" w:lineRule="exact"/>
        <w:ind w:firstLineChars="200" w:firstLine="640"/>
        <w:rPr>
          <w:rFonts w:ascii="Times New Roman" w:eastAsia="黑体" w:hAnsi="Times New Roman" w:cs="Times New Roman"/>
          <w:spacing w:val="0"/>
          <w:kern w:val="0"/>
          <w:sz w:val="32"/>
          <w:szCs w:val="32"/>
          <w:lang w:bidi="ar"/>
        </w:rPr>
      </w:pPr>
      <w:r>
        <w:rPr>
          <w:rFonts w:ascii="Times New Roman" w:eastAsia="黑体" w:hAnsi="Times New Roman" w:cs="Times New Roman"/>
          <w:spacing w:val="0"/>
          <w:kern w:val="0"/>
          <w:sz w:val="32"/>
          <w:szCs w:val="32"/>
          <w:lang w:bidi="ar"/>
        </w:rPr>
        <w:t>八、运营安全评估意见</w:t>
      </w:r>
    </w:p>
    <w:p w14:paraId="61E6F8CD" w14:textId="77777777" w:rsidR="00352BFE" w:rsidRDefault="00352BFE" w:rsidP="00352BFE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pacing w:val="0"/>
          <w:kern w:val="0"/>
          <w:sz w:val="32"/>
          <w:szCs w:val="32"/>
          <w:lang w:bidi="ar"/>
        </w:rPr>
      </w:pPr>
      <w:r>
        <w:rPr>
          <w:rFonts w:ascii="Times New Roman" w:eastAsia="仿宋_GB2312" w:hAnsi="Times New Roman" w:cs="Times New Roman"/>
          <w:spacing w:val="0"/>
          <w:kern w:val="0"/>
          <w:sz w:val="32"/>
          <w:szCs w:val="32"/>
          <w:lang w:bidi="ar"/>
        </w:rPr>
        <w:t>明确是否具备</w:t>
      </w:r>
      <w:proofErr w:type="gramStart"/>
      <w:r>
        <w:rPr>
          <w:rFonts w:ascii="Times New Roman" w:eastAsia="仿宋_GB2312" w:hAnsi="Times New Roman" w:cs="Times New Roman"/>
          <w:spacing w:val="0"/>
          <w:kern w:val="0"/>
          <w:sz w:val="32"/>
          <w:szCs w:val="32"/>
          <w:lang w:bidi="ar"/>
        </w:rPr>
        <w:t>开通正式</w:t>
      </w:r>
      <w:proofErr w:type="gramEnd"/>
      <w:r>
        <w:rPr>
          <w:rFonts w:ascii="Times New Roman" w:eastAsia="仿宋_GB2312" w:hAnsi="Times New Roman" w:cs="Times New Roman"/>
          <w:spacing w:val="0"/>
          <w:kern w:val="0"/>
          <w:sz w:val="32"/>
          <w:szCs w:val="32"/>
          <w:lang w:bidi="ar"/>
        </w:rPr>
        <w:t>运营的意见以及整改要求、期限与建议措施。</w:t>
      </w:r>
    </w:p>
    <w:p w14:paraId="74E3B40D" w14:textId="77777777" w:rsidR="00352BFE" w:rsidRDefault="00352BFE" w:rsidP="00352BFE">
      <w:pPr>
        <w:spacing w:beforeLines="50" w:before="156" w:line="580" w:lineRule="exact"/>
        <w:ind w:firstLineChars="200" w:firstLine="640"/>
        <w:rPr>
          <w:rFonts w:ascii="Times New Roman" w:eastAsia="黑体" w:hAnsi="Times New Roman" w:cs="Times New Roman"/>
          <w:spacing w:val="0"/>
          <w:kern w:val="0"/>
          <w:sz w:val="32"/>
          <w:szCs w:val="32"/>
          <w:lang w:bidi="ar"/>
        </w:rPr>
      </w:pPr>
      <w:r>
        <w:rPr>
          <w:rFonts w:ascii="Times New Roman" w:eastAsia="黑体" w:hAnsi="Times New Roman" w:cs="Times New Roman"/>
          <w:spacing w:val="0"/>
          <w:kern w:val="0"/>
          <w:sz w:val="32"/>
          <w:szCs w:val="32"/>
          <w:lang w:bidi="ar"/>
        </w:rPr>
        <w:t>九、其他意见建议</w:t>
      </w:r>
    </w:p>
    <w:p w14:paraId="5E7F3FEC" w14:textId="77777777" w:rsidR="00352BFE" w:rsidRDefault="00352BFE" w:rsidP="00352BFE">
      <w:pPr>
        <w:spacing w:line="58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14:paraId="52C41B79" w14:textId="77777777" w:rsidR="00352BFE" w:rsidRDefault="00352BFE" w:rsidP="00352BFE">
      <w:pPr>
        <w:spacing w:line="58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14:paraId="485EC986" w14:textId="77777777" w:rsidR="00352BFE" w:rsidRDefault="00352BFE" w:rsidP="00352BFE">
      <w:pPr>
        <w:spacing w:line="580" w:lineRule="exact"/>
        <w:ind w:firstLineChars="200" w:firstLine="640"/>
        <w:rPr>
          <w:rFonts w:ascii="Times New Roman" w:eastAsia="仿宋_GB2312" w:hAnsi="Times New Roman" w:cs="Times New Roman"/>
          <w:spacing w:val="0"/>
          <w:kern w:val="0"/>
          <w:sz w:val="32"/>
          <w:szCs w:val="32"/>
          <w:lang w:bidi="ar"/>
        </w:rPr>
      </w:pPr>
      <w:r>
        <w:rPr>
          <w:rFonts w:ascii="Times New Roman" w:eastAsia="仿宋_GB2312" w:hAnsi="Times New Roman" w:cs="Times New Roman"/>
          <w:spacing w:val="0"/>
          <w:kern w:val="0"/>
          <w:sz w:val="32"/>
          <w:szCs w:val="32"/>
          <w:lang w:bidi="ar"/>
        </w:rPr>
        <w:t>×</w:t>
      </w:r>
      <w:r>
        <w:rPr>
          <w:rFonts w:ascii="Times New Roman" w:eastAsia="仿宋_GB2312" w:hAnsi="Times New Roman" w:cs="Times New Roman"/>
          <w:spacing w:val="0"/>
          <w:kern w:val="0"/>
          <w:sz w:val="32"/>
          <w:szCs w:val="32"/>
          <w:lang w:bidi="ar"/>
        </w:rPr>
        <w:t>市</w:t>
      </w:r>
      <w:r>
        <w:rPr>
          <w:rFonts w:ascii="Times New Roman" w:eastAsia="仿宋_GB2312" w:hAnsi="Times New Roman" w:cs="Times New Roman"/>
          <w:spacing w:val="0"/>
          <w:kern w:val="0"/>
          <w:sz w:val="32"/>
          <w:szCs w:val="32"/>
          <w:lang w:bidi="ar"/>
        </w:rPr>
        <w:t>×</w:t>
      </w:r>
      <w:r>
        <w:rPr>
          <w:rFonts w:ascii="Times New Roman" w:eastAsia="仿宋_GB2312" w:hAnsi="Times New Roman" w:cs="Times New Roman"/>
          <w:spacing w:val="0"/>
          <w:kern w:val="0"/>
          <w:sz w:val="32"/>
          <w:szCs w:val="32"/>
          <w:lang w:bidi="ar"/>
        </w:rPr>
        <w:t>号线正式运营前安全评估组成员（签字）：</w:t>
      </w:r>
    </w:p>
    <w:p w14:paraId="7765E7FA" w14:textId="77777777" w:rsidR="00352BFE" w:rsidRDefault="00352BFE" w:rsidP="00352BFE">
      <w:pPr>
        <w:spacing w:line="580" w:lineRule="exact"/>
        <w:jc w:val="center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14:paraId="1B815AE8" w14:textId="77777777" w:rsidR="00352BFE" w:rsidRDefault="00352BFE" w:rsidP="00352BFE">
      <w:pPr>
        <w:spacing w:line="580" w:lineRule="exact"/>
        <w:jc w:val="center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14:paraId="4C893E23" w14:textId="77777777" w:rsidR="00352BFE" w:rsidRDefault="00352BFE" w:rsidP="00352BFE">
      <w:pPr>
        <w:wordWrap w:val="0"/>
        <w:spacing w:line="580" w:lineRule="exact"/>
        <w:jc w:val="right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/>
          <w:spacing w:val="0"/>
          <w:kern w:val="0"/>
          <w:sz w:val="32"/>
          <w:szCs w:val="32"/>
          <w:lang w:bidi="ar"/>
        </w:rPr>
        <w:t>××</w:t>
      </w:r>
      <w:r>
        <w:rPr>
          <w:rFonts w:ascii="Times New Roman" w:eastAsia="仿宋_GB2312" w:hAnsi="Times New Roman" w:cs="Times New Roman"/>
          <w:spacing w:val="0"/>
          <w:kern w:val="0"/>
          <w:sz w:val="32"/>
          <w:szCs w:val="32"/>
          <w:lang w:bidi="ar"/>
        </w:rPr>
        <w:t>年</w:t>
      </w:r>
      <w:r>
        <w:rPr>
          <w:rFonts w:ascii="Times New Roman" w:eastAsia="仿宋_GB2312" w:hAnsi="Times New Roman" w:cs="Times New Roman"/>
          <w:spacing w:val="0"/>
          <w:kern w:val="0"/>
          <w:sz w:val="32"/>
          <w:szCs w:val="32"/>
          <w:lang w:bidi="ar"/>
        </w:rPr>
        <w:t>××</w:t>
      </w:r>
      <w:r>
        <w:rPr>
          <w:rFonts w:ascii="Times New Roman" w:eastAsia="仿宋_GB2312" w:hAnsi="Times New Roman" w:cs="Times New Roman"/>
          <w:spacing w:val="0"/>
          <w:kern w:val="0"/>
          <w:sz w:val="32"/>
          <w:szCs w:val="32"/>
          <w:lang w:bidi="ar"/>
        </w:rPr>
        <w:t>月</w:t>
      </w:r>
      <w:r>
        <w:rPr>
          <w:rFonts w:ascii="Times New Roman" w:eastAsia="仿宋_GB2312" w:hAnsi="Times New Roman" w:cs="Times New Roman"/>
          <w:spacing w:val="0"/>
          <w:kern w:val="0"/>
          <w:sz w:val="32"/>
          <w:szCs w:val="32"/>
          <w:lang w:bidi="ar"/>
        </w:rPr>
        <w:t>××</w:t>
      </w:r>
      <w:r>
        <w:rPr>
          <w:rFonts w:ascii="Times New Roman" w:eastAsia="仿宋_GB2312" w:hAnsi="Times New Roman" w:cs="Times New Roman"/>
          <w:spacing w:val="0"/>
          <w:kern w:val="0"/>
          <w:sz w:val="32"/>
          <w:szCs w:val="32"/>
          <w:lang w:bidi="ar"/>
        </w:rPr>
        <w:t>日</w:t>
      </w:r>
      <w:r>
        <w:rPr>
          <w:rFonts w:ascii="Times New Roman" w:eastAsia="仿宋_GB2312" w:hAnsi="Times New Roman" w:cs="Times New Roman"/>
          <w:spacing w:val="0"/>
          <w:kern w:val="0"/>
          <w:sz w:val="32"/>
          <w:szCs w:val="32"/>
          <w:lang w:bidi="ar"/>
        </w:rPr>
        <w:t xml:space="preserve"> </w:t>
      </w:r>
    </w:p>
    <w:p w14:paraId="4270DC48" w14:textId="78CC64A7" w:rsidR="00DF64D4" w:rsidRDefault="00DF64D4" w:rsidP="00352BFE">
      <w:pPr>
        <w:jc w:val="left"/>
      </w:pPr>
    </w:p>
    <w:sectPr w:rsidR="00DF64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00C"/>
    <w:rsid w:val="00086B88"/>
    <w:rsid w:val="00352BFE"/>
    <w:rsid w:val="00C53CAD"/>
    <w:rsid w:val="00C97CE5"/>
    <w:rsid w:val="00CC000C"/>
    <w:rsid w:val="00DF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4883E"/>
  <w15:chartTrackingRefBased/>
  <w15:docId w15:val="{7DBBC2D9-832A-46DA-98F7-DDAF1B43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00C"/>
    <w:pPr>
      <w:widowControl w:val="0"/>
      <w:jc w:val="both"/>
    </w:pPr>
    <w:rPr>
      <w:rFonts w:ascii="Calibri" w:eastAsia="宋体" w:hAnsi="Calibri" w:cs="黑体"/>
      <w:spacing w:val="-34"/>
      <w:sz w:val="36"/>
      <w:szCs w:val="36"/>
    </w:rPr>
  </w:style>
  <w:style w:type="paragraph" w:styleId="2">
    <w:name w:val="heading 2"/>
    <w:basedOn w:val="a"/>
    <w:next w:val="a"/>
    <w:link w:val="20"/>
    <w:qFormat/>
    <w:rsid w:val="00352BFE"/>
    <w:pPr>
      <w:keepNext/>
      <w:widowControl/>
      <w:tabs>
        <w:tab w:val="left" w:pos="142"/>
      </w:tabs>
      <w:spacing w:beforeLines="50" w:before="156" w:afterLines="50" w:after="156" w:line="360" w:lineRule="auto"/>
      <w:jc w:val="left"/>
      <w:outlineLvl w:val="1"/>
    </w:pPr>
    <w:rPr>
      <w:rFonts w:ascii="Century Gothic" w:eastAsia="楷体_GB2312" w:hAnsi="Century Gothic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sid w:val="00352BFE"/>
    <w:rPr>
      <w:rFonts w:ascii="Century Gothic" w:eastAsia="楷体_GB2312" w:hAnsi="Century Gothic" w:cs="Times New Roman"/>
      <w:b/>
      <w:bCs/>
      <w:spacing w:val="-34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刘欣欣</dc:creator>
  <cp:keywords/>
  <dc:description/>
  <cp:lastModifiedBy>刘欣欣</cp:lastModifiedBy>
  <cp:revision>3</cp:revision>
  <dcterms:created xsi:type="dcterms:W3CDTF">2023-08-26T00:46:00Z</dcterms:created>
  <dcterms:modified xsi:type="dcterms:W3CDTF">2023-08-26T00:46:00Z</dcterms:modified>
</cp:coreProperties>
</file>