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B60BE" w:rsidRDefault="008E75C5">
      <w:pPr>
        <w:jc w:val="center"/>
        <w:rPr>
          <w:rFonts w:asciiTheme="minorEastAsia" w:hAnsiTheme="minorEastAsia" w:cstheme="minorEastAsia"/>
          <w:sz w:val="44"/>
          <w:szCs w:val="44"/>
        </w:rPr>
      </w:pPr>
      <w:r>
        <w:rPr>
          <w:noProof/>
          <w:sz w:val="44"/>
        </w:rPr>
        <mc:AlternateContent>
          <mc:Choice Requires="wps">
            <w:drawing>
              <wp:anchor distT="0" distB="0" distL="114300" distR="114300" simplePos="0" relativeHeight="251659264" behindDoc="0" locked="0" layoutInCell="1" allowOverlap="1">
                <wp:simplePos x="0" y="0"/>
                <wp:positionH relativeFrom="column">
                  <wp:posOffset>-422275</wp:posOffset>
                </wp:positionH>
                <wp:positionV relativeFrom="paragraph">
                  <wp:posOffset>-1139825</wp:posOffset>
                </wp:positionV>
                <wp:extent cx="1161415" cy="493395"/>
                <wp:effectExtent l="0" t="0" r="635" b="1905"/>
                <wp:wrapNone/>
                <wp:docPr id="1" name="文本框 1"/>
                <wp:cNvGraphicFramePr/>
                <a:graphic xmlns:a="http://schemas.openxmlformats.org/drawingml/2006/main">
                  <a:graphicData uri="http://schemas.microsoft.com/office/word/2010/wordprocessingShape">
                    <wps:wsp>
                      <wps:cNvSpPr txBox="1"/>
                      <wps:spPr>
                        <a:xfrm>
                          <a:off x="117475" y="97155"/>
                          <a:ext cx="1161415" cy="493395"/>
                        </a:xfrm>
                        <a:prstGeom prst="rect">
                          <a:avLst/>
                        </a:prstGeom>
                        <a:solidFill>
                          <a:schemeClr val="lt1"/>
                        </a:solidFill>
                        <a:ln w="12700">
                          <a:noFill/>
                        </a:ln>
                      </wps:spPr>
                      <wps:style>
                        <a:lnRef idx="0">
                          <a:schemeClr val="accent1"/>
                        </a:lnRef>
                        <a:fillRef idx="0">
                          <a:schemeClr val="accent1"/>
                        </a:fillRef>
                        <a:effectRef idx="0">
                          <a:schemeClr val="accent1"/>
                        </a:effectRef>
                        <a:fontRef idx="minor">
                          <a:schemeClr val="dk1"/>
                        </a:fontRef>
                      </wps:style>
                      <wps:txbx>
                        <w:txbxContent>
                          <w:p w:rsidR="007B60BE" w:rsidRDefault="007B60BE">
                            <w:pPr>
                              <w:jc w:val="center"/>
                              <w:rPr>
                                <w:rFonts w:ascii="方正小标宋简体" w:eastAsia="方正小标宋简体" w:hAnsi="方正小标宋简体" w:cs="方正小标宋简体"/>
                                <w:color w:val="000000" w:themeColor="text1"/>
                                <w:sz w:val="28"/>
                                <w:szCs w:val="28"/>
                                <w14:textOutline w14:w="0" w14:cap="flat" w14:cmpd="dbl" w14:algn="ctr">
                                  <w14:solidFill>
                                    <w14:schemeClr w14:val="tx1"/>
                                  </w14:solidFill>
                                  <w14:prstDash w14:val="solid"/>
                                  <w14:round/>
                                </w14:textOutline>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xmlns:w16se="http://schemas.microsoft.com/office/word/2015/wordml/symex" xmlns:cx="http://schemas.microsoft.com/office/drawing/2014/chartex">
            <w:pict>
              <v:shapetype id="_x0000_t202" coordsize="21600,21600" o:spt="202" path="m,l,21600r21600,l21600,xe">
                <v:stroke joinstyle="miter"/>
                <v:path gradientshapeok="t" o:connecttype="rect"/>
              </v:shapetype>
              <v:shape id="文本框 1" o:spid="_x0000_s1026" type="#_x0000_t202" style="position:absolute;left:0;text-align:left;margin-left:-33.25pt;margin-top:-89.75pt;width:91.45pt;height:38.85pt;z-index:25165926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" fillcolor="white [3201]" stroked="f" strokeweight="1pt">
                <v:textbox>
                  <w:txbxContent>
                    <w:p w14:paraId="0FD2D537" w14:textId="4C538C0A" w:rsidR="007B60BE" w:rsidRDefault="007B60BE">
                      <w:pPr>
                        <w:jc w:val="center"/>
                        <w:rPr>
                          <w:rFonts w:ascii="方正小标宋简体" w:eastAsia="方正小标宋简体" w:hAnsi="方正小标宋简体" w:cs="方正小标宋简体"/>
                          <w:color w:val="000000" w:themeColor="text1"/>
                          <w:sz w:val="28"/>
                          <w:szCs w:val="28"/>
                          <w14:textOutline w14:w="0" w14:cap="flat" w14:cmpd="dbl" w14:algn="ctr">
                            <w14:solidFill>
                              <w14:schemeClr w14:val="tx1"/>
                            </w14:solidFill>
                            <w14:prstDash w14:val="solid"/>
                            <w14:round/>
                          </w14:textOutline>
                        </w:rPr>
                      </w:pPr>
                    </w:p>
                  </w:txbxContent>
                </v:textbox>
              </v:shape>
            </w:pict>
          </mc:Fallback>
        </mc:AlternateContent>
      </w:r>
    </w:p>
    <w:p w:rsidR="007B60BE" w:rsidRDefault="007B60BE">
      <w:pPr>
        <w:rPr>
          <w:rFonts w:asciiTheme="minorEastAsia" w:hAnsiTheme="minorEastAsia" w:cstheme="minorEastAsia"/>
          <w:sz w:val="44"/>
          <w:szCs w:val="44"/>
        </w:rPr>
      </w:pPr>
    </w:p>
    <w:p w:rsidR="007B60BE" w:rsidRDefault="00E00E4D">
      <w:pPr>
        <w:jc w:val="center"/>
        <w:rPr>
          <w:rFonts w:ascii="宋体" w:eastAsia="宋体" w:hAnsi="宋体" w:cs="宋体"/>
          <w:sz w:val="36"/>
          <w:szCs w:val="36"/>
          <w:shd w:val="clear" w:color="auto" w:fill="FFFFFF"/>
        </w:rPr>
      </w:pPr>
      <w:r w:rsidRPr="00E00E4D">
        <w:rPr>
          <w:rFonts w:asciiTheme="minorEastAsia" w:hAnsiTheme="minorEastAsia" w:cstheme="minorEastAsia" w:hint="eastAsia"/>
          <w:sz w:val="44"/>
          <w:szCs w:val="44"/>
        </w:rPr>
        <w:t>船舶无线电台执照核发办法</w:t>
      </w:r>
    </w:p>
    <w:p w:rsidR="007B60BE" w:rsidRDefault="00DF4D69">
      <w:pPr>
        <w:ind w:firstLineChars="200" w:firstLine="640"/>
        <w:rPr>
          <w:rFonts w:ascii="楷体_GB2312" w:eastAsia="楷体_GB2312" w:hAnsi="楷体_GB2312" w:cs="楷体_GB2312"/>
          <w:color w:val="333333"/>
          <w:sz w:val="32"/>
          <w:szCs w:val="32"/>
          <w:shd w:val="clear" w:color="auto" w:fill="FFFFFF"/>
        </w:rPr>
      </w:pPr>
      <w:r>
        <w:rPr>
          <w:rFonts w:ascii="楷体_GB2312" w:eastAsia="楷体_GB2312" w:hAnsi="楷体_GB2312" w:cs="楷体_GB2312" w:hint="eastAsia"/>
          <w:color w:val="333333"/>
          <w:sz w:val="32"/>
          <w:szCs w:val="32"/>
          <w:shd w:val="clear" w:color="auto" w:fill="FFFFFF"/>
        </w:rPr>
        <w:t>（</w:t>
      </w:r>
      <w:r w:rsidRPr="00DF4D69">
        <w:rPr>
          <w:rFonts w:ascii="楷体_GB2312" w:eastAsia="楷体_GB2312" w:hAnsi="楷体_GB2312" w:cs="楷体_GB2312" w:hint="eastAsia"/>
          <w:color w:val="333333"/>
          <w:sz w:val="32"/>
          <w:szCs w:val="32"/>
          <w:shd w:val="clear" w:color="auto" w:fill="FFFFFF"/>
        </w:rPr>
        <w:t>1989年2月10日（89）交无委字75号发布 自1989年2月10日起施行</w:t>
      </w:r>
      <w:r>
        <w:rPr>
          <w:rFonts w:ascii="楷体_GB2312" w:eastAsia="楷体_GB2312" w:hAnsi="楷体_GB2312" w:cs="楷体_GB2312" w:hint="eastAsia"/>
          <w:color w:val="333333"/>
          <w:sz w:val="32"/>
          <w:szCs w:val="32"/>
          <w:shd w:val="clear" w:color="auto" w:fill="FFFFFF"/>
        </w:rPr>
        <w:t>）</w:t>
      </w:r>
      <w:bookmarkStart w:id="0" w:name="_GoBack"/>
      <w:bookmarkEnd w:id="0"/>
    </w:p>
    <w:p w:rsidR="007B60BE" w:rsidRDefault="007B60BE">
      <w:pPr>
        <w:rPr>
          <w:rFonts w:ascii="宋体" w:eastAsia="宋体" w:hAnsi="宋体" w:cs="宋体"/>
          <w:color w:val="333333"/>
          <w:sz w:val="36"/>
          <w:szCs w:val="36"/>
          <w:shd w:val="clear" w:color="auto" w:fill="FFFFFF"/>
        </w:rPr>
      </w:pPr>
    </w:p>
    <w:p w:rsidR="007B60BE" w:rsidRDefault="007B60BE">
      <w:pPr>
        <w:ind w:firstLineChars="200" w:firstLine="640"/>
        <w:rPr>
          <w:rFonts w:ascii="仿宋_GB2312" w:eastAsia="仿宋_GB2312" w:hAnsi="仿宋_GB2312" w:cs="仿宋_GB2312"/>
          <w:color w:val="333333"/>
          <w:sz w:val="32"/>
          <w:szCs w:val="32"/>
          <w:shd w:val="clear" w:color="auto" w:fill="FFFFFF"/>
        </w:rPr>
      </w:pPr>
    </w:p>
    <w:p w:rsidR="00E00E4D" w:rsidRPr="00E00E4D" w:rsidRDefault="00E00E4D" w:rsidP="00E00E4D">
      <w:pPr>
        <w:ind w:firstLineChars="200" w:firstLine="640"/>
        <w:rPr>
          <w:rFonts w:ascii="仿宋_GB2312" w:eastAsia="仿宋_GB2312" w:hAnsi="仿宋_GB2312" w:cs="仿宋_GB2312"/>
          <w:color w:val="333333"/>
          <w:sz w:val="32"/>
          <w:szCs w:val="32"/>
          <w:shd w:val="clear" w:color="auto" w:fill="FFFFFF"/>
        </w:rPr>
      </w:pPr>
      <w:r w:rsidRPr="00E00E4D">
        <w:rPr>
          <w:rFonts w:ascii="仿宋_GB2312" w:eastAsia="黑体" w:hAnsi="仿宋_GB2312" w:cs="仿宋_GB2312" w:hint="eastAsia"/>
          <w:color w:val="333333"/>
          <w:sz w:val="32"/>
          <w:szCs w:val="32"/>
          <w:shd w:val="clear" w:color="auto" w:fill="FFFFFF"/>
        </w:rPr>
        <w:t>第一条</w:t>
      </w:r>
      <w:r w:rsidRPr="00E00E4D">
        <w:rPr>
          <w:rFonts w:ascii="仿宋_GB2312" w:eastAsia="仿宋_GB2312" w:hAnsi="仿宋_GB2312" w:cs="仿宋_GB2312" w:hint="eastAsia"/>
          <w:color w:val="333333"/>
          <w:sz w:val="32"/>
          <w:szCs w:val="32"/>
          <w:shd w:val="clear" w:color="auto" w:fill="FFFFFF"/>
        </w:rPr>
        <w:t xml:space="preserve"> 为加强对船舶无线电台的管理，确保水上通信正常进行，特制定本办法。</w:t>
      </w:r>
    </w:p>
    <w:p w:rsidR="00E00E4D" w:rsidRPr="00E00E4D" w:rsidRDefault="00E00E4D" w:rsidP="00E00E4D">
      <w:pPr>
        <w:ind w:firstLineChars="200" w:firstLine="640"/>
        <w:rPr>
          <w:rFonts w:ascii="仿宋_GB2312" w:eastAsia="仿宋_GB2312" w:hAnsi="仿宋_GB2312" w:cs="仿宋_GB2312"/>
          <w:color w:val="333333"/>
          <w:sz w:val="32"/>
          <w:szCs w:val="32"/>
          <w:shd w:val="clear" w:color="auto" w:fill="FFFFFF"/>
        </w:rPr>
      </w:pPr>
      <w:r w:rsidRPr="00E00E4D">
        <w:rPr>
          <w:rFonts w:ascii="仿宋_GB2312" w:eastAsia="黑体" w:hAnsi="仿宋_GB2312" w:cs="仿宋_GB2312" w:hint="eastAsia"/>
          <w:color w:val="333333"/>
          <w:sz w:val="32"/>
          <w:szCs w:val="32"/>
          <w:shd w:val="clear" w:color="auto" w:fill="FFFFFF"/>
        </w:rPr>
        <w:t>第二条</w:t>
      </w:r>
      <w:r w:rsidRPr="00E00E4D">
        <w:rPr>
          <w:rFonts w:ascii="仿宋_GB2312" w:eastAsia="仿宋_GB2312" w:hAnsi="仿宋_GB2312" w:cs="仿宋_GB2312" w:hint="eastAsia"/>
          <w:color w:val="333333"/>
          <w:sz w:val="32"/>
          <w:szCs w:val="32"/>
          <w:shd w:val="clear" w:color="auto" w:fill="FFFFFF"/>
        </w:rPr>
        <w:t xml:space="preserve"> 交通部无线电管理委员会负责核发交通系统和非交通系统所有参加国际航运船舶的国际航运船舶电台执照。负责核发沿海部属各海运局、远洋公司、救捞局、航道局、海上安全监督局、航务工程局、各院校、部和地方双重领导的沿海港务局、秦皇岛港务局、大连轮船公司的船舶，以及中外合营公司悬挂中国国旗的船舶的电台执照。</w:t>
      </w:r>
    </w:p>
    <w:p w:rsidR="00E00E4D" w:rsidRPr="00E00E4D" w:rsidRDefault="00E00E4D" w:rsidP="00E00E4D">
      <w:pPr>
        <w:ind w:firstLineChars="200" w:firstLine="640"/>
        <w:rPr>
          <w:rFonts w:ascii="仿宋_GB2312" w:eastAsia="仿宋_GB2312" w:hAnsi="仿宋_GB2312" w:cs="仿宋_GB2312"/>
          <w:color w:val="333333"/>
          <w:sz w:val="32"/>
          <w:szCs w:val="32"/>
          <w:shd w:val="clear" w:color="auto" w:fill="FFFFFF"/>
        </w:rPr>
      </w:pPr>
      <w:r w:rsidRPr="00E00E4D">
        <w:rPr>
          <w:rFonts w:ascii="仿宋_GB2312" w:eastAsia="仿宋_GB2312" w:hAnsi="仿宋_GB2312" w:cs="仿宋_GB2312" w:hint="eastAsia"/>
          <w:color w:val="333333"/>
          <w:sz w:val="32"/>
          <w:szCs w:val="32"/>
          <w:shd w:val="clear" w:color="auto" w:fill="FFFFFF"/>
        </w:rPr>
        <w:t>长江航务管理局代部无线电管理委员会负责核发长江沿线各港务局，部属航运、航道、航政、公安、工程、工厂等单位的船舶的电台执照。</w:t>
      </w:r>
    </w:p>
    <w:p w:rsidR="00E00E4D" w:rsidRPr="00E00E4D" w:rsidRDefault="00E00E4D" w:rsidP="00E00E4D">
      <w:pPr>
        <w:ind w:firstLineChars="200" w:firstLine="640"/>
        <w:rPr>
          <w:rFonts w:ascii="仿宋_GB2312" w:eastAsia="仿宋_GB2312" w:hAnsi="仿宋_GB2312" w:cs="仿宋_GB2312"/>
          <w:color w:val="333333"/>
          <w:sz w:val="32"/>
          <w:szCs w:val="32"/>
          <w:shd w:val="clear" w:color="auto" w:fill="FFFFFF"/>
        </w:rPr>
      </w:pPr>
      <w:r w:rsidRPr="00E00E4D">
        <w:rPr>
          <w:rFonts w:ascii="仿宋_GB2312" w:eastAsia="仿宋_GB2312" w:hAnsi="仿宋_GB2312" w:cs="仿宋_GB2312" w:hint="eastAsia"/>
          <w:color w:val="333333"/>
          <w:sz w:val="32"/>
          <w:szCs w:val="32"/>
          <w:shd w:val="clear" w:color="auto" w:fill="FFFFFF"/>
        </w:rPr>
        <w:t>黑龙江航运局代部无线电管理委员会负责核发黑龙江航运</w:t>
      </w:r>
      <w:r w:rsidRPr="00E00E4D">
        <w:rPr>
          <w:rFonts w:ascii="仿宋_GB2312" w:eastAsia="仿宋_GB2312" w:hAnsi="仿宋_GB2312" w:cs="仿宋_GB2312" w:hint="eastAsia"/>
          <w:color w:val="333333"/>
          <w:sz w:val="32"/>
          <w:szCs w:val="32"/>
          <w:shd w:val="clear" w:color="auto" w:fill="FFFFFF"/>
        </w:rPr>
        <w:lastRenderedPageBreak/>
        <w:t>局所属单位的船舶的电台执照。</w:t>
      </w:r>
    </w:p>
    <w:p w:rsidR="00E00E4D" w:rsidRPr="00E00E4D" w:rsidRDefault="00E00E4D" w:rsidP="00E00E4D">
      <w:pPr>
        <w:ind w:firstLineChars="200" w:firstLine="640"/>
        <w:rPr>
          <w:rFonts w:ascii="仿宋_GB2312" w:eastAsia="仿宋_GB2312" w:hAnsi="仿宋_GB2312" w:cs="仿宋_GB2312"/>
          <w:color w:val="333333"/>
          <w:sz w:val="32"/>
          <w:szCs w:val="32"/>
          <w:shd w:val="clear" w:color="auto" w:fill="FFFFFF"/>
        </w:rPr>
      </w:pPr>
      <w:r w:rsidRPr="00E00E4D">
        <w:rPr>
          <w:rFonts w:ascii="仿宋_GB2312" w:eastAsia="黑体" w:hAnsi="仿宋_GB2312" w:cs="仿宋_GB2312" w:hint="eastAsia"/>
          <w:color w:val="333333"/>
          <w:sz w:val="32"/>
          <w:szCs w:val="32"/>
          <w:shd w:val="clear" w:color="auto" w:fill="FFFFFF"/>
        </w:rPr>
        <w:t>第三条</w:t>
      </w:r>
      <w:r w:rsidRPr="00E00E4D">
        <w:rPr>
          <w:rFonts w:ascii="仿宋_GB2312" w:eastAsia="仿宋_GB2312" w:hAnsi="仿宋_GB2312" w:cs="仿宋_GB2312" w:hint="eastAsia"/>
          <w:color w:val="333333"/>
          <w:sz w:val="32"/>
          <w:szCs w:val="32"/>
          <w:shd w:val="clear" w:color="auto" w:fill="FFFFFF"/>
        </w:rPr>
        <w:t xml:space="preserve"> 申请和更换船舶电台执照，应凭船舶主管单位的申请文件或原执照，向核发单位办理申请手续。</w:t>
      </w:r>
    </w:p>
    <w:p w:rsidR="00E00E4D" w:rsidRPr="00E00E4D" w:rsidRDefault="00E00E4D" w:rsidP="00E00E4D">
      <w:pPr>
        <w:ind w:firstLineChars="200" w:firstLine="640"/>
        <w:rPr>
          <w:rFonts w:ascii="仿宋_GB2312" w:eastAsia="仿宋_GB2312" w:hAnsi="仿宋_GB2312" w:cs="仿宋_GB2312"/>
          <w:color w:val="333333"/>
          <w:sz w:val="32"/>
          <w:szCs w:val="32"/>
          <w:shd w:val="clear" w:color="auto" w:fill="FFFFFF"/>
        </w:rPr>
      </w:pPr>
      <w:r w:rsidRPr="00E00E4D">
        <w:rPr>
          <w:rFonts w:ascii="仿宋_GB2312" w:eastAsia="黑体" w:hAnsi="仿宋_GB2312" w:cs="仿宋_GB2312" w:hint="eastAsia"/>
          <w:color w:val="333333"/>
          <w:sz w:val="32"/>
          <w:szCs w:val="32"/>
          <w:shd w:val="clear" w:color="auto" w:fill="FFFFFF"/>
        </w:rPr>
        <w:t>第四条</w:t>
      </w:r>
      <w:r w:rsidRPr="00E00E4D">
        <w:rPr>
          <w:rFonts w:ascii="仿宋_GB2312" w:eastAsia="仿宋_GB2312" w:hAnsi="仿宋_GB2312" w:cs="仿宋_GB2312" w:hint="eastAsia"/>
          <w:color w:val="333333"/>
          <w:sz w:val="32"/>
          <w:szCs w:val="32"/>
          <w:shd w:val="clear" w:color="auto" w:fill="FFFFFF"/>
        </w:rPr>
        <w:t xml:space="preserve"> 参加国际航运的船舶申领国际航运船舶电台执照，应持由其主管部门开具的证明文件和原执照办理。国际航运任务完成后，应将国际航运船舶电台执照交核发单位注销。</w:t>
      </w:r>
    </w:p>
    <w:p w:rsidR="00E00E4D" w:rsidRPr="00E00E4D" w:rsidRDefault="00E00E4D" w:rsidP="00E00E4D">
      <w:pPr>
        <w:ind w:firstLineChars="200" w:firstLine="640"/>
        <w:rPr>
          <w:rFonts w:ascii="仿宋_GB2312" w:eastAsia="仿宋_GB2312" w:hAnsi="仿宋_GB2312" w:cs="仿宋_GB2312"/>
          <w:color w:val="333333"/>
          <w:sz w:val="32"/>
          <w:szCs w:val="32"/>
          <w:shd w:val="clear" w:color="auto" w:fill="FFFFFF"/>
        </w:rPr>
      </w:pPr>
      <w:r w:rsidRPr="00E00E4D">
        <w:rPr>
          <w:rFonts w:ascii="仿宋_GB2312" w:eastAsia="黑体" w:hAnsi="仿宋_GB2312" w:cs="仿宋_GB2312" w:hint="eastAsia"/>
          <w:color w:val="333333"/>
          <w:sz w:val="32"/>
          <w:szCs w:val="32"/>
          <w:shd w:val="clear" w:color="auto" w:fill="FFFFFF"/>
        </w:rPr>
        <w:t>第五条</w:t>
      </w:r>
      <w:r w:rsidRPr="00E00E4D">
        <w:rPr>
          <w:rFonts w:ascii="仿宋_GB2312" w:eastAsia="仿宋_GB2312" w:hAnsi="仿宋_GB2312" w:cs="仿宋_GB2312" w:hint="eastAsia"/>
          <w:color w:val="333333"/>
          <w:sz w:val="32"/>
          <w:szCs w:val="32"/>
          <w:shd w:val="clear" w:color="auto" w:fill="FFFFFF"/>
        </w:rPr>
        <w:t xml:space="preserve"> 申请和更换船舶电台执照，必须如实填报“船舶无线电设备核定表”一式四份，并由主管领导签字负责。核发执照单位根据有关规定，必要时应对所报无线电设备进行审核。核定表由核发单位留一份存查，</w:t>
      </w:r>
      <w:proofErr w:type="gramStart"/>
      <w:r w:rsidRPr="00E00E4D">
        <w:rPr>
          <w:rFonts w:ascii="仿宋_GB2312" w:eastAsia="仿宋_GB2312" w:hAnsi="仿宋_GB2312" w:cs="仿宋_GB2312" w:hint="eastAsia"/>
          <w:color w:val="333333"/>
          <w:sz w:val="32"/>
          <w:szCs w:val="32"/>
          <w:shd w:val="clear" w:color="auto" w:fill="FFFFFF"/>
        </w:rPr>
        <w:t>退申请</w:t>
      </w:r>
      <w:proofErr w:type="gramEnd"/>
      <w:r w:rsidRPr="00E00E4D">
        <w:rPr>
          <w:rFonts w:ascii="仿宋_GB2312" w:eastAsia="仿宋_GB2312" w:hAnsi="仿宋_GB2312" w:cs="仿宋_GB2312" w:hint="eastAsia"/>
          <w:color w:val="333333"/>
          <w:sz w:val="32"/>
          <w:szCs w:val="32"/>
          <w:shd w:val="clear" w:color="auto" w:fill="FFFFFF"/>
        </w:rPr>
        <w:t>单位一份，其余两份分别送船舶所在地的省、自治区、直辖市无线电管理委员会和交通部无线电管理委员会备案。</w:t>
      </w:r>
    </w:p>
    <w:p w:rsidR="00E00E4D" w:rsidRPr="00E00E4D" w:rsidRDefault="00E00E4D" w:rsidP="00E00E4D">
      <w:pPr>
        <w:ind w:firstLineChars="200" w:firstLine="640"/>
        <w:rPr>
          <w:rFonts w:ascii="仿宋_GB2312" w:eastAsia="仿宋_GB2312" w:hAnsi="仿宋_GB2312" w:cs="仿宋_GB2312"/>
          <w:color w:val="333333"/>
          <w:sz w:val="32"/>
          <w:szCs w:val="32"/>
          <w:shd w:val="clear" w:color="auto" w:fill="FFFFFF"/>
        </w:rPr>
      </w:pPr>
      <w:r w:rsidRPr="00E00E4D">
        <w:rPr>
          <w:rFonts w:ascii="仿宋_GB2312" w:eastAsia="黑体" w:hAnsi="仿宋_GB2312" w:cs="仿宋_GB2312" w:hint="eastAsia"/>
          <w:color w:val="333333"/>
          <w:sz w:val="32"/>
          <w:szCs w:val="32"/>
          <w:shd w:val="clear" w:color="auto" w:fill="FFFFFF"/>
        </w:rPr>
        <w:t>第六条</w:t>
      </w:r>
      <w:r w:rsidRPr="00E00E4D">
        <w:rPr>
          <w:rFonts w:ascii="仿宋_GB2312" w:eastAsia="仿宋_GB2312" w:hAnsi="仿宋_GB2312" w:cs="仿宋_GB2312" w:hint="eastAsia"/>
          <w:color w:val="333333"/>
          <w:sz w:val="32"/>
          <w:szCs w:val="32"/>
          <w:shd w:val="clear" w:color="auto" w:fill="FFFFFF"/>
        </w:rPr>
        <w:t xml:space="preserve"> 代部无线电管理委员会核发船舶无线电台执照的单位，在核发执照时，应向船舶主管单位所在地的省、自治区、直辖市无线电管理委员会和交通部无线电管理委员会备案。</w:t>
      </w:r>
    </w:p>
    <w:p w:rsidR="00E00E4D" w:rsidRPr="00E00E4D" w:rsidRDefault="00E00E4D" w:rsidP="00E00E4D">
      <w:pPr>
        <w:ind w:firstLineChars="200" w:firstLine="640"/>
        <w:rPr>
          <w:rFonts w:ascii="仿宋_GB2312" w:eastAsia="仿宋_GB2312" w:hAnsi="仿宋_GB2312" w:cs="仿宋_GB2312"/>
          <w:color w:val="333333"/>
          <w:sz w:val="32"/>
          <w:szCs w:val="32"/>
          <w:shd w:val="clear" w:color="auto" w:fill="FFFFFF"/>
        </w:rPr>
      </w:pPr>
      <w:r w:rsidRPr="00E00E4D">
        <w:rPr>
          <w:rFonts w:ascii="仿宋_GB2312" w:eastAsia="黑体" w:hAnsi="仿宋_GB2312" w:cs="仿宋_GB2312" w:hint="eastAsia"/>
          <w:color w:val="333333"/>
          <w:sz w:val="32"/>
          <w:szCs w:val="32"/>
          <w:shd w:val="clear" w:color="auto" w:fill="FFFFFF"/>
        </w:rPr>
        <w:t>第七条</w:t>
      </w:r>
      <w:r w:rsidRPr="00E00E4D">
        <w:rPr>
          <w:rFonts w:ascii="仿宋_GB2312" w:eastAsia="仿宋_GB2312" w:hAnsi="仿宋_GB2312" w:cs="仿宋_GB2312" w:hint="eastAsia"/>
          <w:color w:val="333333"/>
          <w:sz w:val="32"/>
          <w:szCs w:val="32"/>
          <w:shd w:val="clear" w:color="auto" w:fill="FFFFFF"/>
        </w:rPr>
        <w:t xml:space="preserve"> 新建造的船舶已经安装和正在安装的船舶无线电台，不需办理设台申请手续，但必须持有船舶无线电台执照，方准使用。</w:t>
      </w:r>
    </w:p>
    <w:p w:rsidR="00E00E4D" w:rsidRPr="00E00E4D" w:rsidRDefault="00E00E4D" w:rsidP="00E00E4D">
      <w:pPr>
        <w:ind w:firstLineChars="200" w:firstLine="640"/>
        <w:rPr>
          <w:rFonts w:ascii="仿宋_GB2312" w:eastAsia="仿宋_GB2312" w:hAnsi="仿宋_GB2312" w:cs="仿宋_GB2312"/>
          <w:color w:val="333333"/>
          <w:sz w:val="32"/>
          <w:szCs w:val="32"/>
          <w:shd w:val="clear" w:color="auto" w:fill="FFFFFF"/>
        </w:rPr>
      </w:pPr>
      <w:r w:rsidRPr="00E00E4D">
        <w:rPr>
          <w:rFonts w:ascii="仿宋_GB2312" w:eastAsia="黑体" w:hAnsi="仿宋_GB2312" w:cs="仿宋_GB2312" w:hint="eastAsia"/>
          <w:color w:val="333333"/>
          <w:sz w:val="32"/>
          <w:szCs w:val="32"/>
          <w:shd w:val="clear" w:color="auto" w:fill="FFFFFF"/>
        </w:rPr>
        <w:t>第八条</w:t>
      </w:r>
      <w:r w:rsidRPr="00E00E4D">
        <w:rPr>
          <w:rFonts w:ascii="仿宋_GB2312" w:eastAsia="仿宋_GB2312" w:hAnsi="仿宋_GB2312" w:cs="仿宋_GB2312" w:hint="eastAsia"/>
          <w:color w:val="333333"/>
          <w:sz w:val="32"/>
          <w:szCs w:val="32"/>
          <w:shd w:val="clear" w:color="auto" w:fill="FFFFFF"/>
        </w:rPr>
        <w:t xml:space="preserve"> 船舶无线电台执照，分为短期和长期两种，短期有</w:t>
      </w:r>
      <w:r w:rsidRPr="00E00E4D">
        <w:rPr>
          <w:rFonts w:ascii="仿宋_GB2312" w:eastAsia="仿宋_GB2312" w:hAnsi="仿宋_GB2312" w:cs="仿宋_GB2312" w:hint="eastAsia"/>
          <w:color w:val="333333"/>
          <w:sz w:val="32"/>
          <w:szCs w:val="32"/>
          <w:shd w:val="clear" w:color="auto" w:fill="FFFFFF"/>
        </w:rPr>
        <w:lastRenderedPageBreak/>
        <w:t>效期为一年以内，长期有效期为五年。</w:t>
      </w:r>
    </w:p>
    <w:p w:rsidR="007B60BE" w:rsidRDefault="00E00E4D" w:rsidP="00E00E4D">
      <w:pPr>
        <w:ind w:firstLineChars="200" w:firstLine="640"/>
        <w:rPr>
          <w:rFonts w:ascii="仿宋_GB2312" w:eastAsia="仿宋_GB2312" w:hAnsi="仿宋_GB2312" w:cs="仿宋_GB2312"/>
          <w:color w:val="333333"/>
          <w:sz w:val="32"/>
          <w:szCs w:val="32"/>
          <w:shd w:val="clear" w:color="auto" w:fill="FFFFFF"/>
        </w:rPr>
      </w:pPr>
      <w:r w:rsidRPr="00E00E4D">
        <w:rPr>
          <w:rFonts w:ascii="仿宋_GB2312" w:eastAsia="黑体" w:hAnsi="仿宋_GB2312" w:cs="仿宋_GB2312" w:hint="eastAsia"/>
          <w:color w:val="333333"/>
          <w:sz w:val="32"/>
          <w:szCs w:val="32"/>
          <w:shd w:val="clear" w:color="auto" w:fill="FFFFFF"/>
        </w:rPr>
        <w:t>第九条</w:t>
      </w:r>
      <w:r w:rsidRPr="00E00E4D">
        <w:rPr>
          <w:rFonts w:ascii="仿宋_GB2312" w:eastAsia="仿宋_GB2312" w:hAnsi="仿宋_GB2312" w:cs="仿宋_GB2312" w:hint="eastAsia"/>
          <w:color w:val="333333"/>
          <w:sz w:val="32"/>
          <w:szCs w:val="32"/>
          <w:shd w:val="clear" w:color="auto" w:fill="FFFFFF"/>
        </w:rPr>
        <w:t xml:space="preserve"> 本办法自发布之日起施行。由交通部负责解释。</w:t>
      </w:r>
    </w:p>
    <w:sectPr w:rsidR="007B60BE">
      <w:headerReference w:type="default" r:id="rId7"/>
      <w:footerReference w:type="default" r:id="rId8"/>
      <w:pgSz w:w="11906" w:h="16838"/>
      <w:pgMar w:top="1962" w:right="1474" w:bottom="1848" w:left="1587" w:header="851" w:footer="992" w:gutter="0"/>
      <w:pgNumType w:fmt="numberInDash"/>
      <w:cols w:space="0"/>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3C72A2" w:rsidRDefault="003C72A2">
      <w:r>
        <w:separator/>
      </w:r>
    </w:p>
  </w:endnote>
  <w:endnote w:type="continuationSeparator" w:id="0">
    <w:p w:rsidR="003C72A2" w:rsidRDefault="003C72A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00002FF" w:usb1="4000ACFF" w:usb2="00000001" w:usb3="00000000" w:csb0="0000019F" w:csb1="00000000"/>
  </w:font>
  <w:font w:name="方正小标宋简体">
    <w:panose1 w:val="03000509000000000000"/>
    <w:charset w:val="86"/>
    <w:family w:val="script"/>
    <w:pitch w:val="fixed"/>
    <w:sig w:usb0="00000001" w:usb1="080E0000" w:usb2="00000010" w:usb3="00000000" w:csb0="00040000" w:csb1="00000000"/>
  </w:font>
  <w:font w:name="楷体_GB2312">
    <w:altName w:val="楷体"/>
    <w:panose1 w:val="02010609030101010101"/>
    <w:charset w:val="86"/>
    <w:family w:val="modern"/>
    <w:pitch w:val="fixed"/>
    <w:sig w:usb0="00000001" w:usb1="080E0000" w:usb2="00000010" w:usb3="00000000" w:csb0="00040000" w:csb1="00000000"/>
  </w:font>
  <w:font w:name="仿宋_GB2312">
    <w:panose1 w:val="02010609030101010101"/>
    <w:charset w:val="86"/>
    <w:family w:val="modern"/>
    <w:pitch w:val="fixed"/>
    <w:sig w:usb0="00000001" w:usb1="080E0000" w:usb2="00000010" w:usb3="00000000" w:csb0="00040000" w:csb1="00000000"/>
  </w:font>
  <w:font w:name="黑体">
    <w:altName w:val="SimHei"/>
    <w:panose1 w:val="02010609060101010101"/>
    <w:charset w:val="86"/>
    <w:family w:val="modern"/>
    <w:pitch w:val="fixed"/>
    <w:sig w:usb0="800002BF" w:usb1="38CF7CFA" w:usb2="00000016" w:usb3="00000000" w:csb0="00040001" w:csb1="00000000"/>
  </w:font>
  <w:font w:name="仿宋">
    <w:panose1 w:val="02010609060101010101"/>
    <w:charset w:val="86"/>
    <w:family w:val="modern"/>
    <w:pitch w:val="fixed"/>
    <w:sig w:usb0="800002BF" w:usb1="38CF7CFA" w:usb2="00000016" w:usb3="00000000" w:csb0="00040001"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B60BE" w:rsidRDefault="008E75C5">
    <w:pPr>
      <w:pStyle w:val="a5"/>
      <w:ind w:leftChars="2280" w:left="4788" w:firstLineChars="2000" w:firstLine="6400"/>
      <w:rPr>
        <w:rFonts w:eastAsia="仿宋"/>
        <w:sz w:val="32"/>
        <w:szCs w:val="48"/>
      </w:rPr>
    </w:pPr>
    <w:r>
      <w:rPr>
        <w:noProof/>
        <w:sz w:val="32"/>
      </w:rPr>
      <mc:AlternateContent>
        <mc:Choice Requires="wps">
          <w:drawing>
            <wp:anchor distT="0" distB="0" distL="114300" distR="114300" simplePos="0" relativeHeight="251662336" behindDoc="0" locked="0" layoutInCell="1" allowOverlap="1">
              <wp:simplePos x="0" y="0"/>
              <wp:positionH relativeFrom="margin">
                <wp:align>outside</wp:align>
              </wp:positionH>
              <wp:positionV relativeFrom="paragraph">
                <wp:posOffset>0</wp:posOffset>
              </wp:positionV>
              <wp:extent cx="1828800" cy="1828800"/>
              <wp:effectExtent l="0" t="0" r="0" b="0"/>
              <wp:wrapNone/>
              <wp:docPr id="8" name="文本框 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rsidR="007B60BE" w:rsidRDefault="008E75C5">
                          <w:pPr>
                            <w:pStyle w:val="a4"/>
                          </w:pPr>
                          <w:r>
                            <w:rPr>
                              <w:rFonts w:ascii="宋体" w:eastAsia="宋体" w:hAnsi="宋体" w:cs="宋体" w:hint="eastAsia"/>
                              <w:sz w:val="28"/>
                              <w:szCs w:val="28"/>
                            </w:rPr>
                            <w:fldChar w:fldCharType="begin"/>
                          </w:r>
                          <w:r>
                            <w:rPr>
                              <w:rFonts w:ascii="宋体" w:eastAsia="宋体" w:hAnsi="宋体" w:cs="宋体" w:hint="eastAsia"/>
                              <w:sz w:val="28"/>
                              <w:szCs w:val="28"/>
                            </w:rPr>
                            <w:instrText xml:space="preserve"> PAGE  \* MERGEFORMAT </w:instrText>
                          </w:r>
                          <w:r>
                            <w:rPr>
                              <w:rFonts w:ascii="宋体" w:eastAsia="宋体" w:hAnsi="宋体" w:cs="宋体" w:hint="eastAsia"/>
                              <w:sz w:val="28"/>
                              <w:szCs w:val="28"/>
                            </w:rPr>
                            <w:fldChar w:fldCharType="separate"/>
                          </w:r>
                          <w:r w:rsidR="00DF4D69">
                            <w:rPr>
                              <w:rFonts w:ascii="宋体" w:eastAsia="宋体" w:hAnsi="宋体" w:cs="宋体"/>
                              <w:noProof/>
                              <w:sz w:val="28"/>
                              <w:szCs w:val="28"/>
                            </w:rPr>
                            <w:t>- 3 -</w:t>
                          </w:r>
                          <w:r>
                            <w:rPr>
                              <w:rFonts w:ascii="宋体" w:eastAsia="宋体" w:hAnsi="宋体" w:cs="宋体" w:hint="eastAsia"/>
                              <w:sz w:val="28"/>
                              <w:szCs w:val="28"/>
                            </w:rP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type id="_x0000_t202" coordsize="21600,21600" o:spt="202" path="m,l,21600r21600,l21600,xe">
              <v:stroke joinstyle="miter"/>
              <v:path gradientshapeok="t" o:connecttype="rect"/>
            </v:shapetype>
            <v:shape id="文本框 8" o:spid="_x0000_s1027" type="#_x0000_t202" style="position:absolute;left:0;text-align:left;margin-left:92.8pt;margin-top:0;width:2in;height:2in;z-index:251662336;visibility:visible;mso-wrap-style:none;mso-wrap-distance-left:9pt;mso-wrap-distance-top:0;mso-wrap-distance-right:9pt;mso-wrap-distance-bottom:0;mso-position-horizontal:outside;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" filled="f" stroked="f" strokeweight=".5pt">
              <v:textbox style="mso-fit-shape-to-text:t" inset="0,0,0,0">
                <w:txbxContent>
                  <w:p w:rsidR="007B60BE" w:rsidRDefault="008E75C5">
                    <w:pPr>
                      <w:pStyle w:val="a4"/>
                    </w:pPr>
                    <w:r>
                      <w:rPr>
                        <w:rFonts w:ascii="宋体" w:eastAsia="宋体" w:hAnsi="宋体" w:cs="宋体" w:hint="eastAsia"/>
                        <w:sz w:val="28"/>
                        <w:szCs w:val="28"/>
                      </w:rPr>
                      <w:fldChar w:fldCharType="begin"/>
                    </w:r>
                    <w:r>
                      <w:rPr>
                        <w:rFonts w:ascii="宋体" w:eastAsia="宋体" w:hAnsi="宋体" w:cs="宋体" w:hint="eastAsia"/>
                        <w:sz w:val="28"/>
                        <w:szCs w:val="28"/>
                      </w:rPr>
                      <w:instrText xml:space="preserve"> PAGE  \* MERGEFORMAT </w:instrText>
                    </w:r>
                    <w:r>
                      <w:rPr>
                        <w:rFonts w:ascii="宋体" w:eastAsia="宋体" w:hAnsi="宋体" w:cs="宋体" w:hint="eastAsia"/>
                        <w:sz w:val="28"/>
                        <w:szCs w:val="28"/>
                      </w:rPr>
                      <w:fldChar w:fldCharType="separate"/>
                    </w:r>
                    <w:r w:rsidR="00DF4D69">
                      <w:rPr>
                        <w:rFonts w:ascii="宋体" w:eastAsia="宋体" w:hAnsi="宋体" w:cs="宋体"/>
                        <w:noProof/>
                        <w:sz w:val="28"/>
                        <w:szCs w:val="28"/>
                      </w:rPr>
                      <w:t>- 3 -</w:t>
                    </w:r>
                    <w:r>
                      <w:rPr>
                        <w:rFonts w:ascii="宋体" w:eastAsia="宋体" w:hAnsi="宋体" w:cs="宋体" w:hint="eastAsia"/>
                        <w:sz w:val="28"/>
                        <w:szCs w:val="28"/>
                      </w:rPr>
                      <w:fldChar w:fldCharType="end"/>
                    </w:r>
                  </w:p>
                </w:txbxContent>
              </v:textbox>
              <w10:wrap anchorx="margin"/>
            </v:shape>
          </w:pict>
        </mc:Fallback>
      </mc:AlternateContent>
    </w:r>
    <w:r>
      <w:rPr>
        <w:rFonts w:eastAsia="仿宋" w:hint="eastAsia"/>
        <w:sz w:val="32"/>
        <w:szCs w:val="48"/>
      </w:rPr>
      <w:t xml:space="preserve">  </w:t>
    </w:r>
  </w:p>
  <w:p w:rsidR="007B60BE" w:rsidRDefault="008E75C5">
    <w:pPr>
      <w:pStyle w:val="a5"/>
      <w:wordWrap w:val="0"/>
      <w:ind w:leftChars="2280" w:left="4788" w:firstLineChars="2000" w:firstLine="6400"/>
      <w:jc w:val="right"/>
      <w:rPr>
        <w:rFonts w:ascii="宋体" w:eastAsia="宋体" w:hAnsi="宋体" w:cs="宋体"/>
        <w:b/>
        <w:bCs/>
        <w:color w:val="005192"/>
        <w:sz w:val="28"/>
        <w:szCs w:val="44"/>
      </w:rPr>
    </w:pPr>
    <w:r>
      <w:rPr>
        <w:noProof/>
        <w:color w:val="FAFAFA"/>
        <w:sz w:val="32"/>
      </w:rPr>
      <mc:AlternateContent>
        <mc:Choice Requires="wps">
          <w:drawing>
            <wp:anchor distT="0" distB="0" distL="114300" distR="114300" simplePos="0" relativeHeight="251661312" behindDoc="0" locked="0" layoutInCell="1" allowOverlap="1">
              <wp:simplePos x="0" y="0"/>
              <wp:positionH relativeFrom="column">
                <wp:posOffset>0</wp:posOffset>
              </wp:positionH>
              <wp:positionV relativeFrom="paragraph">
                <wp:posOffset>74295</wp:posOffset>
              </wp:positionV>
              <wp:extent cx="5616575" cy="1905"/>
              <wp:effectExtent l="0" t="10795" r="3175" b="15875"/>
              <wp:wrapNone/>
              <wp:docPr id="5" name="直接连接符 5"/>
              <wp:cNvGraphicFramePr/>
              <a:graphic xmlns:a="http://schemas.openxmlformats.org/drawingml/2006/main">
                <a:graphicData uri="http://schemas.microsoft.com/office/word/2010/wordprocessingShape">
                  <wps:wsp>
                    <wps:cNvCnPr/>
                    <wps:spPr>
                      <a:xfrm>
                        <a:off x="0" y="0"/>
                        <a:ext cx="5616575" cy="1905"/>
                      </a:xfrm>
                      <a:prstGeom prst="line">
                        <a:avLst/>
                      </a:prstGeom>
                      <a:ln w="22225">
                        <a:solidFill>
                          <a:srgbClr val="005192"/>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xmlns:w16se="http://schemas.microsoft.com/office/word/2015/wordml/symex" xmlns:cx="http://schemas.microsoft.com/office/drawing/2014/chartex">
          <w:pict>
            <v:line w14:anchorId="13D23F74" id="直接连接符 5" o:spid="_x0000_s1026" style="position:absolute;left:0;text-align:left;z-index:251661312;visibility:visible;mso-wrap-style:square;mso-wrap-distance-left:9pt;mso-wrap-distance-top:0;mso-wrap-distance-right:9pt;mso-wrap-distance-bottom:0;mso-position-horizontal:absolute;mso-position-horizontal-relative:text;mso-position-vertical:absolute;mso-position-vertical-relative:text" from="0,5.85pt" to="442.25pt,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" strokecolor="#005192" strokeweight="1.75pt">
              <v:stroke joinstyle="miter"/>
            </v:line>
          </w:pict>
        </mc:Fallback>
      </mc:AlternateContent>
    </w:r>
    <w:r>
      <w:rPr>
        <w:rFonts w:eastAsia="仿宋" w:hint="eastAsia"/>
        <w:color w:val="FAFAFA"/>
        <w:sz w:val="32"/>
        <w:szCs w:val="48"/>
      </w:rPr>
      <w:t>X</w:t>
    </w:r>
    <w:r w:rsidR="00E00E4D">
      <w:rPr>
        <w:rFonts w:ascii="宋体" w:eastAsia="宋体" w:hAnsi="宋体" w:cs="宋体" w:hint="eastAsia"/>
        <w:b/>
        <w:bCs/>
        <w:color w:val="005192"/>
        <w:sz w:val="28"/>
        <w:szCs w:val="44"/>
      </w:rPr>
      <w:t>交通运输部</w:t>
    </w:r>
    <w:r>
      <w:rPr>
        <w:rFonts w:ascii="宋体" w:eastAsia="宋体" w:hAnsi="宋体" w:cs="宋体" w:hint="eastAsia"/>
        <w:b/>
        <w:bCs/>
        <w:color w:val="005192"/>
        <w:sz w:val="28"/>
        <w:szCs w:val="44"/>
      </w:rPr>
      <w:t xml:space="preserve">发布     </w:t>
    </w:r>
  </w:p>
  <w:p w:rsidR="007B60BE" w:rsidRDefault="007B60BE">
    <w:pPr>
      <w:pStyle w:val="a5"/>
      <w:wordWrap w:val="0"/>
      <w:ind w:leftChars="2280" w:left="4788" w:firstLineChars="2000" w:firstLine="5622"/>
      <w:jc w:val="right"/>
      <w:rPr>
        <w:rFonts w:ascii="宋体" w:eastAsia="宋体" w:hAnsi="宋体" w:cs="宋体"/>
        <w:b/>
        <w:bCs/>
        <w:color w:val="005192"/>
        <w:sz w:val="28"/>
        <w:szCs w:val="44"/>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3C72A2" w:rsidRDefault="003C72A2">
      <w:r>
        <w:separator/>
      </w:r>
    </w:p>
  </w:footnote>
  <w:footnote w:type="continuationSeparator" w:id="0">
    <w:p w:rsidR="003C72A2" w:rsidRDefault="003C72A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B60BE" w:rsidRDefault="008E75C5">
    <w:pPr>
      <w:pStyle w:val="a5"/>
      <w:textAlignment w:val="center"/>
      <w:rPr>
        <w:rFonts w:ascii="宋体" w:eastAsia="宋体" w:hAnsi="宋体" w:cs="宋体"/>
        <w:b/>
        <w:bCs/>
        <w:color w:val="005192"/>
        <w:sz w:val="32"/>
      </w:rPr>
    </w:pPr>
    <w:r>
      <w:rPr>
        <w:rFonts w:ascii="宋体" w:eastAsia="宋体" w:hAnsi="宋体" w:cs="宋体" w:hint="eastAsia"/>
        <w:b/>
        <w:bCs/>
        <w:noProof/>
        <w:color w:val="005192"/>
        <w:sz w:val="32"/>
      </w:rPr>
      <mc:AlternateContent>
        <mc:Choice Requires="wps">
          <w:drawing>
            <wp:anchor distT="0" distB="0" distL="114300" distR="114300" simplePos="0" relativeHeight="251660288" behindDoc="0" locked="0" layoutInCell="1" allowOverlap="1">
              <wp:simplePos x="0" y="0"/>
              <wp:positionH relativeFrom="column">
                <wp:posOffset>-3810</wp:posOffset>
              </wp:positionH>
              <wp:positionV relativeFrom="paragraph">
                <wp:posOffset>690245</wp:posOffset>
              </wp:positionV>
              <wp:extent cx="5620385" cy="0"/>
              <wp:effectExtent l="0" t="12700" r="18415" b="15875"/>
              <wp:wrapNone/>
              <wp:docPr id="4" name="直接连接符 4"/>
              <wp:cNvGraphicFramePr/>
              <a:graphic xmlns:a="http://schemas.openxmlformats.org/drawingml/2006/main">
                <a:graphicData uri="http://schemas.microsoft.com/office/word/2010/wordprocessingShape">
                  <wps:wsp>
                    <wps:cNvCnPr/>
                    <wps:spPr>
                      <a:xfrm>
                        <a:off x="4133850" y="864870"/>
                        <a:ext cx="5620385" cy="0"/>
                      </a:xfrm>
                      <a:prstGeom prst="line">
                        <a:avLst/>
                      </a:prstGeom>
                      <a:ln w="22225">
                        <a:solidFill>
                          <a:srgbClr val="005192"/>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xmlns:w16se="http://schemas.microsoft.com/office/word/2015/wordml/symex" xmlns:cx="http://schemas.microsoft.com/office/drawing/2014/chartex">
          <w:pict>
            <v:line w14:anchorId="472BD4A9" id="直接连接符 4" o:spid="_x0000_s1026" style="position:absolute;left:0;text-align:left;z-index:251660288;visibility:visible;mso-wrap-style:square;mso-wrap-distance-left:9pt;mso-wrap-distance-top:0;mso-wrap-distance-right:9pt;mso-wrap-distance-bottom:0;mso-position-horizontal:absolute;mso-position-horizontal-relative:text;mso-position-vertical:absolute;mso-position-vertical-relative:text" from="-.3pt,54.35pt" to="442.25pt,54.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" strokecolor="#005192" strokeweight="1.75pt">
              <v:stroke joinstyle="miter"/>
            </v:line>
          </w:pict>
        </mc:Fallback>
      </mc:AlternateContent>
    </w:r>
  </w:p>
  <w:p w:rsidR="007B60BE" w:rsidRDefault="008E75C5">
    <w:pPr>
      <w:pStyle w:val="a5"/>
      <w:textAlignment w:val="center"/>
      <w:rPr>
        <w:rFonts w:ascii="宋体" w:eastAsia="宋体" w:hAnsi="宋体" w:cs="宋体"/>
        <w:b/>
        <w:bCs/>
        <w:color w:val="005192"/>
        <w:sz w:val="32"/>
        <w:szCs w:val="32"/>
      </w:rPr>
    </w:pPr>
    <w:r>
      <w:rPr>
        <w:rFonts w:ascii="宋体" w:eastAsia="宋体" w:hAnsi="宋体" w:cs="宋体" w:hint="eastAsia"/>
        <w:b/>
        <w:bCs/>
        <w:noProof/>
        <w:color w:val="005192"/>
        <w:sz w:val="32"/>
      </w:rPr>
      <w:drawing>
        <wp:inline distT="0" distB="0" distL="114300" distR="114300">
          <wp:extent cx="308610" cy="308610"/>
          <wp:effectExtent l="0" t="0" r="11430" b="11430"/>
          <wp:docPr id="6" name="图片 6" descr="国徽10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6" descr="国徽1024"/>
                  <pic:cNvPicPr>
                    <a:picLocks noChangeAspect="1"/>
                  </pic:cNvPicPr>
                </pic:nvPicPr>
                <pic:blipFill>
                  <a:blip r:embed="rId1"/>
                  <a:stretch>
                    <a:fillRect/>
                  </a:stretch>
                </pic:blipFill>
                <pic:spPr>
                  <a:xfrm>
                    <a:off x="0" y="0"/>
                    <a:ext cx="308610" cy="308610"/>
                  </a:xfrm>
                  <a:prstGeom prst="rect">
                    <a:avLst/>
                  </a:prstGeom>
                </pic:spPr>
              </pic:pic>
            </a:graphicData>
          </a:graphic>
        </wp:inline>
      </w:drawing>
    </w:r>
    <w:r w:rsidR="00E00E4D">
      <w:rPr>
        <w:rFonts w:ascii="宋体" w:eastAsia="宋体" w:hAnsi="宋体" w:cs="宋体" w:hint="eastAsia"/>
        <w:b/>
        <w:bCs/>
        <w:color w:val="005192"/>
        <w:sz w:val="32"/>
        <w:szCs w:val="32"/>
      </w:rPr>
      <w:t>交通</w:t>
    </w:r>
    <w:r w:rsidR="00E00E4D">
      <w:rPr>
        <w:rFonts w:ascii="宋体" w:eastAsia="宋体" w:hAnsi="宋体" w:cs="宋体"/>
        <w:b/>
        <w:bCs/>
        <w:color w:val="005192"/>
        <w:sz w:val="32"/>
        <w:szCs w:val="32"/>
      </w:rPr>
      <w:t>运输部</w:t>
    </w:r>
    <w:r>
      <w:rPr>
        <w:rFonts w:ascii="宋体" w:eastAsia="宋体" w:hAnsi="宋体" w:cs="宋体" w:hint="eastAsia"/>
        <w:b/>
        <w:bCs/>
        <w:color w:val="005192"/>
        <w:sz w:val="32"/>
        <w:szCs w:val="32"/>
      </w:rPr>
      <w:t>规章</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72A27"/>
    <w:rsid w:val="00172A27"/>
    <w:rsid w:val="003C72A2"/>
    <w:rsid w:val="00493AAA"/>
    <w:rsid w:val="004F54C2"/>
    <w:rsid w:val="007B60BE"/>
    <w:rsid w:val="008E75C5"/>
    <w:rsid w:val="00A84180"/>
    <w:rsid w:val="00DF4D69"/>
    <w:rsid w:val="00E00E4D"/>
    <w:rsid w:val="019E71BD"/>
    <w:rsid w:val="04B679C3"/>
    <w:rsid w:val="080F63D8"/>
    <w:rsid w:val="09341458"/>
    <w:rsid w:val="0B0912D7"/>
    <w:rsid w:val="152D2DCA"/>
    <w:rsid w:val="1DEC284C"/>
    <w:rsid w:val="1E6523AC"/>
    <w:rsid w:val="22440422"/>
    <w:rsid w:val="31A15F24"/>
    <w:rsid w:val="395347B5"/>
    <w:rsid w:val="39A232A0"/>
    <w:rsid w:val="39E745AA"/>
    <w:rsid w:val="3B5A6BBB"/>
    <w:rsid w:val="3EDA13A6"/>
    <w:rsid w:val="42F058B7"/>
    <w:rsid w:val="436109F6"/>
    <w:rsid w:val="441A38D4"/>
    <w:rsid w:val="4BC77339"/>
    <w:rsid w:val="4C9236C5"/>
    <w:rsid w:val="505C172E"/>
    <w:rsid w:val="52F46F0B"/>
    <w:rsid w:val="53D8014D"/>
    <w:rsid w:val="55E064E0"/>
    <w:rsid w:val="572C6D10"/>
    <w:rsid w:val="5DC34279"/>
    <w:rsid w:val="608816D1"/>
    <w:rsid w:val="60EF4E7F"/>
    <w:rsid w:val="665233C1"/>
    <w:rsid w:val="6AD9688B"/>
    <w:rsid w:val="6D0E3F22"/>
    <w:rsid w:val="7C9011D9"/>
    <w:rsid w:val="7DC651C5"/>
    <w:rsid w:val="7FCC283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fillcolor="white">
      <v:fill color="white"/>
    </o:shapedefaults>
    <o:shapelayout v:ext="edit">
      <o:idmap v:ext="edit" data="1"/>
    </o:shapelayout>
  </w:shapeDefaults>
  <w:decimalSymbol w:val="."/>
  <w:listSeparator w:val=","/>
  <w15:docId w15:val="{F5705FCB-0A94-41D2-AE87-6917B93E20B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annotation text" w:qFormat="1"/>
    <w:lsdException w:name="header" w:qFormat="1"/>
    <w:lsdException w:name="footer" w:qFormat="1"/>
    <w:lsdException w:name="caption" w:semiHidden="1" w:unhideWhenUsed="1" w:qFormat="1"/>
    <w:lsdException w:name="Title" w:qFormat="1"/>
    <w:lsdException w:name="Default Paragraph Font" w:semiHidden="1" w:qFormat="1"/>
    <w:lsdException w:name="Subtitle" w:qFormat="1"/>
    <w:lsdException w:name="Strong" w:qFormat="1"/>
    <w:lsdException w:name="Emphasis" w:qFormat="1"/>
    <w:lsdException w:name="HTML Top of Form" w:semiHidden="1" w:uiPriority="99" w:unhideWhenUsed="1"/>
    <w:lsdException w:name="HTML Bottom of Form" w:semiHidden="1" w:uiPriority="99" w:unhideWhenUsed="1"/>
    <w:lsdException w:name="Normal Table" w:semiHidden="1" w:unhideWhenUsed="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99"/>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99"/>
    <w:lsdException w:name="Quote" w:uiPriority="99"/>
    <w:lsdException w:name="Intense Quote" w:uiPriority="99"/>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rPr>
      <w:rFonts w:asciiTheme="minorHAnsi" w:eastAsiaTheme="minorEastAsia" w:hAnsiTheme="minorHAnsi" w:cstheme="minorBidi"/>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annotation text"/>
    <w:basedOn w:val="a"/>
    <w:qFormat/>
    <w:pPr>
      <w:jc w:val="left"/>
    </w:pPr>
  </w:style>
  <w:style w:type="paragraph" w:styleId="a4">
    <w:name w:val="footer"/>
    <w:basedOn w:val="a"/>
    <w:qFormat/>
    <w:pPr>
      <w:tabs>
        <w:tab w:val="center" w:pos="4153"/>
        <w:tab w:val="right" w:pos="8306"/>
      </w:tabs>
      <w:snapToGrid w:val="0"/>
      <w:jc w:val="left"/>
    </w:pPr>
    <w:rPr>
      <w:sz w:val="18"/>
    </w:rPr>
  </w:style>
  <w:style w:type="paragraph" w:styleId="a5">
    <w:name w:val="header"/>
    <w:basedOn w:val="a"/>
    <w:qFormat/>
    <w:pPr>
      <w:pBdr>
        <w:top w:val="none" w:sz="0" w:space="1" w:color="auto"/>
        <w:left w:val="none" w:sz="0" w:space="4" w:color="auto"/>
        <w:bottom w:val="none" w:sz="0" w:space="1" w:color="auto"/>
        <w:right w:val="none" w:sz="0" w:space="4" w:color="auto"/>
      </w:pBdr>
      <w:tabs>
        <w:tab w:val="center" w:pos="4153"/>
        <w:tab w:val="right" w:pos="8306"/>
      </w:tabs>
      <w:snapToGrid w:val="0"/>
    </w:pPr>
    <w:rPr>
      <w:sz w:val="18"/>
    </w:rPr>
  </w:style>
  <w:style w:type="character" w:styleId="a6">
    <w:name w:val="annotation reference"/>
    <w:basedOn w:val="a0"/>
    <w:rPr>
      <w:sz w:val="21"/>
      <w:szCs w:val="21"/>
    </w:rPr>
  </w:style>
  <w:style w:type="paragraph" w:styleId="a7">
    <w:name w:val="Balloon Text"/>
    <w:basedOn w:val="a"/>
    <w:link w:val="Char"/>
    <w:rsid w:val="004F54C2"/>
    <w:rPr>
      <w:sz w:val="18"/>
      <w:szCs w:val="18"/>
    </w:rPr>
  </w:style>
  <w:style w:type="character" w:customStyle="1" w:styleId="Char">
    <w:name w:val="批注框文本 Char"/>
    <w:basedOn w:val="a0"/>
    <w:link w:val="a7"/>
    <w:rsid w:val="004F54C2"/>
    <w:rPr>
      <w:rFonts w:asciiTheme="minorHAnsi" w:eastAsiaTheme="minorEastAsia" w:hAnsiTheme="minorHAnsi" w:cstheme="minorBidi"/>
      <w:kern w:val="2"/>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3</Pages>
  <Words>124</Words>
  <Characters>707</Characters>
  <Application>Microsoft Office Word</Application>
  <DocSecurity>0</DocSecurity>
  <Lines>5</Lines>
  <Paragraphs>1</Paragraphs>
  <ScaleCrop>false</ScaleCrop>
  <Company>China</Company>
  <LinksUpToDate>false</LinksUpToDate>
  <CharactersWithSpaces>830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dc:creator>
  <cp:lastModifiedBy>USER</cp:lastModifiedBy>
  <cp:revision>5</cp:revision>
  <cp:lastPrinted>2021-10-26T03:30:00Z</cp:lastPrinted>
  <dcterms:created xsi:type="dcterms:W3CDTF">2021-12-20T07:29:00Z</dcterms:created>
  <dcterms:modified xsi:type="dcterms:W3CDTF">2022-08-09T08:17:00Z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2052-11.1.0.10700</vt:lpwstr>
  </property>
  <property fmtid="{D5CDD505-2E9C-101B-9397-08002B2CF9AE}" pid="3" name="ICV">
    <vt:lpwstr>48C61CB29D3F4D9384F5922CF0F7FFB4</vt:lpwstr>
  </property>
</Properties>
</file>