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6" w:rsidRDefault="000277E6" w:rsidP="00441D7F">
      <w:pPr>
        <w:jc w:val="center"/>
        <w:rPr>
          <w:rFonts w:asciiTheme="minorEastAsia" w:hAnsiTheme="minorEastAsia" w:cstheme="minorEastAsia" w:hint="eastAsia"/>
          <w:sz w:val="44"/>
          <w:szCs w:val="44"/>
        </w:rPr>
      </w:pPr>
    </w:p>
    <w:p w:rsidR="000277E6" w:rsidRDefault="000277E6" w:rsidP="00441D7F">
      <w:pPr>
        <w:rPr>
          <w:rFonts w:asciiTheme="minorEastAsia" w:hAnsiTheme="minorEastAsia" w:cstheme="minorEastAsia"/>
          <w:sz w:val="44"/>
          <w:szCs w:val="44"/>
        </w:rPr>
      </w:pPr>
    </w:p>
    <w:p w:rsidR="00441D7F" w:rsidRPr="00030F73" w:rsidRDefault="00441D7F" w:rsidP="00441D7F">
      <w:pPr>
        <w:jc w:val="center"/>
        <w:rPr>
          <w:rFonts w:ascii="宋体" w:hAnsi="宋体"/>
          <w:sz w:val="44"/>
          <w:szCs w:val="32"/>
        </w:rPr>
      </w:pPr>
      <w:r w:rsidRPr="00030F73">
        <w:rPr>
          <w:rFonts w:ascii="宋体" w:hAnsi="宋体"/>
          <w:sz w:val="44"/>
          <w:szCs w:val="32"/>
        </w:rPr>
        <w:t xml:space="preserve">中华人民共和国船舶安全监督规则 </w:t>
      </w:r>
    </w:p>
    <w:p w:rsidR="00441D7F" w:rsidRPr="00030F73" w:rsidRDefault="00441D7F" w:rsidP="00441D7F">
      <w:pPr>
        <w:ind w:firstLineChars="200" w:firstLine="640"/>
        <w:rPr>
          <w:rFonts w:ascii="楷体_GB2312" w:eastAsia="楷体_GB2312" w:hAnsi="Times New Roman" w:hint="eastAsia"/>
          <w:sz w:val="32"/>
          <w:szCs w:val="32"/>
        </w:rPr>
      </w:pPr>
      <w:r w:rsidRPr="00030F73">
        <w:rPr>
          <w:rFonts w:ascii="楷体_GB2312" w:eastAsia="楷体_GB2312" w:hAnsi="Times New Roman" w:hint="eastAsia"/>
          <w:sz w:val="32"/>
          <w:szCs w:val="28"/>
        </w:rPr>
        <w:t>（2017年5月23日交通运输部公布  根据2020年3月16日《交通运输部关于修改〈中华人民共和国船舶安全监督规则〉的决定》第一次修正  根据2022年9月26日《交通运输部关于修改〈中华人民共和国船舶安全监督规则〉的决定》第二次修正）</w:t>
      </w:r>
    </w:p>
    <w:p w:rsidR="00441D7F" w:rsidRDefault="00441D7F" w:rsidP="00441D7F">
      <w:pPr>
        <w:ind w:firstLineChars="200" w:firstLine="640"/>
        <w:rPr>
          <w:rFonts w:ascii="Times New Roman" w:eastAsia="仿宋_GB2312" w:hAnsi="Times New Roman"/>
          <w:sz w:val="32"/>
          <w:szCs w:val="32"/>
        </w:rPr>
      </w:pPr>
      <w:bookmarkStart w:id="0" w:name="_GoBack"/>
      <w:bookmarkEnd w:id="0"/>
    </w:p>
    <w:p w:rsidR="00441D7F" w:rsidRDefault="00441D7F" w:rsidP="00441D7F">
      <w:pPr>
        <w:jc w:val="center"/>
        <w:rPr>
          <w:rFonts w:ascii="Times New Roman" w:eastAsia="黑体" w:hAnsi="Times New Roman"/>
          <w:sz w:val="32"/>
          <w:szCs w:val="32"/>
        </w:rPr>
      </w:pPr>
      <w:r>
        <w:rPr>
          <w:rFonts w:ascii="Times New Roman" w:eastAsia="黑体" w:hAnsi="Times New Roman"/>
          <w:sz w:val="32"/>
          <w:szCs w:val="32"/>
        </w:rPr>
        <w:t>第一章　总　则</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第一条</w:t>
      </w:r>
      <w:r>
        <w:rPr>
          <w:rFonts w:ascii="Times New Roman" w:eastAsia="仿宋_GB2312" w:hAnsi="Times New Roman"/>
          <w:sz w:val="32"/>
          <w:szCs w:val="32"/>
        </w:rPr>
        <w:t xml:space="preserve">　为了保障水上人命、财产安全，防止船舶造成水域污染，规范船舶安全监督工作，根据《中华人民共和国海上交通安全法》《中华人民共和国海洋环境保护法》《中华人民共和国港口法》《中华人民共和国内河交通安全管理条例》《中华人民共和国船员条例》等法律法规和我国缔结或者加入的有关国际公约的规定，制定本规则。</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第二条</w:t>
      </w:r>
      <w:r>
        <w:rPr>
          <w:rFonts w:ascii="Times New Roman" w:eastAsia="仿宋_GB2312" w:hAnsi="Times New Roman"/>
          <w:sz w:val="32"/>
          <w:szCs w:val="32"/>
        </w:rPr>
        <w:t xml:space="preserve">　本规则适用于对中国籍船舶和水上设施以及航行、停泊、作业于我国管辖水域的外国籍船舶实施的安全监督工作。</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本规则不适用于军事船舶、渔业船舶和体育运动船艇。</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第三条</w:t>
      </w:r>
      <w:r>
        <w:rPr>
          <w:rFonts w:ascii="Times New Roman" w:eastAsia="仿宋_GB2312" w:hAnsi="Times New Roman"/>
          <w:sz w:val="32"/>
          <w:szCs w:val="32"/>
        </w:rPr>
        <w:t xml:space="preserve">　船舶安全监督管理遵循依法、公正、诚信、便民的原则。</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第四条</w:t>
      </w:r>
      <w:r>
        <w:rPr>
          <w:rFonts w:ascii="Times New Roman" w:eastAsia="仿宋_GB2312" w:hAnsi="Times New Roman"/>
          <w:sz w:val="32"/>
          <w:szCs w:val="32"/>
        </w:rPr>
        <w:t xml:space="preserve">　交通运输部主管全国船舶安全监督工作。</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国家海事管理机构统一负责全国船舶安全监督工作。</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各级海事管理机构按照职责和授权开展船舶安全监督工作。</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第五条</w:t>
      </w:r>
      <w:r>
        <w:rPr>
          <w:rFonts w:ascii="Times New Roman" w:eastAsia="仿宋_GB2312" w:hAnsi="Times New Roman"/>
          <w:sz w:val="32"/>
          <w:szCs w:val="32"/>
        </w:rPr>
        <w:t xml:space="preserve">　本规则所称船舶安全监督，是指海事管理机构依法对船舶及其从事的相关活动是否符合法律、法规、规章以及有关国际公约和港口国监督区域性合作组织的规定而实施的安全监督管理活动。船舶安全监督分为船舶现场监督和船舶安全检查。</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船舶现场监督，是指海事管理机构对船舶实施的日常安全监督抽查活动。</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船舶安全检查，是指海事管理机构按照一定的时间间隔对船舶的安全和防污染技术状况、船员配备及适任状况、海事劳工条件实施的安全监督检查活动，包括船旗国监督检查和港口国监督检查。</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第六条</w:t>
      </w:r>
      <w:r>
        <w:rPr>
          <w:rFonts w:ascii="Times New Roman" w:eastAsia="仿宋_GB2312" w:hAnsi="Times New Roman"/>
          <w:sz w:val="32"/>
          <w:szCs w:val="32"/>
        </w:rPr>
        <w:t xml:space="preserve">　海事管理机构应当配备必要的人员、装备、资料等，以满足船舶安全监督管理工作的需要。</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第七条</w:t>
      </w:r>
      <w:r>
        <w:rPr>
          <w:rFonts w:ascii="Times New Roman" w:eastAsia="仿宋_GB2312" w:hAnsi="Times New Roman"/>
          <w:sz w:val="32"/>
          <w:szCs w:val="32"/>
        </w:rPr>
        <w:t xml:space="preserve">　船舶现场监督应当由具备相应职责的海事行政执法人员实施。</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第八条</w:t>
      </w:r>
      <w:r>
        <w:rPr>
          <w:rFonts w:ascii="Times New Roman" w:eastAsia="仿宋_GB2312" w:hAnsi="Times New Roman"/>
          <w:sz w:val="32"/>
          <w:szCs w:val="32"/>
        </w:rPr>
        <w:t xml:space="preserve">　从事船舶安全检查的海事行政执法人员应当取得相应等级的资格证书，并不断更新知识。</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第九条</w:t>
      </w:r>
      <w:r>
        <w:rPr>
          <w:rFonts w:ascii="Times New Roman" w:eastAsia="仿宋_GB2312" w:hAnsi="Times New Roman"/>
          <w:sz w:val="32"/>
          <w:szCs w:val="32"/>
        </w:rPr>
        <w:t xml:space="preserve">　海事管理机构应当建立对船舶安全状况的社会监督机制，公布举报、投诉渠道，完善举报和投诉处理机制。</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海事管理机构应当为举报人、投诉人保守秘密。</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第二章　船舶进出港报告</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第十条</w:t>
      </w:r>
      <w:r>
        <w:rPr>
          <w:rFonts w:ascii="Times New Roman" w:eastAsia="仿宋_GB2312" w:hAnsi="Times New Roman"/>
          <w:sz w:val="32"/>
          <w:szCs w:val="32"/>
        </w:rPr>
        <w:t xml:space="preserve">　中国籍船舶在我国管辖水域内航行应当按照规定实施船舶进出港报告。</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第十一条</w:t>
      </w:r>
      <w:r>
        <w:rPr>
          <w:rFonts w:ascii="Times New Roman" w:eastAsia="仿宋_GB2312" w:hAnsi="Times New Roman"/>
          <w:sz w:val="32"/>
          <w:szCs w:val="32"/>
        </w:rPr>
        <w:t xml:space="preserve">　船舶应当在预计离港或者抵港</w:t>
      </w:r>
      <w:r>
        <w:rPr>
          <w:rFonts w:ascii="Times New Roman" w:eastAsia="仿宋_GB2312" w:hAnsi="Times New Roman"/>
          <w:sz w:val="32"/>
          <w:szCs w:val="32"/>
        </w:rPr>
        <w:t>4</w:t>
      </w:r>
      <w:r>
        <w:rPr>
          <w:rFonts w:ascii="Times New Roman" w:eastAsia="仿宋_GB2312" w:hAnsi="Times New Roman"/>
          <w:sz w:val="32"/>
          <w:szCs w:val="32"/>
        </w:rPr>
        <w:t>小时前向将要离泊或者抵达港口的海事管理机构报告进出港信息。航程不足</w:t>
      </w:r>
      <w:r>
        <w:rPr>
          <w:rFonts w:ascii="Times New Roman" w:eastAsia="仿宋_GB2312" w:hAnsi="Times New Roman"/>
          <w:sz w:val="32"/>
          <w:szCs w:val="32"/>
        </w:rPr>
        <w:t>4</w:t>
      </w:r>
      <w:r>
        <w:rPr>
          <w:rFonts w:ascii="Times New Roman" w:eastAsia="仿宋_GB2312" w:hAnsi="Times New Roman"/>
          <w:sz w:val="32"/>
          <w:szCs w:val="32"/>
        </w:rPr>
        <w:t>小时的，在驶离上一港口时报告。</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船舶在固定航线航行且单次航程不超过</w:t>
      </w:r>
      <w:r>
        <w:rPr>
          <w:rFonts w:ascii="Times New Roman" w:eastAsia="仿宋_GB2312" w:hAnsi="Times New Roman"/>
          <w:sz w:val="32"/>
          <w:szCs w:val="32"/>
        </w:rPr>
        <w:t>2</w:t>
      </w:r>
      <w:r>
        <w:rPr>
          <w:rFonts w:ascii="Times New Roman" w:eastAsia="仿宋_GB2312" w:hAnsi="Times New Roman"/>
          <w:sz w:val="32"/>
          <w:szCs w:val="32"/>
        </w:rPr>
        <w:t>小时的，可以每天至少报告一次进出港信息。</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船舶应当对报告的完整性和真实性负责。</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第十二条</w:t>
      </w:r>
      <w:r>
        <w:rPr>
          <w:rFonts w:ascii="Times New Roman" w:eastAsia="仿宋_GB2312" w:hAnsi="Times New Roman"/>
          <w:sz w:val="32"/>
          <w:szCs w:val="32"/>
        </w:rPr>
        <w:t xml:space="preserve">　船舶报告的进出港信息应当包括航次动态、在船人员信息、客货载运信息、拟抵离时间和地点等。</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第十三条</w:t>
      </w:r>
      <w:r>
        <w:rPr>
          <w:rFonts w:ascii="Times New Roman" w:eastAsia="仿宋_GB2312" w:hAnsi="Times New Roman"/>
          <w:sz w:val="32"/>
          <w:szCs w:val="32"/>
        </w:rPr>
        <w:t xml:space="preserve">　船舶可以通过互联网、传真、短信等方式报告船</w:t>
      </w:r>
      <w:r>
        <w:rPr>
          <w:rFonts w:ascii="Times New Roman" w:eastAsia="仿宋_GB2312" w:hAnsi="Times New Roman"/>
          <w:sz w:val="32"/>
          <w:szCs w:val="32"/>
        </w:rPr>
        <w:lastRenderedPageBreak/>
        <w:t>舶进出港信息，并在船舶航海或者航行日志内作相应的记载。</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第十四条</w:t>
      </w:r>
      <w:r>
        <w:rPr>
          <w:rFonts w:ascii="Times New Roman" w:eastAsia="仿宋_GB2312" w:hAnsi="Times New Roman"/>
          <w:sz w:val="32"/>
          <w:szCs w:val="32"/>
        </w:rPr>
        <w:t xml:space="preserve">　海事管理机构与水路运输管理部门应当建立信息平台，共享船舶进出港信息。</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第三章　船舶综合质量管理</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第十五条</w:t>
      </w:r>
      <w:r>
        <w:rPr>
          <w:rFonts w:ascii="Times New Roman" w:eastAsia="仿宋_GB2312" w:hAnsi="Times New Roman"/>
          <w:sz w:val="32"/>
          <w:szCs w:val="32"/>
        </w:rPr>
        <w:t xml:space="preserve">　海事管理机构应当建立统一的船舶综合质量管理信息平台，收集、处理船舶相关信息，建立船舶综合质量档案。</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第十六条</w:t>
      </w:r>
      <w:r>
        <w:rPr>
          <w:rFonts w:ascii="Times New Roman" w:eastAsia="仿宋_GB2312" w:hAnsi="Times New Roman"/>
          <w:sz w:val="32"/>
          <w:szCs w:val="32"/>
        </w:rPr>
        <w:t xml:space="preserve">　船舶综合质量管理信息平台应当包括下列信息：</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（一）船舶基本信息；</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（二）船舶安全与防污染管理相关规定落实情况；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（三）水上交通事故情况和污染事故情况；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（四）水上交通安全违法行为被海事管理机构行政处罚情况；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（五）船舶接受安全监督的情况；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（六）航运公司和船舶的安全诚信情况；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（七）船舶进出港报告或者办理进出港手续情况；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（八）按照相关规定缴纳相关费税情况；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（九）船舶检验技术状况。</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第十七条</w:t>
      </w:r>
      <w:r>
        <w:rPr>
          <w:rFonts w:ascii="Times New Roman" w:eastAsia="仿宋_GB2312" w:hAnsi="Times New Roman"/>
          <w:sz w:val="32"/>
          <w:szCs w:val="32"/>
        </w:rPr>
        <w:t xml:space="preserve">　海事管理机构应当按照第十六条所述信息开展船舶综合质量评定，综合质量评定结果应当向社会公开。</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黑体" w:hAnsi="Times New Roman"/>
          <w:sz w:val="32"/>
          <w:szCs w:val="32"/>
        </w:rPr>
      </w:pPr>
      <w:r>
        <w:rPr>
          <w:rFonts w:ascii="Times New Roman" w:eastAsia="黑体" w:hAnsi="Times New Roman"/>
          <w:sz w:val="32"/>
          <w:szCs w:val="32"/>
        </w:rPr>
        <w:t>第四章　船舶安全监督</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楷体_GB2312" w:hAnsi="Times New Roman"/>
          <w:sz w:val="32"/>
          <w:szCs w:val="32"/>
        </w:rPr>
      </w:pPr>
      <w:r>
        <w:rPr>
          <w:rFonts w:ascii="Times New Roman" w:eastAsia="楷体_GB2312" w:hAnsi="Times New Roman"/>
          <w:sz w:val="32"/>
          <w:szCs w:val="32"/>
        </w:rPr>
        <w:t>第一节　安全监督目标船舶的选择</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第十八条</w:t>
      </w:r>
      <w:r>
        <w:rPr>
          <w:rFonts w:ascii="Times New Roman" w:eastAsia="仿宋_GB2312" w:hAnsi="Times New Roman"/>
          <w:sz w:val="32"/>
          <w:szCs w:val="32"/>
        </w:rPr>
        <w:t xml:space="preserve">　海事管理机构对船舶实施安全监督，应当减少对船舶正常生产作业造成的不必要影响。</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第十九条</w:t>
      </w:r>
      <w:r>
        <w:rPr>
          <w:rFonts w:ascii="Times New Roman" w:eastAsia="仿宋_GB2312" w:hAnsi="Times New Roman"/>
          <w:sz w:val="32"/>
          <w:szCs w:val="32"/>
        </w:rPr>
        <w:t xml:space="preserve">　国家海事管理机构应当制定安全监督目标船舶选择标准。</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海事管理机构应当结合辖区实际情况，按照全面覆盖、重点突出、公开便利的原则，依据我国加入的港口国监督区域性合作组织和国家海事管理机构规定的目标船舶选择标准，综合考虑船舶类型、船龄、以往接受船舶安全监督的缺陷、航运公司安全管理情况等，按照规定的时间间隔，选择船舶实施船舶安全监督。</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第二十条</w:t>
      </w:r>
      <w:r>
        <w:rPr>
          <w:rFonts w:ascii="Times New Roman" w:eastAsia="仿宋_GB2312" w:hAnsi="Times New Roman"/>
          <w:sz w:val="32"/>
          <w:szCs w:val="32"/>
        </w:rPr>
        <w:t xml:space="preserve">　按照目标船舶选择标准未列入选船目标的船舶，海事管理机构原则上不登轮实施船舶安全监督，但按照第二十一条规定开展专项检查的除外。</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第二十一条</w:t>
      </w:r>
      <w:r>
        <w:rPr>
          <w:rFonts w:ascii="Times New Roman" w:eastAsia="仿宋_GB2312" w:hAnsi="Times New Roman"/>
          <w:sz w:val="32"/>
          <w:szCs w:val="32"/>
        </w:rPr>
        <w:t xml:space="preserve">　国家重要节假日、重大活动期间，或者针对特定水域、特定安全事项、特定船舶需要进行检查的，海事管理机构可以综合运用船舶安全检查和船舶现场监督等形式，开展专项检查。</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楷体_GB2312" w:hAnsi="Times New Roman"/>
          <w:sz w:val="32"/>
          <w:szCs w:val="32"/>
        </w:rPr>
      </w:pPr>
      <w:r>
        <w:rPr>
          <w:rFonts w:ascii="Times New Roman" w:eastAsia="楷体_GB2312" w:hAnsi="Times New Roman"/>
          <w:sz w:val="32"/>
          <w:szCs w:val="32"/>
        </w:rPr>
        <w:t>第二节　船舶安全监督</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第二十二条</w:t>
      </w:r>
      <w:r>
        <w:rPr>
          <w:rFonts w:ascii="Times New Roman" w:eastAsia="仿宋_GB2312" w:hAnsi="Times New Roman"/>
          <w:sz w:val="32"/>
          <w:szCs w:val="32"/>
        </w:rPr>
        <w:t xml:space="preserve">　船舶现场监督的内容包括：</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（一）中国籍船舶自查情况；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（二）法定证书文书配备及记录情况；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（三）船员配备情况；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（四）客货载运及货物系固绑扎情况；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（五）船舶防污染措施落实情况；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（六）船舶航行、停泊、作业情况；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（七）船舶进出港报告或者办理进出港手续情况；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（八）按照相关规定缴纳相关费税情况。</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第二十三条</w:t>
      </w:r>
      <w:r>
        <w:rPr>
          <w:rFonts w:ascii="Times New Roman" w:eastAsia="仿宋_GB2312" w:hAnsi="Times New Roman"/>
          <w:sz w:val="32"/>
          <w:szCs w:val="32"/>
        </w:rPr>
        <w:t xml:space="preserve">　船舶安全检查的内容包括：</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（一）船舶配员情况；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（二）船舶、船员配备和持有有关法定证书文书及相关资料</w:t>
      </w:r>
      <w:r>
        <w:rPr>
          <w:rFonts w:ascii="Times New Roman" w:eastAsia="仿宋_GB2312" w:hAnsi="Times New Roman"/>
          <w:sz w:val="32"/>
          <w:szCs w:val="32"/>
        </w:rPr>
        <w:lastRenderedPageBreak/>
        <w:t>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（三）船舶结构、设施和设备情况；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（四）客货载运及货物系固绑扎情况；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（五）船舶保安相关情况；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（六）船员履行其岗位职责的情况，包括对其岗位职责相关的设施、设备的维护保养和实际操作能力等；</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（七）海事劳工条件；</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（八）船舶安全管理体系运行情况；</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（九）法律、法规、规章以及我国缔结、加入的有关国际公约要求的其他检查内容。</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第二十四条</w:t>
      </w:r>
      <w:r>
        <w:rPr>
          <w:rFonts w:ascii="Times New Roman" w:eastAsia="仿宋_GB2312" w:hAnsi="Times New Roman"/>
          <w:sz w:val="32"/>
          <w:szCs w:val="32"/>
        </w:rPr>
        <w:t xml:space="preserve">　海事管理机构应当按照船舶安全监督的内容，制定相应的工作程序，规范船舶安全监督活动。</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第二十五条</w:t>
      </w:r>
      <w:r>
        <w:rPr>
          <w:rFonts w:ascii="Times New Roman" w:eastAsia="仿宋_GB2312" w:hAnsi="Times New Roman"/>
          <w:sz w:val="32"/>
          <w:szCs w:val="32"/>
        </w:rPr>
        <w:t xml:space="preserve">　海事管理机构完成船舶安全监督后应当签发相应的《船舶现场监督报告》《船旗国监督检查报告》或者《港口国监督检查报告》，由船长或者履行船长职责的船员签名。</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《船舶现场监督报告》《船旗国监督检查报告》《港口国监督检查报告》一式两份，一份由海事管理机构存档，一份留船备查。</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第二十六条</w:t>
      </w:r>
      <w:r>
        <w:rPr>
          <w:rFonts w:ascii="Times New Roman" w:eastAsia="仿宋_GB2312" w:hAnsi="Times New Roman"/>
          <w:sz w:val="32"/>
          <w:szCs w:val="32"/>
        </w:rPr>
        <w:t xml:space="preserve">　船舶现场监督中发现船舶存在危及航行安全、船员健康、水域环境的缺陷或者水上交通安全违法行为的，应当</w:t>
      </w:r>
      <w:r>
        <w:rPr>
          <w:rFonts w:ascii="Times New Roman" w:eastAsia="仿宋_GB2312" w:hAnsi="Times New Roman"/>
          <w:sz w:val="32"/>
          <w:szCs w:val="32"/>
        </w:rPr>
        <w:lastRenderedPageBreak/>
        <w:t>按照规定进行处置。</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发现存在需要进一步进行安全检查的船舶安全缺陷的，应当启动船舶安全检查程序。</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楷体_GB2312" w:hAnsi="Times New Roman"/>
          <w:sz w:val="32"/>
          <w:szCs w:val="32"/>
        </w:rPr>
      </w:pPr>
      <w:r>
        <w:rPr>
          <w:rFonts w:ascii="Times New Roman" w:eastAsia="楷体_GB2312" w:hAnsi="Times New Roman"/>
          <w:sz w:val="32"/>
          <w:szCs w:val="32"/>
        </w:rPr>
        <w:t>第三节　船舶安全缺陷处理</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第二十七条</w:t>
      </w:r>
      <w:r>
        <w:rPr>
          <w:rFonts w:ascii="Times New Roman" w:eastAsia="仿宋_GB2312" w:hAnsi="Times New Roman"/>
          <w:sz w:val="32"/>
          <w:szCs w:val="32"/>
        </w:rPr>
        <w:t xml:space="preserve">　海事行政执法人员在船舶安全监督过程中发现船舶存在缺陷的，应当按照相关法律、法规、规章和公约的规定，提出下列处理意见：</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（一）警示教育；</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（二）开航前纠正缺陷；</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（三）在开航后限定的期限内纠正缺陷；</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（四）滞留；</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（五）禁止船舶进港；</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（六）限制船舶操作；</w:t>
      </w:r>
    </w:p>
    <w:p w:rsidR="00441D7F" w:rsidRDefault="00441D7F" w:rsidP="00441D7F">
      <w:pPr>
        <w:ind w:firstLineChars="200" w:firstLine="640"/>
        <w:rPr>
          <w:rFonts w:ascii="Times New Roman" w:eastAsia="仿宋_GB2312" w:hAnsi="Times New Roman"/>
          <w:sz w:val="32"/>
          <w:szCs w:val="32"/>
          <w:highlight w:val="yellow"/>
        </w:rPr>
      </w:pPr>
      <w:r>
        <w:rPr>
          <w:rFonts w:ascii="Times New Roman" w:eastAsia="仿宋_GB2312" w:hAnsi="Times New Roman"/>
          <w:sz w:val="32"/>
          <w:szCs w:val="32"/>
        </w:rPr>
        <w:t>（七）责令船舶驶向指定区域；</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（八）责令船舶离港。</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第二十八条</w:t>
      </w:r>
      <w:r>
        <w:rPr>
          <w:rFonts w:ascii="Times New Roman" w:eastAsia="仿宋_GB2312" w:hAnsi="Times New Roman"/>
          <w:sz w:val="32"/>
          <w:szCs w:val="32"/>
        </w:rPr>
        <w:t xml:space="preserve">　安全检查发现的船舶缺陷不能在检查港纠正时，海事管理机构可以允许该船驶往最近的可以修理的港口，并</w:t>
      </w:r>
      <w:r>
        <w:rPr>
          <w:rFonts w:ascii="Times New Roman" w:eastAsia="仿宋_GB2312" w:hAnsi="Times New Roman"/>
          <w:sz w:val="32"/>
          <w:szCs w:val="32"/>
        </w:rPr>
        <w:lastRenderedPageBreak/>
        <w:t>及时通知修理港口的海事管理机构。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修理港口超出本港海事管理机构管辖范围的，本港海事管理机构应当通知修理港口海事管理机构进行跟踪检查。</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修理港口海事管理机构在收到跟踪检查通知后，应当对船舶缺陷的纠正情况进行验证，并及时将验证结果反馈至发出通知的海事管理机构。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第二十九条</w:t>
      </w:r>
      <w:r>
        <w:rPr>
          <w:rFonts w:ascii="Times New Roman" w:eastAsia="仿宋_GB2312" w:hAnsi="Times New Roman"/>
          <w:sz w:val="32"/>
          <w:szCs w:val="32"/>
        </w:rPr>
        <w:t xml:space="preserve">　海事管理机构采取本规则第二十七条第（四）（五）（八）项措施的，应当将采取措施的情况及时通知中国籍船舶的船籍港海事管理机构，或者外国籍船舶的船旗国政府。</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第三十条</w:t>
      </w:r>
      <w:r>
        <w:rPr>
          <w:rFonts w:ascii="Times New Roman" w:eastAsia="仿宋_GB2312" w:hAnsi="Times New Roman"/>
          <w:sz w:val="32"/>
          <w:szCs w:val="32"/>
        </w:rPr>
        <w:t xml:space="preserve">　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复查合格的，海事管理机构应当及时解除相应的处理措施。</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第三十一条</w:t>
      </w:r>
      <w:r>
        <w:rPr>
          <w:rFonts w:ascii="Times New Roman" w:eastAsia="仿宋_GB2312" w:hAnsi="Times New Roman"/>
          <w:sz w:val="32"/>
          <w:szCs w:val="32"/>
        </w:rPr>
        <w:t xml:space="preserve">　船舶有权对海事行政执法人员提出的缺陷和处理意见进行陈述和申辩。船舶对于缺陷和处理意见有异议的，</w:t>
      </w:r>
      <w:r>
        <w:rPr>
          <w:rFonts w:ascii="Times New Roman" w:eastAsia="仿宋_GB2312" w:hAnsi="Times New Roman"/>
          <w:sz w:val="32"/>
          <w:szCs w:val="32"/>
        </w:rPr>
        <w:lastRenderedPageBreak/>
        <w:t>海事行政执法人员应当告知船舶申诉的途径和程序。</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第三十二条</w:t>
      </w:r>
      <w:r>
        <w:rPr>
          <w:rFonts w:ascii="Times New Roman" w:eastAsia="仿宋_GB2312" w:hAnsi="Times New Roman"/>
          <w:sz w:val="32"/>
          <w:szCs w:val="32"/>
        </w:rPr>
        <w:t xml:space="preserve">　海事管理机构在实施船舶安全监督中，发现航运公司安全管理存在问题的，应当要求航运公司改正，并将相关情况通报航运公司注册地海事管理机构。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第三十三条</w:t>
      </w:r>
      <w:r>
        <w:rPr>
          <w:rFonts w:ascii="Times New Roman" w:eastAsia="仿宋_GB2312" w:hAnsi="Times New Roman"/>
          <w:sz w:val="32"/>
          <w:szCs w:val="32"/>
        </w:rPr>
        <w:t xml:space="preserve">　海事管理机构应当将影响安全的重大船舶缺陷以及导致船舶被滞留的缺陷，通知航运公司、相关船舶检验机构或者组织。</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存在缺陷或者隐患，以及船舶安全管理存在较为严重问题，可能影响其运输资质条件的，海事管理机构应当将有关情况通知相关水路运输管理部门，水路运输管理部门应当将处理情况反馈相应的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水路运输管理部门在市场监管中，发现可能影响到船舶安全的问题，应当将有关情况通知相应海事管理机构，海事管理机构应当将处理情况反馈相应水路运输管理部门。</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第三十四条</w:t>
      </w:r>
      <w:r>
        <w:rPr>
          <w:rFonts w:ascii="Times New Roman" w:eastAsia="仿宋_GB2312" w:hAnsi="Times New Roman"/>
          <w:sz w:val="32"/>
          <w:szCs w:val="32"/>
        </w:rPr>
        <w:t xml:space="preserve">　船舶以及相关人员，应当按照海事管理机构签发的《船舶现场监督报告》《船旗国监督检查报告》《港口国监督检查报告》等的要求，对存在的缺陷进行纠正。</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航运公司应当督促船舶按时纠正缺陷，并将纠正情况及时反馈实施检查的海事管理机构。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船舶检验机构应当核实有关缺陷纠正情况，需要进行临时检验的，应当将检验报告及时反馈实施检查的海事管理机构。</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第三十五条</w:t>
      </w:r>
      <w:r>
        <w:rPr>
          <w:rFonts w:ascii="Times New Roman" w:eastAsia="仿宋_GB2312" w:hAnsi="Times New Roman"/>
          <w:sz w:val="32"/>
          <w:szCs w:val="32"/>
        </w:rPr>
        <w:t xml:space="preserve">　中国籍船舶的船长应当对缺陷纠正情况进行检查，并在航行或者航海日志中进行记录。</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第三十六条</w:t>
      </w:r>
      <w:r>
        <w:rPr>
          <w:rFonts w:ascii="Times New Roman" w:eastAsia="仿宋_GB2312" w:hAnsi="Times New Roman"/>
          <w:sz w:val="32"/>
          <w:szCs w:val="32"/>
        </w:rPr>
        <w:t xml:space="preserve">　船舶应当妥善保管《船舶现场监督报告》《船旗国监督检查报告》《港口国监督检查报告》，在船上保存至少</w:t>
      </w:r>
      <w:r>
        <w:rPr>
          <w:rFonts w:ascii="Times New Roman" w:eastAsia="仿宋_GB2312" w:hAnsi="Times New Roman"/>
          <w:sz w:val="32"/>
          <w:szCs w:val="32"/>
        </w:rPr>
        <w:t>2</w:t>
      </w:r>
      <w:r>
        <w:rPr>
          <w:rFonts w:ascii="Times New Roman" w:eastAsia="仿宋_GB2312" w:hAnsi="Times New Roman"/>
          <w:sz w:val="32"/>
          <w:szCs w:val="32"/>
        </w:rPr>
        <w:t>年。</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第三十七条</w:t>
      </w:r>
      <w:r>
        <w:rPr>
          <w:rFonts w:ascii="Times New Roman" w:eastAsia="仿宋_GB2312" w:hAnsi="Times New Roman"/>
          <w:sz w:val="32"/>
          <w:szCs w:val="32"/>
        </w:rPr>
        <w:t xml:space="preserve">　除海事管理机构外，任何单位和个人不得扣留、收缴《船舶现场监督报告》《船旗国监督检查报告》《港口国监督检查报告》，或者在上述报告中进行签注。</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第三十八条</w:t>
      </w:r>
      <w:r>
        <w:rPr>
          <w:rFonts w:ascii="Times New Roman" w:eastAsia="仿宋_GB2312" w:hAnsi="Times New Roman"/>
          <w:sz w:val="32"/>
          <w:szCs w:val="32"/>
        </w:rPr>
        <w:t xml:space="preserve">　任何单位和个人，不得擅自涂改、故意损毁、伪造、变造、租借、骗取和冒用《船舶现场监督报告》《船旗国监督检查报告》《港口国监督检查报告》。</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第三十九条</w:t>
      </w:r>
      <w:r>
        <w:rPr>
          <w:rFonts w:ascii="Times New Roman" w:eastAsia="仿宋_GB2312" w:hAnsi="Times New Roman"/>
          <w:sz w:val="32"/>
          <w:szCs w:val="32"/>
        </w:rPr>
        <w:t xml:space="preserve">　《船舶现场监督报告》《船旗国监督检查报告》《港口国监督检查报告》的格式由国家海事管理机构统一制定。</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第四十条</w:t>
      </w:r>
      <w:r>
        <w:rPr>
          <w:rFonts w:ascii="Times New Roman" w:eastAsia="仿宋_GB2312" w:hAnsi="Times New Roman"/>
          <w:sz w:val="32"/>
          <w:szCs w:val="32"/>
        </w:rPr>
        <w:t xml:space="preserve">　中国籍船舶在境外发生水上交通事故，或者被滞留、禁止进港、禁止入境、驱逐出港（境）的，航运公司应当及时将相关情况向船籍港海事管理机构报告，海事管理机构应当做好相应的沟通协调和给予必要的协助。</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黑体" w:hAnsi="Times New Roman"/>
          <w:sz w:val="32"/>
          <w:szCs w:val="32"/>
        </w:rPr>
      </w:pPr>
      <w:r>
        <w:rPr>
          <w:rFonts w:ascii="Times New Roman" w:eastAsia="黑体" w:hAnsi="Times New Roman"/>
          <w:sz w:val="32"/>
          <w:szCs w:val="32"/>
        </w:rPr>
        <w:lastRenderedPageBreak/>
        <w:t>第五章　船舶安全责任</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第四十一条</w:t>
      </w:r>
      <w:r>
        <w:rPr>
          <w:rFonts w:ascii="Times New Roman" w:eastAsia="仿宋_GB2312" w:hAnsi="Times New Roman"/>
          <w:sz w:val="32"/>
          <w:szCs w:val="32"/>
        </w:rPr>
        <w:t xml:space="preserve">　航运公司应当履行安全管理与防止污染的主体责任，建立、健全船舶安全与防污染制度，对船舶及其设备进行有效维护和保养，确保船舶处于良好状态，保障船舶安全，防止船舶污染环境，为船舶配备满足最低安全配员要求的适任船员。</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第四十二条</w:t>
      </w:r>
      <w:r>
        <w:rPr>
          <w:rFonts w:ascii="Times New Roman" w:eastAsia="仿宋_GB2312" w:hAnsi="Times New Roman"/>
          <w:sz w:val="32"/>
          <w:szCs w:val="32"/>
        </w:rPr>
        <w:t xml:space="preserve">　中国籍船舶应当建立开航前自查制度。船舶在离泊前应当对船舶安全技术状况和货物装载情况进行自查，按照国家海事管理机构规定的格式填写《船舶开航前安全自查清单》，并在开航前由船长签字确认。</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船舶在固定航线航行且单次航程不超过</w:t>
      </w:r>
      <w:r>
        <w:rPr>
          <w:rFonts w:ascii="Times New Roman" w:eastAsia="仿宋_GB2312" w:hAnsi="Times New Roman"/>
          <w:sz w:val="32"/>
          <w:szCs w:val="32"/>
        </w:rPr>
        <w:t>2</w:t>
      </w:r>
      <w:r>
        <w:rPr>
          <w:rFonts w:ascii="Times New Roman" w:eastAsia="仿宋_GB2312" w:hAnsi="Times New Roman"/>
          <w:sz w:val="32"/>
          <w:szCs w:val="32"/>
        </w:rPr>
        <w:t>小时的，无须每次开航前均进行自查，但一天内应当至少自查一次。</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《船舶开航前安全自查清单》应当在船上保存至少</w:t>
      </w:r>
      <w:r>
        <w:rPr>
          <w:rFonts w:ascii="Times New Roman" w:eastAsia="仿宋_GB2312" w:hAnsi="Times New Roman"/>
          <w:sz w:val="32"/>
          <w:szCs w:val="32"/>
        </w:rPr>
        <w:t>2</w:t>
      </w:r>
      <w:r>
        <w:rPr>
          <w:rFonts w:ascii="Times New Roman" w:eastAsia="仿宋_GB2312" w:hAnsi="Times New Roman"/>
          <w:sz w:val="32"/>
          <w:szCs w:val="32"/>
        </w:rPr>
        <w:t>年。</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第四十三条</w:t>
      </w:r>
      <w:r>
        <w:rPr>
          <w:rFonts w:ascii="Times New Roman" w:eastAsia="仿宋_GB2312" w:hAnsi="Times New Roman"/>
          <w:sz w:val="32"/>
          <w:szCs w:val="32"/>
        </w:rPr>
        <w:t xml:space="preserve">　船长应当妥善安排船舶值班，遵守船舶航行、停泊、作业的安全规定。</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第四十四条</w:t>
      </w:r>
      <w:r>
        <w:rPr>
          <w:rFonts w:ascii="Times New Roman" w:eastAsia="仿宋_GB2312" w:hAnsi="Times New Roman"/>
          <w:sz w:val="32"/>
          <w:szCs w:val="32"/>
        </w:rPr>
        <w:t xml:space="preserve">　船舶应当遵守港口所在地有关管理机构关于恶劣天气限制开航的规定。</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航行于内河水域的船舶应当遵守海事管理机构发布的关于</w:t>
      </w:r>
      <w:r>
        <w:rPr>
          <w:rFonts w:ascii="Times New Roman" w:eastAsia="仿宋_GB2312" w:hAnsi="Times New Roman"/>
          <w:sz w:val="32"/>
          <w:szCs w:val="32"/>
        </w:rPr>
        <w:lastRenderedPageBreak/>
        <w:t>枯水季节通航限制的通告。</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第四十五条</w:t>
      </w:r>
      <w:r>
        <w:rPr>
          <w:rFonts w:ascii="Times New Roman" w:eastAsia="仿宋_GB2312" w:hAnsi="Times New Roman"/>
          <w:sz w:val="32"/>
          <w:szCs w:val="32"/>
        </w:rPr>
        <w:t xml:space="preserve">　船舶检验机构应当确保检验的全面性、客观性、准确性和有效性，保证检验合格的船舶具备安全航行、安全作业的技术条件，并对出具的检验证书负责。</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第四十六条</w:t>
      </w:r>
      <w:r>
        <w:rPr>
          <w:rFonts w:ascii="Times New Roman" w:eastAsia="仿宋_GB2312" w:hAnsi="Times New Roman"/>
          <w:sz w:val="32"/>
          <w:szCs w:val="32"/>
        </w:rPr>
        <w:t xml:space="preserve">　配备自动识别系统等通信、导助航设备的船舶应当始终保持相关设备处于正常工作状态，准确完整显示本船信息，并及时更新抵、离港名称和时间等相关信息。相关设备发生故障的，应当及时向抵达港海事管理机构报告。</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第四十七条</w:t>
      </w:r>
      <w:r>
        <w:rPr>
          <w:rFonts w:ascii="Times New Roman" w:eastAsia="仿宋_GB2312" w:hAnsi="Times New Roman"/>
          <w:sz w:val="32"/>
          <w:szCs w:val="32"/>
        </w:rPr>
        <w:t xml:space="preserve">  </w:t>
      </w:r>
      <w:r>
        <w:rPr>
          <w:rFonts w:ascii="Times New Roman" w:eastAsia="仿宋_GB2312" w:hAnsi="Times New Roman"/>
          <w:sz w:val="32"/>
          <w:szCs w:val="32"/>
        </w:rPr>
        <w:t>拟交付船舶国际运输的载货集装箱，其托运人应当在交付船舶运输前，采取整体称重法或者累加计算法对集装箱的重量进行验证，确保集装箱的验证重量不超过其标称的最大营运总质量，与实际重量的误差不超过</w:t>
      </w:r>
      <w:r>
        <w:rPr>
          <w:rFonts w:ascii="Times New Roman" w:eastAsia="仿宋_GB2312" w:hAnsi="Times New Roman"/>
          <w:sz w:val="32"/>
          <w:szCs w:val="32"/>
        </w:rPr>
        <w:t>5%</w:t>
      </w:r>
      <w:r>
        <w:rPr>
          <w:rFonts w:ascii="Times New Roman" w:eastAsia="仿宋_GB2312" w:hAnsi="Times New Roman"/>
          <w:sz w:val="32"/>
          <w:szCs w:val="32"/>
        </w:rPr>
        <w:t>且最大误差不超过</w:t>
      </w:r>
      <w:r>
        <w:rPr>
          <w:rFonts w:ascii="Times New Roman" w:eastAsia="仿宋_GB2312" w:hAnsi="Times New Roman"/>
          <w:sz w:val="32"/>
          <w:szCs w:val="32"/>
        </w:rPr>
        <w:t>1</w:t>
      </w:r>
      <w:r>
        <w:rPr>
          <w:rFonts w:ascii="Times New Roman" w:eastAsia="仿宋_GB2312" w:hAnsi="Times New Roman"/>
          <w:sz w:val="32"/>
          <w:szCs w:val="32"/>
        </w:rPr>
        <w:t>吨，并在运输单据上注明验证重量、验证方法和验证声明等验证信息，提供给承运人、港口经营人。</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采取累加计算法的托运人，应当制定符合交通运输部规定的重量验证程序，并按照程序进行载货集装箱重量验证。</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未取得验证信息或者验证重量超过最大营运总质量的集装箱，承运人不得装船。</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第四十八条</w:t>
      </w:r>
      <w:r>
        <w:rPr>
          <w:rFonts w:ascii="Times New Roman" w:eastAsia="黑体" w:hAnsi="Times New Roman"/>
          <w:sz w:val="32"/>
          <w:szCs w:val="32"/>
        </w:rPr>
        <w:t xml:space="preserve">  </w:t>
      </w:r>
      <w:r>
        <w:rPr>
          <w:rFonts w:ascii="Times New Roman" w:eastAsia="仿宋_GB2312" w:hAnsi="Times New Roman"/>
          <w:sz w:val="32"/>
          <w:szCs w:val="32"/>
        </w:rPr>
        <w:t>海事管理机构应当加强对船舶国际运输集装</w:t>
      </w:r>
      <w:r>
        <w:rPr>
          <w:rFonts w:ascii="Times New Roman" w:eastAsia="仿宋_GB2312" w:hAnsi="Times New Roman"/>
          <w:sz w:val="32"/>
          <w:szCs w:val="32"/>
        </w:rPr>
        <w:lastRenderedPageBreak/>
        <w:t>箱托运人、承运人的监督检查，发现存在违反本规则情形的，应当责令改正。</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第四十九条</w:t>
      </w:r>
      <w:r>
        <w:rPr>
          <w:rFonts w:ascii="Times New Roman" w:eastAsia="仿宋_GB2312" w:hAnsi="Times New Roman"/>
          <w:sz w:val="32"/>
          <w:szCs w:val="32"/>
        </w:rPr>
        <w:t xml:space="preserve">　任何单位和个人不得阻挠、妨碍海事行政执法人员对船舶进行船舶安全监督。</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第五十条</w:t>
      </w:r>
      <w:r>
        <w:rPr>
          <w:rFonts w:ascii="Times New Roman" w:eastAsia="仿宋_GB2312" w:hAnsi="Times New Roman"/>
          <w:sz w:val="32"/>
          <w:szCs w:val="32"/>
        </w:rPr>
        <w:t xml:space="preserve">　海事行政执法人员在开展船舶安全监督时，船长应当指派人员配合。指派的配合人员应当如实回答询问，并按照要求测试和操纵船舶设施、设备。</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第五十一条</w:t>
      </w:r>
      <w:r>
        <w:rPr>
          <w:rFonts w:ascii="Times New Roman" w:eastAsia="仿宋_GB2312" w:hAnsi="Times New Roman"/>
          <w:sz w:val="32"/>
          <w:szCs w:val="32"/>
        </w:rPr>
        <w:t xml:space="preserve">　海事管理机构通过抽查实施船舶安全监督，不能代替或者免除航运公司、船舶、船员、船舶检验机构及其他相关单位和个人在船舶安全、防污染、海事劳工条件和保安等方面应当履行的法律责任和义务。</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黑体" w:hAnsi="Times New Roman"/>
          <w:sz w:val="32"/>
          <w:szCs w:val="32"/>
        </w:rPr>
      </w:pPr>
      <w:r>
        <w:rPr>
          <w:rFonts w:ascii="Times New Roman" w:eastAsia="黑体" w:hAnsi="Times New Roman"/>
          <w:sz w:val="32"/>
          <w:szCs w:val="32"/>
        </w:rPr>
        <w:t>第六章　法律责任</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第五十二条</w:t>
      </w:r>
      <w:r>
        <w:rPr>
          <w:rFonts w:ascii="Times New Roman" w:eastAsia="仿宋_GB2312" w:hAnsi="Times New Roman"/>
          <w:sz w:val="32"/>
          <w:szCs w:val="32"/>
        </w:rPr>
        <w:t xml:space="preserve">　违反本规则，有下列行为之一的，由海事管理机构对违法船舶所有人或者船舶经营人处</w:t>
      </w:r>
      <w:r>
        <w:rPr>
          <w:rFonts w:ascii="Times New Roman" w:eastAsia="仿宋_GB2312" w:hAnsi="Times New Roman"/>
          <w:sz w:val="32"/>
          <w:szCs w:val="32"/>
        </w:rPr>
        <w:t>1000</w:t>
      </w:r>
      <w:r>
        <w:rPr>
          <w:rFonts w:ascii="Times New Roman" w:eastAsia="仿宋_GB2312" w:hAnsi="Times New Roman"/>
          <w:sz w:val="32"/>
          <w:szCs w:val="32"/>
        </w:rPr>
        <w:t>元以上</w:t>
      </w:r>
      <w:r>
        <w:rPr>
          <w:rFonts w:ascii="Times New Roman" w:eastAsia="仿宋_GB2312" w:hAnsi="Times New Roman"/>
          <w:sz w:val="32"/>
          <w:szCs w:val="32"/>
        </w:rPr>
        <w:t>1</w:t>
      </w:r>
      <w:r>
        <w:rPr>
          <w:rFonts w:ascii="Times New Roman" w:eastAsia="仿宋_GB2312" w:hAnsi="Times New Roman"/>
          <w:sz w:val="32"/>
          <w:szCs w:val="32"/>
        </w:rPr>
        <w:t>万元以下罚款；情节严重的，处</w:t>
      </w:r>
      <w:r>
        <w:rPr>
          <w:rFonts w:ascii="Times New Roman" w:eastAsia="仿宋_GB2312" w:hAnsi="Times New Roman"/>
          <w:sz w:val="32"/>
          <w:szCs w:val="32"/>
        </w:rPr>
        <w:t>1</w:t>
      </w:r>
      <w:r>
        <w:rPr>
          <w:rFonts w:ascii="Times New Roman" w:eastAsia="仿宋_GB2312" w:hAnsi="Times New Roman"/>
          <w:sz w:val="32"/>
          <w:szCs w:val="32"/>
        </w:rPr>
        <w:t>万元以上</w:t>
      </w:r>
      <w:r>
        <w:rPr>
          <w:rFonts w:ascii="Times New Roman" w:eastAsia="仿宋_GB2312" w:hAnsi="Times New Roman"/>
          <w:sz w:val="32"/>
          <w:szCs w:val="32"/>
        </w:rPr>
        <w:t>3</w:t>
      </w:r>
      <w:r>
        <w:rPr>
          <w:rFonts w:ascii="Times New Roman" w:eastAsia="仿宋_GB2312" w:hAnsi="Times New Roman"/>
          <w:sz w:val="32"/>
          <w:szCs w:val="32"/>
        </w:rPr>
        <w:t>万元以下罚款。对船长或者其他责任人员处</w:t>
      </w:r>
      <w:r>
        <w:rPr>
          <w:rFonts w:ascii="Times New Roman" w:eastAsia="仿宋_GB2312" w:hAnsi="Times New Roman"/>
          <w:sz w:val="32"/>
          <w:szCs w:val="32"/>
        </w:rPr>
        <w:t>100</w:t>
      </w:r>
      <w:r>
        <w:rPr>
          <w:rFonts w:ascii="Times New Roman" w:eastAsia="仿宋_GB2312" w:hAnsi="Times New Roman"/>
          <w:sz w:val="32"/>
          <w:szCs w:val="32"/>
        </w:rPr>
        <w:t>元以上</w:t>
      </w:r>
      <w:r>
        <w:rPr>
          <w:rFonts w:ascii="Times New Roman" w:eastAsia="仿宋_GB2312" w:hAnsi="Times New Roman"/>
          <w:sz w:val="32"/>
          <w:szCs w:val="32"/>
        </w:rPr>
        <w:t>1000</w:t>
      </w:r>
      <w:r>
        <w:rPr>
          <w:rFonts w:ascii="Times New Roman" w:eastAsia="仿宋_GB2312" w:hAnsi="Times New Roman"/>
          <w:sz w:val="32"/>
          <w:szCs w:val="32"/>
        </w:rPr>
        <w:t>元以下罚款；情节严重的，处</w:t>
      </w:r>
      <w:r>
        <w:rPr>
          <w:rFonts w:ascii="Times New Roman" w:eastAsia="仿宋_GB2312" w:hAnsi="Times New Roman"/>
          <w:sz w:val="32"/>
          <w:szCs w:val="32"/>
        </w:rPr>
        <w:t>1000</w:t>
      </w:r>
      <w:r>
        <w:rPr>
          <w:rFonts w:ascii="Times New Roman" w:eastAsia="仿宋_GB2312" w:hAnsi="Times New Roman"/>
          <w:sz w:val="32"/>
          <w:szCs w:val="32"/>
        </w:rPr>
        <w:t>元以上</w:t>
      </w:r>
      <w:r>
        <w:rPr>
          <w:rFonts w:ascii="Times New Roman" w:eastAsia="仿宋_GB2312" w:hAnsi="Times New Roman"/>
          <w:sz w:val="32"/>
          <w:szCs w:val="32"/>
        </w:rPr>
        <w:t>3000</w:t>
      </w:r>
      <w:r>
        <w:rPr>
          <w:rFonts w:ascii="Times New Roman" w:eastAsia="仿宋_GB2312" w:hAnsi="Times New Roman"/>
          <w:sz w:val="32"/>
          <w:szCs w:val="32"/>
        </w:rPr>
        <w:t>元以下罚款：</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（一）弄虚作假欺骗海事行政执法人员的；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（二）未按照《船舶现场监督报告》《船旗国监督检查报告》《港口国监督检查报告》的处理意见纠正缺陷或者采取措施的；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（三）按照第三十条第一款规定应当申请复查而未申请的。</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第五十三条</w:t>
      </w:r>
      <w:r>
        <w:rPr>
          <w:rFonts w:ascii="Times New Roman" w:eastAsia="仿宋_GB2312" w:hAnsi="Times New Roman"/>
          <w:sz w:val="32"/>
          <w:szCs w:val="32"/>
        </w:rPr>
        <w:t xml:space="preserve">　船舶未按照规定开展自查或者未随船保存船舶自查记录的，对船舶所有人或者船舶经营人处</w:t>
      </w:r>
      <w:r>
        <w:rPr>
          <w:rFonts w:ascii="Times New Roman" w:eastAsia="仿宋_GB2312" w:hAnsi="Times New Roman"/>
          <w:sz w:val="32"/>
          <w:szCs w:val="32"/>
        </w:rPr>
        <w:t>1000</w:t>
      </w:r>
      <w:r>
        <w:rPr>
          <w:rFonts w:ascii="Times New Roman" w:eastAsia="仿宋_GB2312" w:hAnsi="Times New Roman"/>
          <w:sz w:val="32"/>
          <w:szCs w:val="32"/>
        </w:rPr>
        <w:t>元以上</w:t>
      </w:r>
      <w:r>
        <w:rPr>
          <w:rFonts w:ascii="Times New Roman" w:eastAsia="仿宋_GB2312" w:hAnsi="Times New Roman"/>
          <w:sz w:val="32"/>
          <w:szCs w:val="32"/>
        </w:rPr>
        <w:t>1</w:t>
      </w:r>
      <w:r>
        <w:rPr>
          <w:rFonts w:ascii="Times New Roman" w:eastAsia="仿宋_GB2312" w:hAnsi="Times New Roman"/>
          <w:sz w:val="32"/>
          <w:szCs w:val="32"/>
        </w:rPr>
        <w:t>万元以下罚款。</w:t>
      </w:r>
    </w:p>
    <w:p w:rsidR="00441D7F" w:rsidRDefault="00441D7F" w:rsidP="00441D7F">
      <w:pPr>
        <w:ind w:firstLineChars="200" w:firstLine="640"/>
        <w:rPr>
          <w:rFonts w:ascii="Times New Roman" w:eastAsia="仿宋_GB2312" w:hAnsi="Times New Roman"/>
          <w:sz w:val="32"/>
        </w:rPr>
      </w:pPr>
      <w:r>
        <w:rPr>
          <w:rFonts w:ascii="Times New Roman" w:eastAsia="黑体" w:hAnsi="Times New Roman"/>
          <w:sz w:val="32"/>
          <w:szCs w:val="32"/>
        </w:rPr>
        <w:t>第五十</w:t>
      </w:r>
      <w:r>
        <w:rPr>
          <w:rFonts w:ascii="Times New Roman" w:eastAsia="黑体" w:hAnsi="Times New Roman" w:hint="eastAsia"/>
          <w:sz w:val="32"/>
          <w:szCs w:val="32"/>
        </w:rPr>
        <w:t>四</w:t>
      </w:r>
      <w:r>
        <w:rPr>
          <w:rFonts w:ascii="Times New Roman" w:eastAsia="黑体"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sz w:val="32"/>
        </w:rPr>
        <w:t>船舶进出内河港口，未按照规定向海事管理机构报告船舶进出港信息的，对船舶所有人或者船舶经营人处</w:t>
      </w:r>
      <w:r>
        <w:rPr>
          <w:rFonts w:ascii="Times New Roman" w:eastAsia="仿宋_GB2312" w:hAnsi="Times New Roman"/>
          <w:sz w:val="32"/>
        </w:rPr>
        <w:t>5000</w:t>
      </w:r>
      <w:r>
        <w:rPr>
          <w:rFonts w:ascii="Times New Roman" w:eastAsia="仿宋_GB2312" w:hAnsi="Times New Roman"/>
          <w:sz w:val="32"/>
        </w:rPr>
        <w:t>元以上</w:t>
      </w:r>
      <w:r>
        <w:rPr>
          <w:rFonts w:ascii="Times New Roman" w:eastAsia="仿宋_GB2312" w:hAnsi="Times New Roman"/>
          <w:sz w:val="32"/>
        </w:rPr>
        <w:t>5</w:t>
      </w:r>
      <w:r>
        <w:rPr>
          <w:rFonts w:ascii="Times New Roman" w:eastAsia="仿宋_GB2312" w:hAnsi="Times New Roman"/>
          <w:sz w:val="32"/>
        </w:rPr>
        <w:t>万元以下罚款。</w:t>
      </w:r>
    </w:p>
    <w:p w:rsidR="00441D7F" w:rsidRDefault="00441D7F" w:rsidP="00441D7F">
      <w:pPr>
        <w:ind w:firstLineChars="200" w:firstLine="640"/>
        <w:rPr>
          <w:rFonts w:ascii="Times New Roman" w:eastAsia="仿宋_GB2312" w:hAnsi="Times New Roman"/>
          <w:sz w:val="32"/>
        </w:rPr>
      </w:pPr>
      <w:r>
        <w:rPr>
          <w:rFonts w:ascii="Times New Roman" w:eastAsia="仿宋_GB2312" w:hAnsi="Times New Roman"/>
          <w:sz w:val="32"/>
        </w:rPr>
        <w:t>船舶进出沿海港口，未按照规定向海事管理机构报告船舶进出港信息的，对船舶所有人或者船舶经营人、管理人处</w:t>
      </w:r>
      <w:r>
        <w:rPr>
          <w:rFonts w:ascii="Times New Roman" w:eastAsia="仿宋_GB2312" w:hAnsi="Times New Roman"/>
          <w:sz w:val="32"/>
        </w:rPr>
        <w:t>3000</w:t>
      </w:r>
      <w:r>
        <w:rPr>
          <w:rFonts w:ascii="Times New Roman" w:eastAsia="仿宋_GB2312" w:hAnsi="Times New Roman"/>
          <w:sz w:val="32"/>
        </w:rPr>
        <w:t>元以上</w:t>
      </w:r>
      <w:r>
        <w:rPr>
          <w:rFonts w:ascii="Times New Roman" w:eastAsia="仿宋_GB2312" w:hAnsi="Times New Roman"/>
          <w:sz w:val="32"/>
        </w:rPr>
        <w:t>3</w:t>
      </w:r>
      <w:r>
        <w:rPr>
          <w:rFonts w:ascii="Times New Roman" w:eastAsia="仿宋_GB2312" w:hAnsi="Times New Roman"/>
          <w:sz w:val="32"/>
        </w:rPr>
        <w:t>万元以下罚款。</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w:t>
      </w:r>
      <w:r>
        <w:rPr>
          <w:rFonts w:ascii="Times New Roman" w:eastAsia="黑体" w:hAnsi="Times New Roman" w:hint="eastAsia"/>
          <w:sz w:val="32"/>
          <w:szCs w:val="32"/>
        </w:rPr>
        <w:t>五</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仿宋_GB2312" w:hAnsi="Times New Roman"/>
          <w:sz w:val="32"/>
          <w:szCs w:val="32"/>
        </w:rPr>
        <w:t>违反本规则，在船舶国际集装箱货物运输经营活动中，有下列情形之一的，由海事管理机构处</w:t>
      </w:r>
      <w:r>
        <w:rPr>
          <w:rFonts w:ascii="Times New Roman" w:eastAsia="仿宋_GB2312" w:hAnsi="Times New Roman"/>
          <w:sz w:val="32"/>
          <w:szCs w:val="32"/>
        </w:rPr>
        <w:t>1000</w:t>
      </w:r>
      <w:r>
        <w:rPr>
          <w:rFonts w:ascii="Times New Roman" w:eastAsia="仿宋_GB2312" w:hAnsi="Times New Roman"/>
          <w:sz w:val="32"/>
          <w:szCs w:val="32"/>
        </w:rPr>
        <w:t>元以上</w:t>
      </w:r>
      <w:r>
        <w:rPr>
          <w:rFonts w:ascii="Times New Roman" w:eastAsia="仿宋_GB2312" w:hAnsi="Times New Roman"/>
          <w:sz w:val="32"/>
          <w:szCs w:val="32"/>
        </w:rPr>
        <w:t>3</w:t>
      </w:r>
      <w:r>
        <w:rPr>
          <w:rFonts w:ascii="Times New Roman" w:eastAsia="仿宋_GB2312" w:hAnsi="Times New Roman"/>
          <w:sz w:val="32"/>
          <w:szCs w:val="32"/>
        </w:rPr>
        <w:t>万元以下罚款：</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（一）托运人提供的验证重量与实际重量的误差超过</w:t>
      </w:r>
      <w:r>
        <w:rPr>
          <w:rFonts w:ascii="Times New Roman" w:eastAsia="仿宋_GB2312" w:hAnsi="Times New Roman"/>
          <w:sz w:val="32"/>
          <w:szCs w:val="32"/>
        </w:rPr>
        <w:t>5%</w:t>
      </w:r>
      <w:r>
        <w:rPr>
          <w:rFonts w:ascii="Times New Roman" w:eastAsia="仿宋_GB2312" w:hAnsi="Times New Roman"/>
          <w:sz w:val="32"/>
          <w:szCs w:val="32"/>
        </w:rPr>
        <w:t>或者</w:t>
      </w:r>
      <w:r>
        <w:rPr>
          <w:rFonts w:ascii="Times New Roman" w:eastAsia="仿宋_GB2312" w:hAnsi="Times New Roman"/>
          <w:sz w:val="32"/>
          <w:szCs w:val="32"/>
        </w:rPr>
        <w:t>1</w:t>
      </w:r>
      <w:r>
        <w:rPr>
          <w:rFonts w:ascii="Times New Roman" w:eastAsia="仿宋_GB2312" w:hAnsi="Times New Roman"/>
          <w:sz w:val="32"/>
          <w:szCs w:val="32"/>
        </w:rPr>
        <w:t>吨的；</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（二）承运人载运未取得验证信息或者验证重量超过最大营</w:t>
      </w:r>
      <w:r>
        <w:rPr>
          <w:rFonts w:ascii="Times New Roman" w:eastAsia="仿宋_GB2312" w:hAnsi="Times New Roman"/>
          <w:sz w:val="32"/>
          <w:szCs w:val="32"/>
        </w:rPr>
        <w:lastRenderedPageBreak/>
        <w:t>运总质量的集装箱的。</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w:t>
      </w:r>
      <w:r>
        <w:rPr>
          <w:rFonts w:ascii="Times New Roman" w:eastAsia="黑体" w:hAnsi="Times New Roman" w:hint="eastAsia"/>
          <w:sz w:val="32"/>
          <w:szCs w:val="32"/>
        </w:rPr>
        <w:t>六</w:t>
      </w:r>
      <w:r>
        <w:rPr>
          <w:rFonts w:ascii="Times New Roman" w:eastAsia="黑体" w:hAnsi="Times New Roman"/>
          <w:sz w:val="32"/>
          <w:szCs w:val="32"/>
        </w:rPr>
        <w:t>条</w:t>
      </w:r>
      <w:r>
        <w:rPr>
          <w:rFonts w:ascii="Times New Roman" w:eastAsia="仿宋_GB2312" w:hAnsi="Times New Roman"/>
          <w:sz w:val="32"/>
          <w:szCs w:val="32"/>
        </w:rPr>
        <w:t xml:space="preserve">　实施船舶安全检查中发现船舶存在的缺陷与船舶检验机构有关的，海事管理机构应当按照相关规定进行处罚。</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因船舶检验机构人员滥用职权、徇私舞弊、玩忽职守、严重失职，造成已签发检验证书的船舶存在严重缺陷或者发生重大事故的，海事管理机构应当撤销其检验资格。</w:t>
      </w: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w:t>
      </w:r>
      <w:r>
        <w:rPr>
          <w:rFonts w:ascii="Times New Roman" w:eastAsia="黑体" w:hAnsi="Times New Roman" w:hint="eastAsia"/>
          <w:sz w:val="32"/>
          <w:szCs w:val="32"/>
        </w:rPr>
        <w:t>七</w:t>
      </w:r>
      <w:r>
        <w:rPr>
          <w:rFonts w:ascii="Times New Roman" w:eastAsia="黑体" w:hAnsi="Times New Roman"/>
          <w:sz w:val="32"/>
          <w:szCs w:val="32"/>
        </w:rPr>
        <w:t>条</w:t>
      </w:r>
      <w:r>
        <w:rPr>
          <w:rFonts w:ascii="Times New Roman" w:eastAsia="仿宋_GB2312" w:hAnsi="Times New Roman"/>
          <w:sz w:val="32"/>
          <w:szCs w:val="32"/>
        </w:rPr>
        <w:t xml:space="preserve">　海事管理机构工作人员不依法履行职责进行监督检查，有滥用职权、徇私舞弊、玩忽职守等行为的，由其所在机构或者上级机构依法给予行政处分；构成犯罪的，由司法机关依法追究刑事责任。</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jc w:val="center"/>
        <w:rPr>
          <w:rFonts w:ascii="Times New Roman" w:eastAsia="黑体" w:hAnsi="Times New Roman"/>
          <w:sz w:val="32"/>
          <w:szCs w:val="32"/>
        </w:rPr>
      </w:pPr>
      <w:r>
        <w:rPr>
          <w:rFonts w:ascii="Times New Roman" w:eastAsia="黑体" w:hAnsi="Times New Roman"/>
          <w:sz w:val="32"/>
          <w:szCs w:val="32"/>
        </w:rPr>
        <w:t>第七章　附　则</w:t>
      </w:r>
    </w:p>
    <w:p w:rsidR="00441D7F" w:rsidRDefault="00441D7F" w:rsidP="00441D7F">
      <w:pPr>
        <w:ind w:firstLineChars="200" w:firstLine="640"/>
        <w:rPr>
          <w:rFonts w:ascii="Times New Roman" w:eastAsia="仿宋_GB2312" w:hAnsi="Times New Roman"/>
          <w:sz w:val="32"/>
          <w:szCs w:val="32"/>
        </w:rPr>
      </w:pPr>
    </w:p>
    <w:p w:rsidR="00441D7F" w:rsidRDefault="00441D7F" w:rsidP="00441D7F">
      <w:pPr>
        <w:ind w:firstLineChars="200" w:firstLine="640"/>
        <w:rPr>
          <w:rFonts w:ascii="Times New Roman" w:eastAsia="仿宋_GB2312" w:hAnsi="Times New Roman"/>
          <w:sz w:val="32"/>
          <w:szCs w:val="32"/>
        </w:rPr>
      </w:pPr>
      <w:r>
        <w:rPr>
          <w:rFonts w:ascii="Times New Roman" w:eastAsia="黑体" w:hAnsi="Times New Roman"/>
          <w:sz w:val="32"/>
          <w:szCs w:val="32"/>
        </w:rPr>
        <w:t>第五十</w:t>
      </w:r>
      <w:r>
        <w:rPr>
          <w:rFonts w:ascii="Times New Roman" w:eastAsia="黑体" w:hAnsi="Times New Roman" w:hint="eastAsia"/>
          <w:sz w:val="32"/>
          <w:szCs w:val="32"/>
        </w:rPr>
        <w:t>八</w:t>
      </w:r>
      <w:r>
        <w:rPr>
          <w:rFonts w:ascii="Times New Roman" w:eastAsia="黑体" w:hAnsi="Times New Roman"/>
          <w:sz w:val="32"/>
          <w:szCs w:val="32"/>
        </w:rPr>
        <w:t>条</w:t>
      </w:r>
      <w:r>
        <w:rPr>
          <w:rFonts w:ascii="Times New Roman" w:eastAsia="仿宋_GB2312" w:hAnsi="Times New Roman"/>
          <w:sz w:val="32"/>
          <w:szCs w:val="32"/>
        </w:rPr>
        <w:t xml:space="preserve">　本规则所称船舶和相关设施的含义，与《中华人民共和国海上交通安全法》《中华人民共和国内河交通安全管理条例》中的船舶、水上设施含义相同。</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本规则所称法定证书文书，是指船舶国籍证书、船舶配员证书、船舶检验证书、船舶营运证件、航海或者航行日志以及其他</w:t>
      </w:r>
      <w:r>
        <w:rPr>
          <w:rFonts w:ascii="Times New Roman" w:eastAsia="仿宋_GB2312" w:hAnsi="Times New Roman"/>
          <w:sz w:val="32"/>
          <w:szCs w:val="32"/>
        </w:rPr>
        <w:lastRenderedPageBreak/>
        <w:t>按照法律法规、技术规范及公约要求必须配备的证书文书。</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本规则所称航运公司，是指船舶的所有人、经营人和管理人。</w:t>
      </w:r>
    </w:p>
    <w:p w:rsidR="00441D7F" w:rsidRDefault="00441D7F" w:rsidP="00441D7F">
      <w:pPr>
        <w:ind w:firstLineChars="200" w:firstLine="640"/>
        <w:rPr>
          <w:rFonts w:ascii="Times New Roman" w:eastAsia="仿宋_GB2312" w:hAnsi="Times New Roman"/>
          <w:sz w:val="32"/>
          <w:szCs w:val="32"/>
        </w:rPr>
      </w:pPr>
      <w:r>
        <w:rPr>
          <w:rFonts w:ascii="Times New Roman" w:eastAsia="仿宋_GB2312" w:hAnsi="Times New Roman"/>
          <w:sz w:val="32"/>
          <w:szCs w:val="32"/>
        </w:rPr>
        <w:t>本规则所称最大营运总质量，是指在营运中允许的包括所载货物等在内的集装箱整体最大总质量，并在集装箱安全合格牌照上标注。</w:t>
      </w:r>
    </w:p>
    <w:p w:rsidR="000277E6" w:rsidRPr="00441D7F" w:rsidRDefault="00441D7F" w:rsidP="00441D7F">
      <w:pPr>
        <w:ind w:firstLineChars="200" w:firstLine="640"/>
        <w:rPr>
          <w:rFonts w:ascii="Times New Roman" w:eastAsia="仿宋_GB2312" w:hAnsi="Times New Roman" w:hint="eastAsia"/>
          <w:sz w:val="32"/>
        </w:rPr>
      </w:pPr>
      <w:r>
        <w:rPr>
          <w:rFonts w:ascii="Times New Roman" w:eastAsia="黑体" w:hAnsi="Times New Roman"/>
          <w:sz w:val="32"/>
          <w:szCs w:val="32"/>
        </w:rPr>
        <w:t>第</w:t>
      </w:r>
      <w:r>
        <w:rPr>
          <w:rFonts w:ascii="Times New Roman" w:eastAsia="黑体" w:hAnsi="Times New Roman" w:hint="eastAsia"/>
          <w:sz w:val="32"/>
          <w:szCs w:val="32"/>
        </w:rPr>
        <w:t>五</w:t>
      </w:r>
      <w:r>
        <w:rPr>
          <w:rFonts w:ascii="Times New Roman" w:eastAsia="黑体" w:hAnsi="Times New Roman"/>
          <w:sz w:val="32"/>
          <w:szCs w:val="32"/>
        </w:rPr>
        <w:t>十</w:t>
      </w:r>
      <w:r>
        <w:rPr>
          <w:rFonts w:ascii="Times New Roman" w:eastAsia="黑体" w:hAnsi="Times New Roman" w:hint="eastAsia"/>
          <w:sz w:val="32"/>
          <w:szCs w:val="32"/>
        </w:rPr>
        <w:t>九</w:t>
      </w:r>
      <w:r>
        <w:rPr>
          <w:rFonts w:ascii="Times New Roman" w:eastAsia="黑体" w:hAnsi="Times New Roman"/>
          <w:sz w:val="32"/>
          <w:szCs w:val="32"/>
        </w:rPr>
        <w:t>条</w:t>
      </w:r>
      <w:r>
        <w:rPr>
          <w:rFonts w:ascii="Times New Roman" w:eastAsia="仿宋_GB2312" w:hAnsi="Times New Roman"/>
          <w:sz w:val="32"/>
          <w:szCs w:val="32"/>
        </w:rPr>
        <w:t xml:space="preserve">　本规则自</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w:t>
      </w: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日以交通运输部令</w:t>
      </w:r>
      <w:r>
        <w:rPr>
          <w:rFonts w:ascii="Times New Roman" w:eastAsia="仿宋_GB2312" w:hAnsi="Times New Roman"/>
          <w:sz w:val="32"/>
          <w:szCs w:val="32"/>
        </w:rPr>
        <w:t>2009</w:t>
      </w:r>
      <w:r>
        <w:rPr>
          <w:rFonts w:ascii="Times New Roman" w:eastAsia="仿宋_GB2312" w:hAnsi="Times New Roman"/>
          <w:sz w:val="32"/>
          <w:szCs w:val="32"/>
        </w:rPr>
        <w:t>年第</w:t>
      </w:r>
      <w:r>
        <w:rPr>
          <w:rFonts w:ascii="Times New Roman" w:eastAsia="仿宋_GB2312" w:hAnsi="Times New Roman"/>
          <w:sz w:val="32"/>
          <w:szCs w:val="32"/>
        </w:rPr>
        <w:t>15</w:t>
      </w:r>
      <w:r>
        <w:rPr>
          <w:rFonts w:ascii="Times New Roman" w:eastAsia="仿宋_GB2312" w:hAnsi="Times New Roman"/>
          <w:sz w:val="32"/>
          <w:szCs w:val="32"/>
        </w:rPr>
        <w:t>号公布的《中华人民共和国船舶安全检查规则》同时废止。</w:t>
      </w:r>
    </w:p>
    <w:sectPr w:rsidR="000277E6" w:rsidRPr="00441D7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44" w:rsidRDefault="00662644">
      <w:r>
        <w:separator/>
      </w:r>
    </w:p>
  </w:endnote>
  <w:endnote w:type="continuationSeparator" w:id="0">
    <w:p w:rsidR="00662644" w:rsidRDefault="0066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1D7F">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41D7F">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77E6" w:rsidRDefault="00CD5E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D5B5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5C6E5F">
      <w:rPr>
        <w:rFonts w:ascii="宋体" w:eastAsia="宋体" w:hAnsi="宋体" w:cs="宋体" w:hint="eastAsia"/>
        <w:b/>
        <w:bCs/>
        <w:color w:val="005192"/>
        <w:sz w:val="28"/>
        <w:szCs w:val="44"/>
      </w:rPr>
      <w:t>交交通运输部</w:t>
    </w:r>
    <w:r>
      <w:rPr>
        <w:rFonts w:ascii="宋体" w:eastAsia="宋体" w:hAnsi="宋体" w:cs="宋体" w:hint="eastAsia"/>
        <w:b/>
        <w:bCs/>
        <w:color w:val="005192"/>
        <w:sz w:val="28"/>
        <w:szCs w:val="44"/>
      </w:rPr>
      <w:t xml:space="preserve">发布     </w:t>
    </w:r>
  </w:p>
  <w:p w:rsidR="000277E6" w:rsidRDefault="000277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44" w:rsidRDefault="00662644">
      <w:r>
        <w:separator/>
      </w:r>
    </w:p>
  </w:footnote>
  <w:footnote w:type="continuationSeparator" w:id="0">
    <w:p w:rsidR="00662644" w:rsidRDefault="0066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85C4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77E6" w:rsidRDefault="00CD5E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C6E5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7E6"/>
    <w:rsid w:val="00172A27"/>
    <w:rsid w:val="00441D7F"/>
    <w:rsid w:val="005C6E5F"/>
    <w:rsid w:val="00662644"/>
    <w:rsid w:val="00CD5E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13E8E1-96DD-4475-9A04-434C7E5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C6E5F"/>
    <w:rPr>
      <w:sz w:val="18"/>
      <w:szCs w:val="18"/>
    </w:rPr>
  </w:style>
  <w:style w:type="character" w:customStyle="1" w:styleId="Char">
    <w:name w:val="批注框文本 Char"/>
    <w:basedOn w:val="a0"/>
    <w:link w:val="a7"/>
    <w:rsid w:val="005C6E5F"/>
    <w:rPr>
      <w:rFonts w:asciiTheme="minorHAnsi" w:eastAsiaTheme="minorEastAsia" w:hAnsiTheme="minorHAnsi" w:cstheme="minorBidi"/>
      <w:kern w:val="2"/>
      <w:sz w:val="18"/>
      <w:szCs w:val="18"/>
    </w:rPr>
  </w:style>
  <w:style w:type="paragraph" w:customStyle="1" w:styleId="CharCharCharCharCharCharChar">
    <w:name w:val="Char Char Char Char Char Char Char"/>
    <w:basedOn w:val="a"/>
    <w:rsid w:val="00441D7F"/>
    <w:pPr>
      <w:spacing w:line="360" w:lineRule="auto"/>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962</Words>
  <Characters>5490</Characters>
  <Application>Microsoft Office Word</Application>
  <DocSecurity>0</DocSecurity>
  <Lines>45</Lines>
  <Paragraphs>12</Paragraphs>
  <ScaleCrop>false</ScaleCrop>
  <Company>china</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2023-06-20T08:44:00Z</dcterms:created>
  <dcterms:modified xsi:type="dcterms:W3CDTF">2023-06-20T08:44:00Z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