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29205249"/>
    <w:bookmarkEnd w:id="0"/>
    <w:p w:rsidR="0073700B" w:rsidRDefault="001A2FFC" w:rsidP="00F80BAC">
      <w:pPr>
        <w:spacing w:beforeLines="100" w:before="312" w:afterLines="100" w:after="312" w:line="360" w:lineRule="auto"/>
        <w:rPr>
          <w:bCs/>
          <w:sz w:val="48"/>
          <w:szCs w:val="48"/>
        </w:rPr>
      </w:pPr>
      <w:r>
        <w:rPr>
          <w:bCs/>
          <w:sz w:val="48"/>
          <w:szCs w:val="4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Cs/>
          <w:sz w:val="48"/>
          <w:szCs w:val="48"/>
        </w:rPr>
        <w:instrText>ADDIN CNKISM.UserStyle</w:instrText>
      </w:r>
      <w:r>
        <w:rPr>
          <w:bCs/>
          <w:sz w:val="48"/>
          <w:szCs w:val="48"/>
        </w:rPr>
      </w:r>
      <w:r>
        <w:rPr>
          <w:bCs/>
          <w:sz w:val="48"/>
          <w:szCs w:val="48"/>
        </w:rPr>
        <w:fldChar w:fldCharType="end"/>
      </w:r>
    </w:p>
    <w:p w:rsidR="0073700B" w:rsidRDefault="0073700B" w:rsidP="00F80BAC">
      <w:pPr>
        <w:spacing w:beforeLines="100" w:before="312" w:afterLines="100" w:after="312" w:line="360" w:lineRule="auto"/>
        <w:rPr>
          <w:bCs/>
          <w:sz w:val="48"/>
          <w:szCs w:val="48"/>
        </w:rPr>
      </w:pPr>
    </w:p>
    <w:p w:rsidR="0073700B" w:rsidRDefault="0073700B" w:rsidP="00F80BAC">
      <w:pPr>
        <w:spacing w:beforeLines="100" w:before="312" w:afterLines="100" w:after="312" w:line="360" w:lineRule="auto"/>
        <w:rPr>
          <w:bCs/>
          <w:sz w:val="48"/>
          <w:szCs w:val="48"/>
        </w:rPr>
      </w:pPr>
    </w:p>
    <w:p w:rsidR="0073700B" w:rsidRDefault="001A2FFC" w:rsidP="00F80BAC">
      <w:pPr>
        <w:spacing w:beforeLines="50" w:before="156" w:line="360" w:lineRule="auto"/>
        <w:jc w:val="center"/>
        <w:rPr>
          <w:rFonts w:ascii="黑体" w:eastAsia="黑体" w:hAnsi="黑体"/>
          <w:b/>
          <w:sz w:val="44"/>
          <w:szCs w:val="44"/>
        </w:rPr>
      </w:pPr>
      <w:r>
        <w:rPr>
          <w:rFonts w:ascii="黑体" w:eastAsia="黑体" w:hAnsi="黑体"/>
          <w:b/>
          <w:sz w:val="44"/>
          <w:szCs w:val="44"/>
        </w:rPr>
        <w:t>交通运输行业标准</w:t>
      </w:r>
    </w:p>
    <w:p w:rsidR="0073700B" w:rsidRDefault="001A2FFC" w:rsidP="00F80BAC">
      <w:pPr>
        <w:spacing w:beforeLines="50" w:before="156" w:line="360" w:lineRule="auto"/>
        <w:jc w:val="center"/>
        <w:rPr>
          <w:rFonts w:ascii="黑体" w:eastAsia="黑体" w:hAnsi="黑体"/>
          <w:b/>
          <w:sz w:val="44"/>
          <w:szCs w:val="44"/>
        </w:rPr>
      </w:pPr>
      <w:r>
        <w:rPr>
          <w:rFonts w:ascii="黑体" w:eastAsia="黑体" w:hAnsi="黑体"/>
          <w:b/>
          <w:sz w:val="44"/>
          <w:szCs w:val="44"/>
        </w:rPr>
        <w:t>公路工程施工安全风险评估指南</w:t>
      </w:r>
      <w:r>
        <w:rPr>
          <w:rFonts w:ascii="黑体" w:eastAsia="黑体" w:hAnsi="黑体"/>
          <w:b/>
          <w:sz w:val="44"/>
          <w:szCs w:val="44"/>
        </w:rPr>
        <w:t xml:space="preserve"> </w:t>
      </w:r>
    </w:p>
    <w:p w:rsidR="0073700B" w:rsidRDefault="001A2FFC" w:rsidP="00F80BAC">
      <w:pPr>
        <w:spacing w:beforeLines="50" w:before="156" w:line="360" w:lineRule="auto"/>
        <w:jc w:val="center"/>
        <w:rPr>
          <w:rFonts w:ascii="黑体" w:eastAsia="黑体" w:hAnsi="黑体"/>
          <w:b/>
          <w:sz w:val="44"/>
          <w:szCs w:val="44"/>
        </w:rPr>
      </w:pPr>
      <w:r>
        <w:rPr>
          <w:rFonts w:ascii="黑体" w:eastAsia="黑体" w:hAnsi="黑体" w:hint="eastAsia"/>
          <w:b/>
          <w:sz w:val="44"/>
          <w:szCs w:val="44"/>
        </w:rPr>
        <w:t>第</w:t>
      </w:r>
      <w:r>
        <w:rPr>
          <w:rFonts w:ascii="黑体" w:eastAsia="黑体" w:hAnsi="黑体" w:hint="eastAsia"/>
          <w:b/>
          <w:sz w:val="44"/>
          <w:szCs w:val="44"/>
        </w:rPr>
        <w:t>3</w:t>
      </w:r>
      <w:r>
        <w:rPr>
          <w:rFonts w:ascii="黑体" w:eastAsia="黑体" w:hAnsi="黑体" w:hint="eastAsia"/>
          <w:b/>
          <w:sz w:val="44"/>
          <w:szCs w:val="44"/>
        </w:rPr>
        <w:t>部分：隧道工程</w:t>
      </w:r>
    </w:p>
    <w:p w:rsidR="0073700B" w:rsidRDefault="001A2FFC" w:rsidP="00F80BAC">
      <w:pPr>
        <w:spacing w:beforeLines="50" w:before="156" w:line="360" w:lineRule="auto"/>
        <w:jc w:val="center"/>
        <w:rPr>
          <w:rFonts w:ascii="黑体" w:eastAsia="黑体" w:hAnsi="黑体"/>
          <w:b/>
          <w:sz w:val="44"/>
          <w:szCs w:val="44"/>
        </w:rPr>
      </w:pPr>
      <w:r>
        <w:rPr>
          <w:rFonts w:ascii="黑体" w:eastAsia="黑体" w:hAnsi="黑体"/>
          <w:b/>
          <w:sz w:val="44"/>
          <w:szCs w:val="44"/>
        </w:rPr>
        <w:t>（征求意见稿）</w:t>
      </w:r>
    </w:p>
    <w:p w:rsidR="0073700B" w:rsidRDefault="001A2FFC" w:rsidP="00F80BAC">
      <w:pPr>
        <w:spacing w:beforeLines="50" w:before="156" w:line="360" w:lineRule="auto"/>
        <w:jc w:val="center"/>
        <w:rPr>
          <w:rFonts w:eastAsia="楷体_GB2312"/>
          <w:bCs/>
          <w:sz w:val="44"/>
          <w:szCs w:val="44"/>
        </w:rPr>
      </w:pPr>
      <w:r>
        <w:rPr>
          <w:rFonts w:ascii="黑体" w:eastAsia="黑体" w:hAnsi="黑体" w:hint="eastAsia"/>
          <w:b/>
          <w:sz w:val="44"/>
          <w:szCs w:val="44"/>
        </w:rPr>
        <w:t>编制</w:t>
      </w:r>
      <w:r>
        <w:rPr>
          <w:rFonts w:ascii="黑体" w:eastAsia="黑体" w:hAnsi="黑体"/>
          <w:b/>
          <w:sz w:val="44"/>
          <w:szCs w:val="44"/>
        </w:rPr>
        <w:t>说明</w:t>
      </w:r>
    </w:p>
    <w:p w:rsidR="0073700B" w:rsidRDefault="0073700B">
      <w:pPr>
        <w:rPr>
          <w:bCs/>
          <w:sz w:val="28"/>
          <w:szCs w:val="28"/>
        </w:rPr>
      </w:pPr>
    </w:p>
    <w:p w:rsidR="0073700B" w:rsidRDefault="0073700B">
      <w:pPr>
        <w:rPr>
          <w:bCs/>
          <w:sz w:val="28"/>
          <w:szCs w:val="28"/>
        </w:rPr>
      </w:pPr>
    </w:p>
    <w:p w:rsidR="0073700B" w:rsidRDefault="0073700B">
      <w:pPr>
        <w:rPr>
          <w:bCs/>
          <w:sz w:val="28"/>
          <w:szCs w:val="28"/>
        </w:rPr>
      </w:pPr>
    </w:p>
    <w:p w:rsidR="0073700B" w:rsidRDefault="0073700B">
      <w:pPr>
        <w:rPr>
          <w:bCs/>
          <w:sz w:val="28"/>
          <w:szCs w:val="28"/>
        </w:rPr>
      </w:pPr>
    </w:p>
    <w:p w:rsidR="0073700B" w:rsidRDefault="0073700B">
      <w:pPr>
        <w:rPr>
          <w:rFonts w:eastAsia="楷体_GB2312"/>
          <w:bCs/>
          <w:sz w:val="32"/>
          <w:szCs w:val="32"/>
        </w:rPr>
      </w:pPr>
    </w:p>
    <w:p w:rsidR="0073700B" w:rsidRDefault="001A2FFC" w:rsidP="00F80BAC">
      <w:pPr>
        <w:spacing w:beforeLines="50" w:before="156" w:line="360" w:lineRule="auto"/>
        <w:jc w:val="center"/>
        <w:rPr>
          <w:rFonts w:ascii="黑体" w:eastAsia="黑体" w:hAnsi="黑体"/>
          <w:b/>
          <w:sz w:val="32"/>
          <w:szCs w:val="32"/>
        </w:rPr>
      </w:pPr>
      <w:r>
        <w:rPr>
          <w:rFonts w:ascii="黑体" w:eastAsia="黑体" w:hAnsi="黑体" w:hint="eastAsia"/>
          <w:b/>
          <w:sz w:val="32"/>
          <w:szCs w:val="32"/>
        </w:rPr>
        <w:t>标准</w:t>
      </w:r>
      <w:r>
        <w:rPr>
          <w:rFonts w:ascii="黑体" w:eastAsia="黑体" w:hAnsi="黑体"/>
          <w:b/>
          <w:sz w:val="32"/>
          <w:szCs w:val="32"/>
        </w:rPr>
        <w:t>编制组</w:t>
      </w:r>
    </w:p>
    <w:p w:rsidR="0073700B" w:rsidRDefault="001A2FFC" w:rsidP="00F80BAC">
      <w:pPr>
        <w:spacing w:beforeLines="50" w:before="156" w:line="360" w:lineRule="auto"/>
        <w:jc w:val="center"/>
        <w:rPr>
          <w:rFonts w:ascii="黑体" w:eastAsia="黑体" w:hAnsi="黑体"/>
          <w:b/>
          <w:sz w:val="32"/>
          <w:szCs w:val="32"/>
        </w:rPr>
        <w:sectPr w:rsidR="0073700B">
          <w:pgSz w:w="11906" w:h="16838"/>
          <w:pgMar w:top="1588" w:right="1814" w:bottom="1588" w:left="1814" w:header="851" w:footer="992" w:gutter="0"/>
          <w:cols w:space="720"/>
          <w:docGrid w:type="linesAndChars" w:linePitch="312"/>
        </w:sectPr>
      </w:pPr>
      <w:r>
        <w:rPr>
          <w:rFonts w:ascii="黑体" w:eastAsia="黑体" w:hAnsi="黑体"/>
          <w:b/>
          <w:sz w:val="32"/>
          <w:szCs w:val="32"/>
        </w:rPr>
        <w:t>二〇二〇年</w:t>
      </w:r>
      <w:r>
        <w:rPr>
          <w:rFonts w:ascii="黑体" w:eastAsia="黑体" w:hAnsi="黑体" w:hint="eastAsia"/>
          <w:b/>
          <w:sz w:val="32"/>
          <w:szCs w:val="32"/>
        </w:rPr>
        <w:t>二</w:t>
      </w:r>
      <w:r>
        <w:rPr>
          <w:rFonts w:ascii="黑体" w:eastAsia="黑体" w:hAnsi="黑体"/>
          <w:b/>
          <w:sz w:val="32"/>
          <w:szCs w:val="32"/>
        </w:rPr>
        <w:t>月</w:t>
      </w:r>
    </w:p>
    <w:p w:rsidR="0073700B" w:rsidRDefault="001A2FFC">
      <w:pPr>
        <w:pStyle w:val="10"/>
        <w:spacing w:before="0" w:after="0" w:line="360" w:lineRule="auto"/>
        <w:jc w:val="center"/>
        <w:rPr>
          <w:rFonts w:ascii="黑体" w:eastAsia="黑体" w:hAnsi="黑体"/>
          <w:bCs w:val="0"/>
          <w:sz w:val="32"/>
          <w:szCs w:val="32"/>
        </w:rPr>
      </w:pPr>
      <w:r>
        <w:rPr>
          <w:rFonts w:ascii="黑体" w:eastAsia="黑体" w:hAnsi="黑体"/>
          <w:bCs w:val="0"/>
          <w:sz w:val="32"/>
          <w:szCs w:val="32"/>
        </w:rPr>
        <w:lastRenderedPageBreak/>
        <w:t>目</w:t>
      </w:r>
      <w:r>
        <w:rPr>
          <w:rFonts w:ascii="黑体" w:eastAsia="黑体" w:hAnsi="黑体"/>
          <w:bCs w:val="0"/>
          <w:sz w:val="32"/>
          <w:szCs w:val="32"/>
        </w:rPr>
        <w:t xml:space="preserve">  </w:t>
      </w:r>
      <w:r>
        <w:rPr>
          <w:rFonts w:ascii="黑体" w:eastAsia="黑体" w:hAnsi="黑体"/>
          <w:bCs w:val="0"/>
          <w:sz w:val="32"/>
          <w:szCs w:val="32"/>
        </w:rPr>
        <w:t>录</w:t>
      </w:r>
    </w:p>
    <w:p w:rsidR="0073700B" w:rsidRDefault="001A2FFC" w:rsidP="00F80BAC">
      <w:pPr>
        <w:pStyle w:val="10"/>
        <w:tabs>
          <w:tab w:val="right" w:leader="dot" w:pos="8268"/>
        </w:tabs>
        <w:spacing w:beforeLines="50" w:before="156" w:after="0" w:line="360" w:lineRule="auto"/>
        <w:rPr>
          <w:rFonts w:ascii="Times New Roman" w:hAnsi="Times New Roman"/>
          <w:b w:val="0"/>
          <w:bCs w:val="0"/>
          <w:sz w:val="24"/>
          <w:szCs w:val="24"/>
        </w:rPr>
      </w:pPr>
      <w:r>
        <w:rPr>
          <w:rFonts w:ascii="Times New Roman" w:hAnsi="Times New Roman"/>
          <w:b w:val="0"/>
          <w:sz w:val="24"/>
          <w:szCs w:val="24"/>
        </w:rPr>
        <w:fldChar w:fldCharType="begin"/>
      </w:r>
      <w:r>
        <w:rPr>
          <w:rFonts w:ascii="Times New Roman" w:hAnsi="Times New Roman"/>
          <w:b w:val="0"/>
          <w:sz w:val="24"/>
          <w:szCs w:val="24"/>
        </w:rPr>
        <w:instrText xml:space="preserve"> TOC \o "1-1" \h \z \u </w:instrText>
      </w:r>
      <w:r>
        <w:rPr>
          <w:rFonts w:ascii="Times New Roman" w:hAnsi="Times New Roman"/>
          <w:b w:val="0"/>
          <w:sz w:val="24"/>
          <w:szCs w:val="24"/>
        </w:rPr>
        <w:fldChar w:fldCharType="separate"/>
      </w:r>
      <w:hyperlink w:anchor="_Toc32321801" w:history="1">
        <w:r>
          <w:rPr>
            <w:rStyle w:val="af3"/>
            <w:rFonts w:ascii="Times New Roman" w:hAnsi="Times New Roman"/>
            <w:b w:val="0"/>
            <w:bCs w:val="0"/>
            <w:sz w:val="24"/>
            <w:szCs w:val="24"/>
          </w:rPr>
          <w:t>一、工作简况</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_Toc32321801 \h </w:instrText>
        </w:r>
        <w:r>
          <w:rPr>
            <w:rFonts w:ascii="Times New Roman" w:hAnsi="Times New Roman"/>
            <w:b w:val="0"/>
            <w:bCs w:val="0"/>
            <w:sz w:val="24"/>
            <w:szCs w:val="24"/>
          </w:rPr>
        </w:r>
        <w:r>
          <w:rPr>
            <w:rFonts w:ascii="Times New Roman" w:hAnsi="Times New Roman"/>
            <w:b w:val="0"/>
            <w:bCs w:val="0"/>
            <w:sz w:val="24"/>
            <w:szCs w:val="24"/>
          </w:rPr>
          <w:fldChar w:fldCharType="separate"/>
        </w:r>
        <w:r>
          <w:rPr>
            <w:rFonts w:ascii="Times New Roman" w:hAnsi="Times New Roman"/>
            <w:b w:val="0"/>
            <w:bCs w:val="0"/>
            <w:sz w:val="24"/>
            <w:szCs w:val="24"/>
          </w:rPr>
          <w:t>3</w:t>
        </w:r>
        <w:r>
          <w:rPr>
            <w:rFonts w:ascii="Times New Roman" w:hAnsi="Times New Roman"/>
            <w:b w:val="0"/>
            <w:bCs w:val="0"/>
            <w:sz w:val="24"/>
            <w:szCs w:val="24"/>
          </w:rPr>
          <w:fldChar w:fldCharType="end"/>
        </w:r>
      </w:hyperlink>
    </w:p>
    <w:p w:rsidR="0073700B" w:rsidRDefault="001A2FFC" w:rsidP="00F80BAC">
      <w:pPr>
        <w:pStyle w:val="10"/>
        <w:tabs>
          <w:tab w:val="right" w:leader="dot" w:pos="8268"/>
        </w:tabs>
        <w:spacing w:beforeLines="50" w:before="156" w:after="0" w:line="360" w:lineRule="auto"/>
        <w:rPr>
          <w:rFonts w:ascii="Times New Roman" w:hAnsi="Times New Roman"/>
          <w:b w:val="0"/>
          <w:bCs w:val="0"/>
          <w:sz w:val="24"/>
          <w:szCs w:val="24"/>
        </w:rPr>
      </w:pPr>
      <w:hyperlink w:anchor="_Toc32321802" w:history="1">
        <w:r>
          <w:rPr>
            <w:rStyle w:val="af3"/>
            <w:rFonts w:ascii="Times New Roman" w:hAnsi="Times New Roman"/>
            <w:b w:val="0"/>
            <w:bCs w:val="0"/>
            <w:sz w:val="24"/>
            <w:szCs w:val="24"/>
          </w:rPr>
          <w:t>二、标准编制原则及主要内容</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_Toc32321802 \h </w:instrText>
        </w:r>
        <w:r>
          <w:rPr>
            <w:rFonts w:ascii="Times New Roman" w:hAnsi="Times New Roman"/>
            <w:b w:val="0"/>
            <w:bCs w:val="0"/>
            <w:sz w:val="24"/>
            <w:szCs w:val="24"/>
          </w:rPr>
        </w:r>
        <w:r>
          <w:rPr>
            <w:rFonts w:ascii="Times New Roman" w:hAnsi="Times New Roman"/>
            <w:b w:val="0"/>
            <w:bCs w:val="0"/>
            <w:sz w:val="24"/>
            <w:szCs w:val="24"/>
          </w:rPr>
          <w:fldChar w:fldCharType="separate"/>
        </w:r>
        <w:r>
          <w:rPr>
            <w:rFonts w:ascii="Times New Roman" w:hAnsi="Times New Roman"/>
            <w:b w:val="0"/>
            <w:bCs w:val="0"/>
            <w:sz w:val="24"/>
            <w:szCs w:val="24"/>
          </w:rPr>
          <w:t>7</w:t>
        </w:r>
        <w:r>
          <w:rPr>
            <w:rFonts w:ascii="Times New Roman" w:hAnsi="Times New Roman"/>
            <w:b w:val="0"/>
            <w:bCs w:val="0"/>
            <w:sz w:val="24"/>
            <w:szCs w:val="24"/>
          </w:rPr>
          <w:fldChar w:fldCharType="end"/>
        </w:r>
      </w:hyperlink>
    </w:p>
    <w:p w:rsidR="0073700B" w:rsidRDefault="001A2FFC" w:rsidP="00F80BAC">
      <w:pPr>
        <w:pStyle w:val="10"/>
        <w:tabs>
          <w:tab w:val="right" w:leader="dot" w:pos="8268"/>
        </w:tabs>
        <w:spacing w:beforeLines="50" w:before="156" w:after="0" w:line="360" w:lineRule="auto"/>
        <w:rPr>
          <w:rFonts w:ascii="Times New Roman" w:hAnsi="Times New Roman"/>
          <w:b w:val="0"/>
          <w:bCs w:val="0"/>
          <w:sz w:val="24"/>
          <w:szCs w:val="24"/>
        </w:rPr>
      </w:pPr>
      <w:hyperlink w:anchor="_Toc32321803" w:history="1">
        <w:r>
          <w:rPr>
            <w:rStyle w:val="af3"/>
            <w:rFonts w:ascii="Times New Roman" w:hAnsi="Times New Roman"/>
            <w:b w:val="0"/>
            <w:bCs w:val="0"/>
            <w:sz w:val="24"/>
            <w:szCs w:val="24"/>
          </w:rPr>
          <w:t>三、预期经济、社会效益</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_Toc32321803 \h </w:instrText>
        </w:r>
        <w:r>
          <w:rPr>
            <w:rFonts w:ascii="Times New Roman" w:hAnsi="Times New Roman"/>
            <w:b w:val="0"/>
            <w:bCs w:val="0"/>
            <w:sz w:val="24"/>
            <w:szCs w:val="24"/>
          </w:rPr>
        </w:r>
        <w:r>
          <w:rPr>
            <w:rFonts w:ascii="Times New Roman" w:hAnsi="Times New Roman"/>
            <w:b w:val="0"/>
            <w:bCs w:val="0"/>
            <w:sz w:val="24"/>
            <w:szCs w:val="24"/>
          </w:rPr>
          <w:fldChar w:fldCharType="separate"/>
        </w:r>
        <w:r>
          <w:rPr>
            <w:rFonts w:ascii="Times New Roman" w:hAnsi="Times New Roman"/>
            <w:b w:val="0"/>
            <w:bCs w:val="0"/>
            <w:sz w:val="24"/>
            <w:szCs w:val="24"/>
          </w:rPr>
          <w:t>88</w:t>
        </w:r>
        <w:r>
          <w:rPr>
            <w:rFonts w:ascii="Times New Roman" w:hAnsi="Times New Roman"/>
            <w:b w:val="0"/>
            <w:bCs w:val="0"/>
            <w:sz w:val="24"/>
            <w:szCs w:val="24"/>
          </w:rPr>
          <w:fldChar w:fldCharType="end"/>
        </w:r>
      </w:hyperlink>
    </w:p>
    <w:p w:rsidR="0073700B" w:rsidRDefault="001A2FFC" w:rsidP="00F80BAC">
      <w:pPr>
        <w:pStyle w:val="10"/>
        <w:tabs>
          <w:tab w:val="right" w:leader="dot" w:pos="8268"/>
        </w:tabs>
        <w:spacing w:beforeLines="50" w:before="156" w:after="0" w:line="360" w:lineRule="auto"/>
        <w:rPr>
          <w:rFonts w:ascii="Times New Roman" w:hAnsi="Times New Roman"/>
          <w:b w:val="0"/>
          <w:bCs w:val="0"/>
          <w:sz w:val="24"/>
          <w:szCs w:val="24"/>
        </w:rPr>
      </w:pPr>
      <w:hyperlink w:anchor="_Toc32321804" w:history="1">
        <w:r>
          <w:rPr>
            <w:rStyle w:val="af3"/>
            <w:rFonts w:ascii="Times New Roman" w:hAnsi="Times New Roman"/>
            <w:b w:val="0"/>
            <w:bCs w:val="0"/>
            <w:sz w:val="24"/>
            <w:szCs w:val="24"/>
          </w:rPr>
          <w:t>四、采用国际、国内标准的程度</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_Toc32321804 \h </w:instrText>
        </w:r>
        <w:r>
          <w:rPr>
            <w:rFonts w:ascii="Times New Roman" w:hAnsi="Times New Roman"/>
            <w:b w:val="0"/>
            <w:bCs w:val="0"/>
            <w:sz w:val="24"/>
            <w:szCs w:val="24"/>
          </w:rPr>
        </w:r>
        <w:r>
          <w:rPr>
            <w:rFonts w:ascii="Times New Roman" w:hAnsi="Times New Roman"/>
            <w:b w:val="0"/>
            <w:bCs w:val="0"/>
            <w:sz w:val="24"/>
            <w:szCs w:val="24"/>
          </w:rPr>
          <w:fldChar w:fldCharType="separate"/>
        </w:r>
        <w:r>
          <w:rPr>
            <w:rFonts w:ascii="Times New Roman" w:hAnsi="Times New Roman"/>
            <w:b w:val="0"/>
            <w:bCs w:val="0"/>
            <w:sz w:val="24"/>
            <w:szCs w:val="24"/>
          </w:rPr>
          <w:t>88</w:t>
        </w:r>
        <w:r>
          <w:rPr>
            <w:rFonts w:ascii="Times New Roman" w:hAnsi="Times New Roman"/>
            <w:b w:val="0"/>
            <w:bCs w:val="0"/>
            <w:sz w:val="24"/>
            <w:szCs w:val="24"/>
          </w:rPr>
          <w:fldChar w:fldCharType="end"/>
        </w:r>
      </w:hyperlink>
    </w:p>
    <w:p w:rsidR="0073700B" w:rsidRDefault="001A2FFC" w:rsidP="00F80BAC">
      <w:pPr>
        <w:pStyle w:val="10"/>
        <w:tabs>
          <w:tab w:val="right" w:leader="dot" w:pos="8268"/>
        </w:tabs>
        <w:spacing w:beforeLines="50" w:before="156" w:after="0" w:line="360" w:lineRule="auto"/>
        <w:rPr>
          <w:rFonts w:ascii="Times New Roman" w:hAnsi="Times New Roman"/>
          <w:b w:val="0"/>
          <w:bCs w:val="0"/>
          <w:sz w:val="24"/>
          <w:szCs w:val="24"/>
        </w:rPr>
      </w:pPr>
      <w:hyperlink w:anchor="_Toc32321805" w:history="1">
        <w:r>
          <w:rPr>
            <w:rStyle w:val="af3"/>
            <w:rFonts w:ascii="Times New Roman" w:hAnsi="Times New Roman"/>
            <w:b w:val="0"/>
            <w:bCs w:val="0"/>
            <w:sz w:val="24"/>
            <w:szCs w:val="24"/>
          </w:rPr>
          <w:t>五、与现行法律法规和标准的关系</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_Toc32321805 \h </w:instrText>
        </w:r>
        <w:r>
          <w:rPr>
            <w:rFonts w:ascii="Times New Roman" w:hAnsi="Times New Roman"/>
            <w:b w:val="0"/>
            <w:bCs w:val="0"/>
            <w:sz w:val="24"/>
            <w:szCs w:val="24"/>
          </w:rPr>
        </w:r>
        <w:r>
          <w:rPr>
            <w:rFonts w:ascii="Times New Roman" w:hAnsi="Times New Roman"/>
            <w:b w:val="0"/>
            <w:bCs w:val="0"/>
            <w:sz w:val="24"/>
            <w:szCs w:val="24"/>
          </w:rPr>
          <w:fldChar w:fldCharType="separate"/>
        </w:r>
        <w:r>
          <w:rPr>
            <w:rFonts w:ascii="Times New Roman" w:hAnsi="Times New Roman"/>
            <w:b w:val="0"/>
            <w:bCs w:val="0"/>
            <w:sz w:val="24"/>
            <w:szCs w:val="24"/>
          </w:rPr>
          <w:t>88</w:t>
        </w:r>
        <w:r>
          <w:rPr>
            <w:rFonts w:ascii="Times New Roman" w:hAnsi="Times New Roman"/>
            <w:b w:val="0"/>
            <w:bCs w:val="0"/>
            <w:sz w:val="24"/>
            <w:szCs w:val="24"/>
          </w:rPr>
          <w:fldChar w:fldCharType="end"/>
        </w:r>
      </w:hyperlink>
    </w:p>
    <w:p w:rsidR="0073700B" w:rsidRDefault="001A2FFC" w:rsidP="00F80BAC">
      <w:pPr>
        <w:pStyle w:val="10"/>
        <w:tabs>
          <w:tab w:val="right" w:leader="dot" w:pos="8268"/>
        </w:tabs>
        <w:spacing w:beforeLines="50" w:before="156" w:after="0" w:line="360" w:lineRule="auto"/>
        <w:rPr>
          <w:rFonts w:ascii="Times New Roman" w:hAnsi="Times New Roman"/>
          <w:b w:val="0"/>
          <w:bCs w:val="0"/>
          <w:sz w:val="24"/>
          <w:szCs w:val="24"/>
        </w:rPr>
      </w:pPr>
      <w:hyperlink w:anchor="_Toc32321806" w:history="1">
        <w:r>
          <w:rPr>
            <w:rStyle w:val="af3"/>
            <w:rFonts w:ascii="Times New Roman" w:hAnsi="Times New Roman"/>
            <w:b w:val="0"/>
            <w:bCs w:val="0"/>
            <w:sz w:val="24"/>
            <w:szCs w:val="24"/>
          </w:rPr>
          <w:t>六、重大分歧意见的处理经过和依据</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_Toc32321806 \h </w:instrText>
        </w:r>
        <w:r>
          <w:rPr>
            <w:rFonts w:ascii="Times New Roman" w:hAnsi="Times New Roman"/>
            <w:b w:val="0"/>
            <w:bCs w:val="0"/>
            <w:sz w:val="24"/>
            <w:szCs w:val="24"/>
          </w:rPr>
        </w:r>
        <w:r>
          <w:rPr>
            <w:rFonts w:ascii="Times New Roman" w:hAnsi="Times New Roman"/>
            <w:b w:val="0"/>
            <w:bCs w:val="0"/>
            <w:sz w:val="24"/>
            <w:szCs w:val="24"/>
          </w:rPr>
          <w:fldChar w:fldCharType="separate"/>
        </w:r>
        <w:r>
          <w:rPr>
            <w:rFonts w:ascii="Times New Roman" w:hAnsi="Times New Roman"/>
            <w:b w:val="0"/>
            <w:bCs w:val="0"/>
            <w:sz w:val="24"/>
            <w:szCs w:val="24"/>
          </w:rPr>
          <w:t>89</w:t>
        </w:r>
        <w:r>
          <w:rPr>
            <w:rFonts w:ascii="Times New Roman" w:hAnsi="Times New Roman"/>
            <w:b w:val="0"/>
            <w:bCs w:val="0"/>
            <w:sz w:val="24"/>
            <w:szCs w:val="24"/>
          </w:rPr>
          <w:fldChar w:fldCharType="end"/>
        </w:r>
      </w:hyperlink>
    </w:p>
    <w:p w:rsidR="0073700B" w:rsidRDefault="001A2FFC" w:rsidP="00F80BAC">
      <w:pPr>
        <w:pStyle w:val="10"/>
        <w:tabs>
          <w:tab w:val="right" w:leader="dot" w:pos="8268"/>
        </w:tabs>
        <w:spacing w:beforeLines="50" w:before="156" w:after="0" w:line="360" w:lineRule="auto"/>
        <w:rPr>
          <w:rFonts w:ascii="Times New Roman" w:eastAsiaTheme="minorEastAsia" w:hAnsi="Times New Roman"/>
          <w:b w:val="0"/>
          <w:bCs w:val="0"/>
          <w:sz w:val="21"/>
          <w:szCs w:val="22"/>
        </w:rPr>
      </w:pPr>
      <w:hyperlink w:anchor="_Toc32321807" w:history="1">
        <w:r>
          <w:rPr>
            <w:rStyle w:val="af3"/>
            <w:rFonts w:ascii="Times New Roman" w:hAnsi="Times New Roman"/>
            <w:b w:val="0"/>
            <w:bCs w:val="0"/>
            <w:sz w:val="24"/>
            <w:szCs w:val="24"/>
          </w:rPr>
          <w:t>七、其它应予说明的事项</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_Toc32321807 \h </w:instrText>
        </w:r>
        <w:r>
          <w:rPr>
            <w:rFonts w:ascii="Times New Roman" w:hAnsi="Times New Roman"/>
            <w:b w:val="0"/>
            <w:bCs w:val="0"/>
            <w:sz w:val="24"/>
            <w:szCs w:val="24"/>
          </w:rPr>
        </w:r>
        <w:r>
          <w:rPr>
            <w:rFonts w:ascii="Times New Roman" w:hAnsi="Times New Roman"/>
            <w:b w:val="0"/>
            <w:bCs w:val="0"/>
            <w:sz w:val="24"/>
            <w:szCs w:val="24"/>
          </w:rPr>
          <w:fldChar w:fldCharType="separate"/>
        </w:r>
        <w:r>
          <w:rPr>
            <w:rFonts w:ascii="Times New Roman" w:hAnsi="Times New Roman"/>
            <w:b w:val="0"/>
            <w:bCs w:val="0"/>
            <w:sz w:val="24"/>
            <w:szCs w:val="24"/>
          </w:rPr>
          <w:t>89</w:t>
        </w:r>
        <w:r>
          <w:rPr>
            <w:rFonts w:ascii="Times New Roman" w:hAnsi="Times New Roman"/>
            <w:b w:val="0"/>
            <w:bCs w:val="0"/>
            <w:sz w:val="24"/>
            <w:szCs w:val="24"/>
          </w:rPr>
          <w:fldChar w:fldCharType="end"/>
        </w:r>
      </w:hyperlink>
    </w:p>
    <w:p w:rsidR="0073700B" w:rsidRDefault="001A2FFC">
      <w:pPr>
        <w:rPr>
          <w:bCs/>
        </w:rPr>
      </w:pPr>
      <w:r>
        <w:rPr>
          <w:bCs/>
          <w:sz w:val="24"/>
          <w:szCs w:val="24"/>
        </w:rPr>
        <w:fldChar w:fldCharType="end"/>
      </w:r>
    </w:p>
    <w:p w:rsidR="0073700B" w:rsidRDefault="0073700B">
      <w:pPr>
        <w:jc w:val="center"/>
        <w:rPr>
          <w:bCs/>
        </w:rPr>
        <w:sectPr w:rsidR="0073700B">
          <w:pgSz w:w="11906" w:h="16838"/>
          <w:pgMar w:top="1588" w:right="1814" w:bottom="1588" w:left="1814" w:header="851" w:footer="992" w:gutter="0"/>
          <w:cols w:space="720"/>
          <w:docGrid w:type="linesAndChars" w:linePitch="312"/>
        </w:sectPr>
      </w:pPr>
    </w:p>
    <w:p w:rsidR="0073700B" w:rsidRDefault="001A2FFC" w:rsidP="00F80BAC">
      <w:pPr>
        <w:pStyle w:val="1"/>
        <w:spacing w:before="0" w:after="0" w:line="360" w:lineRule="auto"/>
        <w:ind w:firstLineChars="200" w:firstLine="602"/>
        <w:rPr>
          <w:rFonts w:eastAsia="黑体"/>
          <w:bCs w:val="0"/>
          <w:sz w:val="30"/>
          <w:szCs w:val="30"/>
        </w:rPr>
      </w:pPr>
      <w:bookmarkStart w:id="1" w:name="_Toc32321801"/>
      <w:bookmarkStart w:id="2" w:name="_Toc462128631"/>
      <w:bookmarkStart w:id="3" w:name="_Toc494537403"/>
      <w:r>
        <w:rPr>
          <w:rFonts w:eastAsia="黑体"/>
          <w:bCs w:val="0"/>
          <w:sz w:val="30"/>
          <w:szCs w:val="30"/>
        </w:rPr>
        <w:lastRenderedPageBreak/>
        <w:t>一、工作简况</w:t>
      </w:r>
      <w:bookmarkEnd w:id="1"/>
      <w:bookmarkEnd w:id="2"/>
      <w:bookmarkEnd w:id="3"/>
    </w:p>
    <w:p w:rsidR="0073700B" w:rsidRDefault="001A2FFC" w:rsidP="00F80BAC">
      <w:pPr>
        <w:spacing w:line="360" w:lineRule="auto"/>
        <w:ind w:firstLineChars="200" w:firstLine="482"/>
        <w:outlineLvl w:val="1"/>
        <w:rPr>
          <w:b/>
          <w:sz w:val="24"/>
          <w:szCs w:val="20"/>
        </w:rPr>
      </w:pPr>
      <w:bookmarkStart w:id="4" w:name="_Toc462128632"/>
      <w:bookmarkStart w:id="5" w:name="_Toc494537404"/>
      <w:r>
        <w:rPr>
          <w:b/>
          <w:sz w:val="24"/>
          <w:szCs w:val="20"/>
        </w:rPr>
        <w:t>（一）任务来源</w:t>
      </w:r>
      <w:bookmarkEnd w:id="4"/>
      <w:bookmarkEnd w:id="5"/>
      <w:r>
        <w:rPr>
          <w:rFonts w:hint="eastAsia"/>
          <w:b/>
          <w:sz w:val="24"/>
          <w:szCs w:val="20"/>
        </w:rPr>
        <w:t>。</w:t>
      </w:r>
    </w:p>
    <w:p w:rsidR="0073700B" w:rsidRDefault="001A2FFC" w:rsidP="00F80BAC">
      <w:pPr>
        <w:spacing w:beforeLines="50" w:before="156" w:line="360" w:lineRule="auto"/>
        <w:ind w:firstLineChars="200" w:firstLine="480"/>
        <w:outlineLvl w:val="1"/>
        <w:rPr>
          <w:bCs/>
          <w:sz w:val="24"/>
          <w:szCs w:val="20"/>
        </w:rPr>
      </w:pPr>
      <w:r>
        <w:rPr>
          <w:bCs/>
          <w:sz w:val="24"/>
          <w:szCs w:val="20"/>
        </w:rPr>
        <w:t>近年来，我国公路隧道建设发展迅速，隧道工程向深埋、长大等方向发展，隧道工程地质条件、施工条件更加复杂，作业安全风险更加突出。为加强隧道工程施工安全风险预控管理，有效防范施工安全事故发生，有必要在施工阶段推行隧道工程施工安全风险评估工作，增强风险管理意识，优化施工方案，提高施工安全风险辨识和防控能力。</w:t>
      </w:r>
    </w:p>
    <w:p w:rsidR="0073700B" w:rsidRDefault="001A2FFC" w:rsidP="00F80BAC">
      <w:pPr>
        <w:spacing w:beforeLines="50" w:before="156" w:line="360" w:lineRule="auto"/>
        <w:ind w:firstLineChars="200" w:firstLine="480"/>
        <w:outlineLvl w:val="1"/>
        <w:rPr>
          <w:bCs/>
          <w:sz w:val="24"/>
          <w:szCs w:val="20"/>
        </w:rPr>
      </w:pPr>
      <w:r>
        <w:rPr>
          <w:bCs/>
          <w:sz w:val="24"/>
          <w:szCs w:val="20"/>
        </w:rPr>
        <w:t>2011</w:t>
      </w:r>
      <w:r>
        <w:rPr>
          <w:bCs/>
          <w:sz w:val="24"/>
          <w:szCs w:val="20"/>
        </w:rPr>
        <w:t>年交通运输部出台了《公路桥梁和隧道工程施工安全风险评估指南》，提高了工程项目的风险防控意识，加强了施工安全风险管控工作，风险管</w:t>
      </w:r>
      <w:proofErr w:type="gramStart"/>
      <w:r>
        <w:rPr>
          <w:bCs/>
          <w:sz w:val="24"/>
          <w:szCs w:val="20"/>
        </w:rPr>
        <w:t>控效果</w:t>
      </w:r>
      <w:proofErr w:type="gramEnd"/>
      <w:r>
        <w:rPr>
          <w:bCs/>
          <w:sz w:val="24"/>
          <w:szCs w:val="20"/>
        </w:rPr>
        <w:t>明显。但执行过程中，仍存在管理程序不规范、风险评估准确性不高、后期结果应用效果不佳等问题。为此，</w:t>
      </w:r>
      <w:bookmarkStart w:id="6" w:name="_Hlk29028693"/>
      <w:r>
        <w:rPr>
          <w:rFonts w:hint="eastAsia"/>
          <w:bCs/>
          <w:sz w:val="24"/>
          <w:szCs w:val="20"/>
        </w:rPr>
        <w:t>交通运输</w:t>
      </w:r>
      <w:proofErr w:type="gramStart"/>
      <w:r>
        <w:rPr>
          <w:rFonts w:hint="eastAsia"/>
          <w:bCs/>
          <w:sz w:val="24"/>
          <w:szCs w:val="20"/>
        </w:rPr>
        <w:t>部安全</w:t>
      </w:r>
      <w:proofErr w:type="gramEnd"/>
      <w:r>
        <w:rPr>
          <w:rFonts w:hint="eastAsia"/>
          <w:bCs/>
          <w:sz w:val="24"/>
          <w:szCs w:val="20"/>
        </w:rPr>
        <w:t>与质量监督管理司组织开展《</w:t>
      </w:r>
      <w:r>
        <w:rPr>
          <w:bCs/>
          <w:sz w:val="24"/>
          <w:szCs w:val="20"/>
        </w:rPr>
        <w:t>公路工程施工安全风险评估指南</w:t>
      </w:r>
      <w:r>
        <w:rPr>
          <w:rFonts w:hint="eastAsia"/>
          <w:bCs/>
          <w:sz w:val="24"/>
          <w:szCs w:val="20"/>
        </w:rPr>
        <w:t>》编制工作，共分为《</w:t>
      </w:r>
      <w:r>
        <w:rPr>
          <w:bCs/>
          <w:sz w:val="24"/>
          <w:szCs w:val="20"/>
        </w:rPr>
        <w:t>公路工程施工安全风险评估指南</w:t>
      </w:r>
      <w:r>
        <w:rPr>
          <w:rFonts w:hint="eastAsia"/>
          <w:bCs/>
          <w:sz w:val="24"/>
          <w:szCs w:val="20"/>
        </w:rPr>
        <w:t xml:space="preserve">  </w:t>
      </w:r>
      <w:r>
        <w:rPr>
          <w:rFonts w:hint="eastAsia"/>
          <w:bCs/>
          <w:sz w:val="24"/>
          <w:szCs w:val="20"/>
        </w:rPr>
        <w:t>第</w:t>
      </w:r>
      <w:r>
        <w:rPr>
          <w:rFonts w:hint="eastAsia"/>
          <w:bCs/>
          <w:sz w:val="24"/>
          <w:szCs w:val="20"/>
        </w:rPr>
        <w:t>1</w:t>
      </w:r>
      <w:r>
        <w:rPr>
          <w:rFonts w:hint="eastAsia"/>
          <w:bCs/>
          <w:sz w:val="24"/>
          <w:szCs w:val="20"/>
        </w:rPr>
        <w:t>部分：总体要求》、《</w:t>
      </w:r>
      <w:r>
        <w:rPr>
          <w:bCs/>
          <w:sz w:val="24"/>
          <w:szCs w:val="20"/>
        </w:rPr>
        <w:t>公路工程施工安全风险评估指南</w:t>
      </w:r>
      <w:r>
        <w:rPr>
          <w:rFonts w:hint="eastAsia"/>
          <w:bCs/>
          <w:sz w:val="24"/>
          <w:szCs w:val="20"/>
        </w:rPr>
        <w:t xml:space="preserve">  </w:t>
      </w:r>
      <w:r>
        <w:rPr>
          <w:rFonts w:hint="eastAsia"/>
          <w:bCs/>
          <w:sz w:val="24"/>
          <w:szCs w:val="20"/>
        </w:rPr>
        <w:t>第</w:t>
      </w:r>
      <w:r>
        <w:rPr>
          <w:rFonts w:hint="eastAsia"/>
          <w:bCs/>
          <w:sz w:val="24"/>
          <w:szCs w:val="20"/>
        </w:rPr>
        <w:t>2</w:t>
      </w:r>
      <w:r>
        <w:rPr>
          <w:rFonts w:hint="eastAsia"/>
          <w:bCs/>
          <w:sz w:val="24"/>
          <w:szCs w:val="20"/>
        </w:rPr>
        <w:t>部分：桥梁工程》、《</w:t>
      </w:r>
      <w:r>
        <w:rPr>
          <w:bCs/>
          <w:sz w:val="24"/>
          <w:szCs w:val="20"/>
        </w:rPr>
        <w:t>公路工程施工安全风险评估指南</w:t>
      </w:r>
      <w:r>
        <w:rPr>
          <w:rFonts w:hint="eastAsia"/>
          <w:bCs/>
          <w:sz w:val="24"/>
          <w:szCs w:val="20"/>
        </w:rPr>
        <w:t xml:space="preserve">  </w:t>
      </w:r>
      <w:r>
        <w:rPr>
          <w:rFonts w:hint="eastAsia"/>
          <w:bCs/>
          <w:sz w:val="24"/>
          <w:szCs w:val="20"/>
        </w:rPr>
        <w:t>第</w:t>
      </w:r>
      <w:r>
        <w:rPr>
          <w:rFonts w:hint="eastAsia"/>
          <w:bCs/>
          <w:sz w:val="24"/>
          <w:szCs w:val="20"/>
        </w:rPr>
        <w:t>3</w:t>
      </w:r>
      <w:r>
        <w:rPr>
          <w:rFonts w:hint="eastAsia"/>
          <w:bCs/>
          <w:sz w:val="24"/>
          <w:szCs w:val="20"/>
        </w:rPr>
        <w:t>部分：隧道工程》与《</w:t>
      </w:r>
      <w:r>
        <w:rPr>
          <w:bCs/>
          <w:sz w:val="24"/>
          <w:szCs w:val="20"/>
        </w:rPr>
        <w:t>公路工程施工安全风险</w:t>
      </w:r>
      <w:r>
        <w:rPr>
          <w:bCs/>
          <w:sz w:val="24"/>
          <w:szCs w:val="20"/>
        </w:rPr>
        <w:t>评估指南</w:t>
      </w:r>
      <w:r>
        <w:rPr>
          <w:rFonts w:hint="eastAsia"/>
          <w:bCs/>
          <w:sz w:val="24"/>
          <w:szCs w:val="20"/>
        </w:rPr>
        <w:t xml:space="preserve">  </w:t>
      </w:r>
      <w:r>
        <w:rPr>
          <w:rFonts w:hint="eastAsia"/>
          <w:bCs/>
          <w:sz w:val="24"/>
          <w:szCs w:val="20"/>
        </w:rPr>
        <w:t>第</w:t>
      </w:r>
      <w:r>
        <w:rPr>
          <w:rFonts w:hint="eastAsia"/>
          <w:bCs/>
          <w:sz w:val="24"/>
          <w:szCs w:val="20"/>
        </w:rPr>
        <w:t>4</w:t>
      </w:r>
      <w:r>
        <w:rPr>
          <w:rFonts w:hint="eastAsia"/>
          <w:bCs/>
          <w:sz w:val="24"/>
          <w:szCs w:val="20"/>
        </w:rPr>
        <w:t>部分：</w:t>
      </w:r>
      <w:r>
        <w:rPr>
          <w:rFonts w:hint="eastAsia"/>
          <w:bCs/>
          <w:sz w:val="24"/>
          <w:szCs w:val="20"/>
        </w:rPr>
        <w:t>高边坡</w:t>
      </w:r>
      <w:r>
        <w:rPr>
          <w:rFonts w:hint="eastAsia"/>
          <w:bCs/>
          <w:sz w:val="24"/>
          <w:szCs w:val="20"/>
        </w:rPr>
        <w:t>工程》。其中，</w:t>
      </w:r>
      <w:r>
        <w:rPr>
          <w:bCs/>
          <w:sz w:val="24"/>
          <w:szCs w:val="20"/>
        </w:rPr>
        <w:t>交通运输部公路科学研究院、北京科技大学、交通运输部科学研究院</w:t>
      </w:r>
      <w:bookmarkEnd w:id="6"/>
      <w:r>
        <w:rPr>
          <w:bCs/>
          <w:sz w:val="24"/>
          <w:szCs w:val="20"/>
        </w:rPr>
        <w:t>等单位开展了</w:t>
      </w:r>
      <w:r>
        <w:rPr>
          <w:rFonts w:hint="eastAsia"/>
          <w:bCs/>
          <w:sz w:val="24"/>
          <w:szCs w:val="20"/>
        </w:rPr>
        <w:t>《</w:t>
      </w:r>
      <w:r>
        <w:rPr>
          <w:bCs/>
          <w:sz w:val="24"/>
          <w:szCs w:val="20"/>
        </w:rPr>
        <w:t>公路工程施工安全风险评估指南</w:t>
      </w:r>
      <w:r>
        <w:rPr>
          <w:rFonts w:hint="eastAsia"/>
          <w:bCs/>
          <w:sz w:val="24"/>
          <w:szCs w:val="20"/>
        </w:rPr>
        <w:t xml:space="preserve">  </w:t>
      </w:r>
      <w:r>
        <w:rPr>
          <w:rFonts w:hint="eastAsia"/>
          <w:bCs/>
          <w:sz w:val="24"/>
          <w:szCs w:val="20"/>
        </w:rPr>
        <w:t>第</w:t>
      </w:r>
      <w:r>
        <w:rPr>
          <w:rFonts w:hint="eastAsia"/>
          <w:bCs/>
          <w:sz w:val="24"/>
          <w:szCs w:val="20"/>
        </w:rPr>
        <w:t>3</w:t>
      </w:r>
      <w:r>
        <w:rPr>
          <w:rFonts w:hint="eastAsia"/>
          <w:bCs/>
          <w:sz w:val="24"/>
          <w:szCs w:val="20"/>
        </w:rPr>
        <w:t>部分：</w:t>
      </w:r>
      <w:r>
        <w:rPr>
          <w:bCs/>
          <w:sz w:val="24"/>
          <w:szCs w:val="20"/>
        </w:rPr>
        <w:t>隧道</w:t>
      </w:r>
      <w:r>
        <w:rPr>
          <w:rFonts w:hint="eastAsia"/>
          <w:bCs/>
          <w:sz w:val="24"/>
          <w:szCs w:val="20"/>
        </w:rPr>
        <w:t>工程》</w:t>
      </w:r>
      <w:r>
        <w:rPr>
          <w:bCs/>
          <w:sz w:val="24"/>
          <w:szCs w:val="20"/>
        </w:rPr>
        <w:t>的研究工作。根据交通运输部</w:t>
      </w:r>
      <w:r>
        <w:rPr>
          <w:rFonts w:hint="eastAsia"/>
          <w:bCs/>
          <w:sz w:val="24"/>
          <w:szCs w:val="20"/>
        </w:rPr>
        <w:t>《</w:t>
      </w:r>
      <w:r>
        <w:rPr>
          <w:bCs/>
          <w:sz w:val="24"/>
          <w:szCs w:val="20"/>
        </w:rPr>
        <w:t>关于下达</w:t>
      </w:r>
      <w:r>
        <w:rPr>
          <w:bCs/>
          <w:sz w:val="24"/>
          <w:szCs w:val="20"/>
        </w:rPr>
        <w:t>2018</w:t>
      </w:r>
      <w:r>
        <w:rPr>
          <w:bCs/>
          <w:sz w:val="24"/>
          <w:szCs w:val="20"/>
        </w:rPr>
        <w:t>年交通运输标准化计划的通知</w:t>
      </w:r>
      <w:r>
        <w:rPr>
          <w:rFonts w:hint="eastAsia"/>
          <w:bCs/>
          <w:sz w:val="24"/>
          <w:szCs w:val="20"/>
        </w:rPr>
        <w:t>》</w:t>
      </w:r>
      <w:r>
        <w:rPr>
          <w:bCs/>
          <w:sz w:val="24"/>
          <w:szCs w:val="20"/>
        </w:rPr>
        <w:t>（</w:t>
      </w:r>
      <w:proofErr w:type="gramStart"/>
      <w:r>
        <w:rPr>
          <w:bCs/>
          <w:sz w:val="24"/>
          <w:szCs w:val="20"/>
        </w:rPr>
        <w:t>交科技函</w:t>
      </w:r>
      <w:proofErr w:type="gramEnd"/>
      <w:r>
        <w:rPr>
          <w:bCs/>
          <w:sz w:val="24"/>
          <w:szCs w:val="20"/>
        </w:rPr>
        <w:t>〔</w:t>
      </w:r>
      <w:r>
        <w:rPr>
          <w:bCs/>
          <w:sz w:val="24"/>
          <w:szCs w:val="20"/>
        </w:rPr>
        <w:t>2018</w:t>
      </w:r>
      <w:r>
        <w:rPr>
          <w:bCs/>
          <w:sz w:val="24"/>
          <w:szCs w:val="20"/>
        </w:rPr>
        <w:t>〕</w:t>
      </w:r>
      <w:r>
        <w:rPr>
          <w:bCs/>
          <w:sz w:val="24"/>
          <w:szCs w:val="20"/>
        </w:rPr>
        <w:t>235</w:t>
      </w:r>
      <w:r>
        <w:rPr>
          <w:bCs/>
          <w:sz w:val="24"/>
          <w:szCs w:val="20"/>
        </w:rPr>
        <w:t>号）的要求，本</w:t>
      </w:r>
      <w:r>
        <w:rPr>
          <w:rFonts w:hint="eastAsia"/>
          <w:bCs/>
          <w:sz w:val="24"/>
          <w:szCs w:val="20"/>
        </w:rPr>
        <w:t>部分</w:t>
      </w:r>
      <w:r>
        <w:rPr>
          <w:bCs/>
          <w:sz w:val="24"/>
          <w:szCs w:val="20"/>
        </w:rPr>
        <w:t>由交通运输部公路科学研究院、北京科技大学、交通运输部科学研究院</w:t>
      </w:r>
      <w:r>
        <w:rPr>
          <w:rFonts w:hint="eastAsia"/>
          <w:bCs/>
          <w:sz w:val="24"/>
          <w:szCs w:val="20"/>
        </w:rPr>
        <w:t>、昆明理工大学</w:t>
      </w:r>
      <w:r>
        <w:rPr>
          <w:bCs/>
          <w:sz w:val="24"/>
          <w:szCs w:val="20"/>
        </w:rPr>
        <w:t>等单位共同制定，计划号</w:t>
      </w:r>
      <w:r>
        <w:rPr>
          <w:rFonts w:hint="eastAsia"/>
          <w:bCs/>
          <w:sz w:val="24"/>
          <w:szCs w:val="20"/>
        </w:rPr>
        <w:t>为</w:t>
      </w:r>
      <w:r>
        <w:rPr>
          <w:sz w:val="24"/>
          <w:szCs w:val="24"/>
        </w:rPr>
        <w:t>JT 2018-16</w:t>
      </w:r>
      <w:r>
        <w:rPr>
          <w:bCs/>
          <w:sz w:val="24"/>
          <w:szCs w:val="20"/>
        </w:rPr>
        <w:t>。</w:t>
      </w:r>
    </w:p>
    <w:p w:rsidR="0073700B" w:rsidRDefault="001A2FFC" w:rsidP="00F80BAC">
      <w:pPr>
        <w:spacing w:line="360" w:lineRule="auto"/>
        <w:ind w:firstLineChars="200" w:firstLine="482"/>
        <w:outlineLvl w:val="1"/>
        <w:rPr>
          <w:b/>
          <w:sz w:val="24"/>
          <w:szCs w:val="20"/>
        </w:rPr>
      </w:pPr>
      <w:r>
        <w:rPr>
          <w:b/>
          <w:sz w:val="24"/>
          <w:szCs w:val="20"/>
        </w:rPr>
        <w:t>（二）主要工作过程</w:t>
      </w:r>
      <w:r>
        <w:rPr>
          <w:rFonts w:hint="eastAsia"/>
          <w:b/>
          <w:sz w:val="24"/>
          <w:szCs w:val="20"/>
        </w:rPr>
        <w:t>。</w:t>
      </w:r>
    </w:p>
    <w:p w:rsidR="0073700B" w:rsidRDefault="001A2FFC" w:rsidP="00F80BAC">
      <w:pPr>
        <w:spacing w:line="360" w:lineRule="auto"/>
        <w:ind w:firstLineChars="200" w:firstLine="482"/>
        <w:outlineLvl w:val="2"/>
        <w:rPr>
          <w:b/>
          <w:sz w:val="24"/>
          <w:szCs w:val="20"/>
        </w:rPr>
      </w:pPr>
      <w:r>
        <w:rPr>
          <w:b/>
          <w:sz w:val="24"/>
          <w:szCs w:val="20"/>
        </w:rPr>
        <w:t xml:space="preserve">1. </w:t>
      </w:r>
      <w:r>
        <w:rPr>
          <w:b/>
          <w:sz w:val="24"/>
          <w:szCs w:val="20"/>
        </w:rPr>
        <w:t>前期研究阶段</w:t>
      </w:r>
    </w:p>
    <w:p w:rsidR="0073700B" w:rsidRDefault="001A2FFC" w:rsidP="00F80BAC">
      <w:pPr>
        <w:spacing w:beforeLines="50" w:before="156" w:line="360" w:lineRule="auto"/>
        <w:ind w:firstLineChars="200" w:firstLine="480"/>
        <w:rPr>
          <w:bCs/>
          <w:sz w:val="24"/>
          <w:szCs w:val="20"/>
        </w:rPr>
      </w:pPr>
      <w:r>
        <w:rPr>
          <w:bCs/>
          <w:sz w:val="24"/>
          <w:szCs w:val="20"/>
        </w:rPr>
        <w:t>2018</w:t>
      </w:r>
      <w:r>
        <w:rPr>
          <w:bCs/>
          <w:sz w:val="24"/>
          <w:szCs w:val="20"/>
        </w:rPr>
        <w:t>年</w:t>
      </w:r>
      <w:r>
        <w:rPr>
          <w:bCs/>
          <w:sz w:val="24"/>
          <w:szCs w:val="20"/>
        </w:rPr>
        <w:t>1</w:t>
      </w:r>
      <w:r>
        <w:rPr>
          <w:bCs/>
          <w:sz w:val="24"/>
          <w:szCs w:val="20"/>
        </w:rPr>
        <w:t>月，前期调研工作正式启动，起草组开始全面搜集整理</w:t>
      </w:r>
      <w:r>
        <w:rPr>
          <w:bCs/>
          <w:sz w:val="24"/>
          <w:szCs w:val="20"/>
        </w:rPr>
        <w:t>国内外风险评估领域的文献、规范和标准，对现行指南进行分析和对比研究，撰写《隧道施工风险评估方法调研与分析》。</w:t>
      </w:r>
    </w:p>
    <w:p w:rsidR="0073700B" w:rsidRDefault="001A2FFC" w:rsidP="00F80BAC">
      <w:pPr>
        <w:spacing w:beforeLines="50" w:before="156" w:line="360" w:lineRule="auto"/>
        <w:ind w:firstLineChars="200" w:firstLine="480"/>
        <w:rPr>
          <w:bCs/>
          <w:sz w:val="24"/>
          <w:szCs w:val="20"/>
        </w:rPr>
      </w:pPr>
      <w:r>
        <w:rPr>
          <w:bCs/>
          <w:sz w:val="24"/>
          <w:szCs w:val="20"/>
        </w:rPr>
        <w:t>2018</w:t>
      </w:r>
      <w:r>
        <w:rPr>
          <w:bCs/>
          <w:sz w:val="24"/>
          <w:szCs w:val="20"/>
        </w:rPr>
        <w:t>年</w:t>
      </w:r>
      <w:r>
        <w:rPr>
          <w:bCs/>
          <w:sz w:val="24"/>
          <w:szCs w:val="20"/>
        </w:rPr>
        <w:t>2</w:t>
      </w:r>
      <w:r>
        <w:rPr>
          <w:bCs/>
          <w:sz w:val="24"/>
          <w:szCs w:val="20"/>
        </w:rPr>
        <w:t>月，交通运输</w:t>
      </w:r>
      <w:proofErr w:type="gramStart"/>
      <w:r>
        <w:rPr>
          <w:bCs/>
          <w:sz w:val="24"/>
          <w:szCs w:val="20"/>
        </w:rPr>
        <w:t>部安全</w:t>
      </w:r>
      <w:proofErr w:type="gramEnd"/>
      <w:r>
        <w:rPr>
          <w:bCs/>
          <w:sz w:val="24"/>
          <w:szCs w:val="20"/>
        </w:rPr>
        <w:t>与质量监督管理</w:t>
      </w:r>
      <w:proofErr w:type="gramStart"/>
      <w:r>
        <w:rPr>
          <w:bCs/>
          <w:sz w:val="24"/>
          <w:szCs w:val="20"/>
        </w:rPr>
        <w:t>司公路</w:t>
      </w:r>
      <w:proofErr w:type="gramEnd"/>
      <w:r>
        <w:rPr>
          <w:bCs/>
          <w:sz w:val="24"/>
          <w:szCs w:val="20"/>
        </w:rPr>
        <w:t>处在京主持召开了</w:t>
      </w:r>
      <w:r>
        <w:rPr>
          <w:bCs/>
          <w:sz w:val="24"/>
          <w:szCs w:val="20"/>
        </w:rPr>
        <w:t>“</w:t>
      </w:r>
      <w:r>
        <w:rPr>
          <w:bCs/>
          <w:sz w:val="24"/>
          <w:szCs w:val="20"/>
        </w:rPr>
        <w:t>隧</w:t>
      </w:r>
      <w:r>
        <w:rPr>
          <w:bCs/>
          <w:sz w:val="24"/>
          <w:szCs w:val="20"/>
        </w:rPr>
        <w:lastRenderedPageBreak/>
        <w:t>道施工安全风险评估方法调研与分析</w:t>
      </w:r>
      <w:r>
        <w:rPr>
          <w:bCs/>
          <w:sz w:val="24"/>
          <w:szCs w:val="20"/>
        </w:rPr>
        <w:t>”</w:t>
      </w:r>
      <w:r>
        <w:rPr>
          <w:bCs/>
          <w:sz w:val="24"/>
          <w:szCs w:val="20"/>
        </w:rPr>
        <w:t>研讨会，会议听取了起草组关于隧道施工安全风险评估方法现状的调研分析报告。</w:t>
      </w:r>
    </w:p>
    <w:p w:rsidR="0073700B" w:rsidRDefault="001A2FFC" w:rsidP="00F80BAC">
      <w:pPr>
        <w:spacing w:beforeLines="50" w:before="156" w:line="360" w:lineRule="auto"/>
        <w:ind w:firstLineChars="200" w:firstLine="480"/>
        <w:rPr>
          <w:bCs/>
          <w:sz w:val="24"/>
          <w:szCs w:val="20"/>
        </w:rPr>
      </w:pPr>
      <w:r>
        <w:rPr>
          <w:bCs/>
          <w:sz w:val="24"/>
          <w:szCs w:val="20"/>
        </w:rPr>
        <w:t>2018</w:t>
      </w:r>
      <w:r>
        <w:rPr>
          <w:bCs/>
          <w:sz w:val="24"/>
          <w:szCs w:val="20"/>
        </w:rPr>
        <w:t>年</w:t>
      </w:r>
      <w:r>
        <w:rPr>
          <w:bCs/>
          <w:sz w:val="24"/>
          <w:szCs w:val="20"/>
        </w:rPr>
        <w:t>5</w:t>
      </w:r>
      <w:r>
        <w:rPr>
          <w:bCs/>
          <w:sz w:val="24"/>
          <w:szCs w:val="20"/>
        </w:rPr>
        <w:t>月，交通运输部公路科学研究院在京主持召开了</w:t>
      </w:r>
      <w:r>
        <w:rPr>
          <w:bCs/>
          <w:sz w:val="24"/>
          <w:szCs w:val="20"/>
        </w:rPr>
        <w:t>“</w:t>
      </w:r>
      <w:r>
        <w:rPr>
          <w:bCs/>
          <w:sz w:val="24"/>
          <w:szCs w:val="20"/>
        </w:rPr>
        <w:t>公路工程施工风险评估指南编制</w:t>
      </w:r>
      <w:r>
        <w:rPr>
          <w:bCs/>
          <w:sz w:val="24"/>
          <w:szCs w:val="20"/>
        </w:rPr>
        <w:t>”</w:t>
      </w:r>
      <w:r>
        <w:rPr>
          <w:bCs/>
          <w:sz w:val="24"/>
          <w:szCs w:val="20"/>
        </w:rPr>
        <w:t>研讨会，会议听取了起草组对本次修编工作总体思路与框架、主要修编内容等问题的意见及建议；参会人员结合现行指南实施现状及工程经验，经过讨论，就</w:t>
      </w:r>
      <w:r>
        <w:rPr>
          <w:bCs/>
          <w:sz w:val="24"/>
          <w:szCs w:val="20"/>
        </w:rPr>
        <w:t>风险评估思路、评估方法等有关内容达成一致看法。</w:t>
      </w:r>
    </w:p>
    <w:p w:rsidR="0073700B" w:rsidRDefault="001A2FFC" w:rsidP="00F80BAC">
      <w:pPr>
        <w:spacing w:line="360" w:lineRule="auto"/>
        <w:ind w:firstLineChars="200" w:firstLine="482"/>
        <w:outlineLvl w:val="2"/>
        <w:rPr>
          <w:b/>
          <w:sz w:val="24"/>
          <w:szCs w:val="20"/>
        </w:rPr>
      </w:pPr>
      <w:r>
        <w:rPr>
          <w:b/>
          <w:sz w:val="24"/>
          <w:szCs w:val="20"/>
        </w:rPr>
        <w:t xml:space="preserve">2. </w:t>
      </w:r>
      <w:r>
        <w:rPr>
          <w:b/>
          <w:sz w:val="24"/>
          <w:szCs w:val="20"/>
        </w:rPr>
        <w:t>起草阶段</w:t>
      </w:r>
    </w:p>
    <w:p w:rsidR="0073700B" w:rsidRDefault="001A2FFC" w:rsidP="00F80BAC">
      <w:pPr>
        <w:spacing w:beforeLines="50" w:before="156" w:line="360" w:lineRule="auto"/>
        <w:ind w:firstLineChars="200" w:firstLine="480"/>
        <w:rPr>
          <w:bCs/>
          <w:sz w:val="24"/>
          <w:szCs w:val="20"/>
        </w:rPr>
      </w:pPr>
      <w:r>
        <w:rPr>
          <w:bCs/>
          <w:sz w:val="24"/>
          <w:szCs w:val="20"/>
        </w:rPr>
        <w:t>2018</w:t>
      </w:r>
      <w:r>
        <w:rPr>
          <w:bCs/>
          <w:sz w:val="24"/>
          <w:szCs w:val="20"/>
        </w:rPr>
        <w:t>年</w:t>
      </w:r>
      <w:r>
        <w:rPr>
          <w:bCs/>
          <w:sz w:val="24"/>
          <w:szCs w:val="20"/>
        </w:rPr>
        <w:t>6</w:t>
      </w:r>
      <w:r>
        <w:rPr>
          <w:bCs/>
          <w:sz w:val="24"/>
          <w:szCs w:val="20"/>
        </w:rPr>
        <w:t>月，起草组召开了《公路工程施工安全风险评估指南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部分：隧道工程》专项评估指标体系研讨会，会议针对初定的专项风险评估</w:t>
      </w:r>
      <w:r>
        <w:rPr>
          <w:bCs/>
          <w:sz w:val="24"/>
          <w:szCs w:val="20"/>
        </w:rPr>
        <w:t>6</w:t>
      </w:r>
      <w:r>
        <w:rPr>
          <w:bCs/>
          <w:sz w:val="24"/>
          <w:szCs w:val="20"/>
        </w:rPr>
        <w:t>大风险事件评估指标进行研讨，</w:t>
      </w:r>
      <w:proofErr w:type="gramStart"/>
      <w:r>
        <w:rPr>
          <w:bCs/>
          <w:sz w:val="24"/>
          <w:szCs w:val="20"/>
        </w:rPr>
        <w:t>考量</w:t>
      </w:r>
      <w:proofErr w:type="gramEnd"/>
      <w:r>
        <w:rPr>
          <w:bCs/>
          <w:sz w:val="24"/>
          <w:szCs w:val="20"/>
        </w:rPr>
        <w:t>指标的科学性问题。</w:t>
      </w:r>
    </w:p>
    <w:p w:rsidR="0073700B" w:rsidRDefault="001A2FFC" w:rsidP="00F80BAC">
      <w:pPr>
        <w:spacing w:beforeLines="50" w:before="156" w:line="360" w:lineRule="auto"/>
        <w:ind w:firstLineChars="200" w:firstLine="480"/>
        <w:rPr>
          <w:bCs/>
          <w:sz w:val="24"/>
          <w:szCs w:val="20"/>
        </w:rPr>
      </w:pPr>
      <w:r>
        <w:rPr>
          <w:bCs/>
          <w:sz w:val="24"/>
          <w:szCs w:val="20"/>
        </w:rPr>
        <w:t>2018</w:t>
      </w:r>
      <w:r>
        <w:rPr>
          <w:bCs/>
          <w:sz w:val="24"/>
          <w:szCs w:val="20"/>
        </w:rPr>
        <w:t>年</w:t>
      </w:r>
      <w:r>
        <w:rPr>
          <w:bCs/>
          <w:sz w:val="24"/>
          <w:szCs w:val="20"/>
        </w:rPr>
        <w:t>8</w:t>
      </w:r>
      <w:r>
        <w:rPr>
          <w:bCs/>
          <w:sz w:val="24"/>
          <w:szCs w:val="20"/>
        </w:rPr>
        <w:t>月，起草组召开了《公路工程施工安全风险评估指南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部分：隧道工程》专项评估指标体系研讨会，对专项风险评估指标进行复核和修正，并布置了研究总体风险评估方法的任务。</w:t>
      </w:r>
    </w:p>
    <w:p w:rsidR="0073700B" w:rsidRDefault="001A2FFC" w:rsidP="00F80BAC">
      <w:pPr>
        <w:spacing w:beforeLines="50" w:before="156" w:line="360" w:lineRule="auto"/>
        <w:ind w:firstLineChars="200" w:firstLine="480"/>
        <w:rPr>
          <w:bCs/>
          <w:sz w:val="24"/>
          <w:szCs w:val="20"/>
        </w:rPr>
      </w:pPr>
      <w:r>
        <w:rPr>
          <w:bCs/>
          <w:sz w:val="24"/>
          <w:szCs w:val="20"/>
        </w:rPr>
        <w:t>2018</w:t>
      </w:r>
      <w:r>
        <w:rPr>
          <w:bCs/>
          <w:sz w:val="24"/>
          <w:szCs w:val="20"/>
        </w:rPr>
        <w:t>年</w:t>
      </w:r>
      <w:r>
        <w:rPr>
          <w:bCs/>
          <w:sz w:val="24"/>
          <w:szCs w:val="20"/>
        </w:rPr>
        <w:t>9</w:t>
      </w:r>
      <w:r>
        <w:rPr>
          <w:bCs/>
          <w:sz w:val="24"/>
          <w:szCs w:val="20"/>
        </w:rPr>
        <w:t>月，起草组召开了《公路工程施工安全风险评估指南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部分：隧道工程》总</w:t>
      </w:r>
      <w:r>
        <w:rPr>
          <w:bCs/>
          <w:sz w:val="24"/>
          <w:szCs w:val="20"/>
        </w:rPr>
        <w:t>体和专项评估方法研讨会，会议确定了总体风险评估和专项风险评估的方法和流程，并着手确定</w:t>
      </w:r>
      <w:proofErr w:type="gramStart"/>
      <w:r>
        <w:rPr>
          <w:bCs/>
          <w:sz w:val="24"/>
          <w:szCs w:val="20"/>
        </w:rPr>
        <w:t>主因素</w:t>
      </w:r>
      <w:proofErr w:type="gramEnd"/>
      <w:r>
        <w:rPr>
          <w:bCs/>
          <w:sz w:val="24"/>
          <w:szCs w:val="20"/>
        </w:rPr>
        <w:t>控制指标体系</w:t>
      </w:r>
      <w:proofErr w:type="gramStart"/>
      <w:r>
        <w:rPr>
          <w:bCs/>
          <w:sz w:val="24"/>
          <w:szCs w:val="20"/>
        </w:rPr>
        <w:t>法风险</w:t>
      </w:r>
      <w:proofErr w:type="gramEnd"/>
      <w:r>
        <w:rPr>
          <w:bCs/>
          <w:sz w:val="24"/>
          <w:szCs w:val="20"/>
        </w:rPr>
        <w:t>等级分级标准。</w:t>
      </w:r>
    </w:p>
    <w:p w:rsidR="0073700B" w:rsidRDefault="001A2FFC" w:rsidP="00F80BAC">
      <w:pPr>
        <w:spacing w:beforeLines="50" w:before="156" w:line="360" w:lineRule="auto"/>
        <w:ind w:firstLineChars="200" w:firstLine="480"/>
        <w:rPr>
          <w:bCs/>
          <w:sz w:val="24"/>
          <w:szCs w:val="20"/>
        </w:rPr>
      </w:pPr>
      <w:r>
        <w:rPr>
          <w:bCs/>
          <w:sz w:val="24"/>
          <w:szCs w:val="20"/>
        </w:rPr>
        <w:t>2018</w:t>
      </w:r>
      <w:r>
        <w:rPr>
          <w:bCs/>
          <w:sz w:val="24"/>
          <w:szCs w:val="20"/>
        </w:rPr>
        <w:t>年</w:t>
      </w:r>
      <w:r>
        <w:rPr>
          <w:bCs/>
          <w:sz w:val="24"/>
          <w:szCs w:val="20"/>
        </w:rPr>
        <w:t>10</w:t>
      </w:r>
      <w:r>
        <w:rPr>
          <w:bCs/>
          <w:sz w:val="24"/>
          <w:szCs w:val="20"/>
        </w:rPr>
        <w:t>月，起草组召开了《公路工程施工安全风险评估指南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部分：隧道工程》专项评估方法视频研讨会，会议修正了施工前专项风险评估指标体系取值及计算方法，并指导了风险评估指南正文编写工作。</w:t>
      </w:r>
    </w:p>
    <w:p w:rsidR="0073700B" w:rsidRDefault="001A2FFC" w:rsidP="00F80BAC">
      <w:pPr>
        <w:spacing w:beforeLines="50" w:before="156" w:line="360" w:lineRule="auto"/>
        <w:ind w:firstLineChars="200" w:firstLine="480"/>
        <w:rPr>
          <w:bCs/>
          <w:sz w:val="24"/>
          <w:szCs w:val="20"/>
        </w:rPr>
      </w:pPr>
      <w:r>
        <w:rPr>
          <w:bCs/>
          <w:sz w:val="24"/>
          <w:szCs w:val="20"/>
        </w:rPr>
        <w:t>2018</w:t>
      </w:r>
      <w:r>
        <w:rPr>
          <w:bCs/>
          <w:sz w:val="24"/>
          <w:szCs w:val="20"/>
        </w:rPr>
        <w:t>年</w:t>
      </w:r>
      <w:r>
        <w:rPr>
          <w:bCs/>
          <w:sz w:val="24"/>
          <w:szCs w:val="20"/>
        </w:rPr>
        <w:t>12</w:t>
      </w:r>
      <w:r>
        <w:rPr>
          <w:bCs/>
          <w:sz w:val="24"/>
          <w:szCs w:val="20"/>
        </w:rPr>
        <w:t>月，起草组召开《公路工程施工安全风险评估指南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部分：隧道工程》编写研讨会，会议逐条审核了新编指南条文，对相关内容和结构进行了增减和调整，并布置了下一阶段的指南编写任务。</w:t>
      </w:r>
    </w:p>
    <w:p w:rsidR="0073700B" w:rsidRDefault="001A2FFC" w:rsidP="00F80BAC">
      <w:pPr>
        <w:spacing w:beforeLines="50" w:before="156" w:line="360" w:lineRule="auto"/>
        <w:ind w:firstLineChars="200" w:firstLine="480"/>
        <w:rPr>
          <w:bCs/>
          <w:sz w:val="24"/>
          <w:szCs w:val="20"/>
        </w:rPr>
      </w:pPr>
      <w:r>
        <w:rPr>
          <w:bCs/>
          <w:sz w:val="24"/>
          <w:szCs w:val="20"/>
        </w:rPr>
        <w:t>2</w:t>
      </w:r>
      <w:r>
        <w:rPr>
          <w:bCs/>
          <w:sz w:val="24"/>
          <w:szCs w:val="20"/>
        </w:rPr>
        <w:t>019</w:t>
      </w:r>
      <w:r>
        <w:rPr>
          <w:bCs/>
          <w:sz w:val="24"/>
          <w:szCs w:val="20"/>
        </w:rPr>
        <w:t>年</w:t>
      </w:r>
      <w:r>
        <w:rPr>
          <w:bCs/>
          <w:sz w:val="24"/>
          <w:szCs w:val="20"/>
        </w:rPr>
        <w:t>4</w:t>
      </w:r>
      <w:r>
        <w:rPr>
          <w:bCs/>
          <w:sz w:val="24"/>
          <w:szCs w:val="20"/>
        </w:rPr>
        <w:t>月，交通运输部公路科学研究院召开</w:t>
      </w:r>
      <w:r>
        <w:rPr>
          <w:bCs/>
          <w:sz w:val="24"/>
          <w:szCs w:val="20"/>
        </w:rPr>
        <w:t>“</w:t>
      </w:r>
      <w:r>
        <w:rPr>
          <w:bCs/>
          <w:sz w:val="24"/>
          <w:szCs w:val="20"/>
        </w:rPr>
        <w:t>公路工程施工风险评估指南编制</w:t>
      </w:r>
      <w:r>
        <w:rPr>
          <w:bCs/>
          <w:sz w:val="24"/>
          <w:szCs w:val="20"/>
        </w:rPr>
        <w:t>”</w:t>
      </w:r>
      <w:r>
        <w:rPr>
          <w:bCs/>
          <w:sz w:val="24"/>
          <w:szCs w:val="20"/>
        </w:rPr>
        <w:t>研讨会，对起草组提交的初版提出修改意见。</w:t>
      </w:r>
    </w:p>
    <w:p w:rsidR="0073700B" w:rsidRDefault="001A2FFC" w:rsidP="00F80BAC">
      <w:pPr>
        <w:spacing w:beforeLines="50" w:before="156" w:line="360" w:lineRule="auto"/>
        <w:ind w:firstLineChars="200" w:firstLine="480"/>
        <w:rPr>
          <w:bCs/>
          <w:sz w:val="24"/>
          <w:szCs w:val="20"/>
        </w:rPr>
      </w:pPr>
      <w:r>
        <w:rPr>
          <w:bCs/>
          <w:sz w:val="24"/>
          <w:szCs w:val="20"/>
        </w:rPr>
        <w:t>2019</w:t>
      </w:r>
      <w:r>
        <w:rPr>
          <w:bCs/>
          <w:sz w:val="24"/>
          <w:szCs w:val="20"/>
        </w:rPr>
        <w:t>年</w:t>
      </w:r>
      <w:r>
        <w:rPr>
          <w:bCs/>
          <w:sz w:val="24"/>
          <w:szCs w:val="20"/>
        </w:rPr>
        <w:t>4</w:t>
      </w:r>
      <w:r>
        <w:rPr>
          <w:bCs/>
          <w:sz w:val="24"/>
          <w:szCs w:val="20"/>
        </w:rPr>
        <w:t>月，起草组召开了《公路工程施工安全风险评估指南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部分：隧道工程》正文修订视频研讨会，研讨了交通运输部公路科学研究院会议反馈</w:t>
      </w:r>
      <w:r>
        <w:rPr>
          <w:bCs/>
          <w:sz w:val="24"/>
          <w:szCs w:val="20"/>
        </w:rPr>
        <w:lastRenderedPageBreak/>
        <w:t>的修改意见，指出了风险评估指南正文的下一步修改方向。</w:t>
      </w:r>
    </w:p>
    <w:p w:rsidR="0073700B" w:rsidRDefault="001A2FFC" w:rsidP="00F80BAC">
      <w:pPr>
        <w:spacing w:beforeLines="50" w:before="156" w:line="360" w:lineRule="auto"/>
        <w:ind w:firstLineChars="200" w:firstLine="480"/>
        <w:rPr>
          <w:bCs/>
          <w:sz w:val="24"/>
          <w:szCs w:val="20"/>
        </w:rPr>
      </w:pPr>
      <w:r>
        <w:rPr>
          <w:bCs/>
          <w:sz w:val="24"/>
          <w:szCs w:val="20"/>
        </w:rPr>
        <w:t>2019</w:t>
      </w:r>
      <w:r>
        <w:rPr>
          <w:bCs/>
          <w:sz w:val="24"/>
          <w:szCs w:val="20"/>
        </w:rPr>
        <w:t>年</w:t>
      </w:r>
      <w:r>
        <w:rPr>
          <w:bCs/>
          <w:sz w:val="24"/>
          <w:szCs w:val="20"/>
        </w:rPr>
        <w:t>7</w:t>
      </w:r>
      <w:r>
        <w:rPr>
          <w:bCs/>
          <w:sz w:val="24"/>
          <w:szCs w:val="20"/>
        </w:rPr>
        <w:t>月，交通运输部公路科学研究院在京主持召开了《公路工程施工安全风险评估指南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部分：隧道工程》专家评审会。</w:t>
      </w:r>
      <w:r>
        <w:rPr>
          <w:rFonts w:hint="eastAsia"/>
          <w:bCs/>
          <w:sz w:val="24"/>
          <w:szCs w:val="20"/>
        </w:rPr>
        <w:t>起草组</w:t>
      </w:r>
      <w:r>
        <w:rPr>
          <w:bCs/>
          <w:sz w:val="24"/>
          <w:szCs w:val="20"/>
        </w:rPr>
        <w:t>汇报了当前版本《公路工程施工安全风险评估指南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部分：隧道工程》的主要内</w:t>
      </w:r>
      <w:r>
        <w:rPr>
          <w:bCs/>
          <w:sz w:val="24"/>
          <w:szCs w:val="20"/>
        </w:rPr>
        <w:t>容，各评审专家提出了修改意见及建议。</w:t>
      </w:r>
    </w:p>
    <w:p w:rsidR="0073700B" w:rsidRDefault="001A2FFC" w:rsidP="00F80BAC">
      <w:pPr>
        <w:spacing w:beforeLines="50" w:before="156" w:line="360" w:lineRule="auto"/>
        <w:ind w:firstLineChars="200" w:firstLine="480"/>
        <w:rPr>
          <w:bCs/>
          <w:sz w:val="24"/>
          <w:szCs w:val="20"/>
        </w:rPr>
      </w:pPr>
      <w:r>
        <w:rPr>
          <w:bCs/>
          <w:sz w:val="24"/>
          <w:szCs w:val="20"/>
        </w:rPr>
        <w:t>2019</w:t>
      </w:r>
      <w:r>
        <w:rPr>
          <w:bCs/>
          <w:sz w:val="24"/>
          <w:szCs w:val="20"/>
        </w:rPr>
        <w:t>年</w:t>
      </w:r>
      <w:r>
        <w:rPr>
          <w:bCs/>
          <w:sz w:val="24"/>
          <w:szCs w:val="20"/>
        </w:rPr>
        <w:t>8</w:t>
      </w:r>
      <w:r>
        <w:rPr>
          <w:bCs/>
          <w:sz w:val="24"/>
          <w:szCs w:val="20"/>
        </w:rPr>
        <w:t>月，起草组召开了《公路工程施工安全风险评估指南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部分：隧道工程》正文修订研讨会，逐条研讨了评审会上各专家反馈的正文修改意见，对总体和专项风险评估指标体系进行了修正和调整，明确了正文中逻辑关系不清楚的内容。</w:t>
      </w:r>
    </w:p>
    <w:p w:rsidR="0073700B" w:rsidRDefault="001A2FFC" w:rsidP="00F80BAC">
      <w:pPr>
        <w:spacing w:beforeLines="50" w:before="156" w:line="360" w:lineRule="auto"/>
        <w:ind w:firstLineChars="200" w:firstLine="480"/>
        <w:rPr>
          <w:bCs/>
          <w:sz w:val="24"/>
          <w:szCs w:val="20"/>
        </w:rPr>
      </w:pPr>
      <w:r>
        <w:rPr>
          <w:bCs/>
          <w:sz w:val="24"/>
          <w:szCs w:val="20"/>
        </w:rPr>
        <w:t>2019</w:t>
      </w:r>
      <w:r>
        <w:rPr>
          <w:bCs/>
          <w:sz w:val="24"/>
          <w:szCs w:val="20"/>
        </w:rPr>
        <w:t>年</w:t>
      </w:r>
      <w:r>
        <w:rPr>
          <w:bCs/>
          <w:sz w:val="24"/>
          <w:szCs w:val="20"/>
        </w:rPr>
        <w:t>9</w:t>
      </w:r>
      <w:r>
        <w:rPr>
          <w:bCs/>
          <w:sz w:val="24"/>
          <w:szCs w:val="20"/>
        </w:rPr>
        <w:t>月，起草组召开了《公路工程施工安全风险评估指南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部分：隧道工程》正文修订研讨会，根据专家评审会上各专家反馈的建议，对后果当量法等风险估测方法和专项风险评估指标体系等内容进行了研讨和修改，指出了风险评估指南正文的下一步修改方向，并布置</w:t>
      </w:r>
      <w:r>
        <w:rPr>
          <w:bCs/>
          <w:sz w:val="24"/>
          <w:szCs w:val="20"/>
        </w:rPr>
        <w:t>下一阶段任务。</w:t>
      </w:r>
    </w:p>
    <w:p w:rsidR="0073700B" w:rsidRDefault="001A2FFC" w:rsidP="00F80BAC">
      <w:pPr>
        <w:spacing w:beforeLines="50" w:before="156" w:line="360" w:lineRule="auto"/>
        <w:ind w:firstLineChars="200" w:firstLine="480"/>
        <w:rPr>
          <w:bCs/>
          <w:sz w:val="24"/>
          <w:szCs w:val="20"/>
        </w:rPr>
      </w:pPr>
      <w:r>
        <w:rPr>
          <w:bCs/>
          <w:sz w:val="24"/>
          <w:szCs w:val="20"/>
        </w:rPr>
        <w:t>2019</w:t>
      </w:r>
      <w:r>
        <w:rPr>
          <w:bCs/>
          <w:sz w:val="24"/>
          <w:szCs w:val="20"/>
        </w:rPr>
        <w:t>年</w:t>
      </w:r>
      <w:r>
        <w:rPr>
          <w:bCs/>
          <w:sz w:val="24"/>
          <w:szCs w:val="20"/>
        </w:rPr>
        <w:t>11</w:t>
      </w:r>
      <w:r>
        <w:rPr>
          <w:bCs/>
          <w:sz w:val="24"/>
          <w:szCs w:val="20"/>
        </w:rPr>
        <w:t>月，交通运输部公路科学研究院在京组织参编单位进行了内部研讨会，根据专家评审会收集的意见和建议，</w:t>
      </w:r>
      <w:r>
        <w:rPr>
          <w:rFonts w:hint="eastAsia"/>
          <w:bCs/>
          <w:sz w:val="24"/>
          <w:szCs w:val="20"/>
        </w:rPr>
        <w:t>编制组</w:t>
      </w:r>
      <w:r>
        <w:rPr>
          <w:bCs/>
          <w:sz w:val="24"/>
          <w:szCs w:val="20"/>
        </w:rPr>
        <w:t>对指南修改内容进行了详细的介绍，确定了该阶段指南主要结构的合理性，并对部分内容进行了调整和优化。</w:t>
      </w:r>
    </w:p>
    <w:p w:rsidR="0073700B" w:rsidRDefault="001A2FFC" w:rsidP="00F80BAC">
      <w:pPr>
        <w:spacing w:beforeLines="50" w:before="156" w:line="360" w:lineRule="auto"/>
        <w:ind w:firstLineChars="200" w:firstLine="480"/>
        <w:rPr>
          <w:bCs/>
          <w:sz w:val="24"/>
          <w:szCs w:val="20"/>
        </w:rPr>
      </w:pPr>
      <w:r>
        <w:rPr>
          <w:bCs/>
          <w:sz w:val="24"/>
          <w:szCs w:val="20"/>
        </w:rPr>
        <w:t>2020</w:t>
      </w:r>
      <w:r>
        <w:rPr>
          <w:bCs/>
          <w:sz w:val="24"/>
          <w:szCs w:val="20"/>
        </w:rPr>
        <w:t>年</w:t>
      </w:r>
      <w:r>
        <w:rPr>
          <w:bCs/>
          <w:sz w:val="24"/>
          <w:szCs w:val="20"/>
        </w:rPr>
        <w:t>1</w:t>
      </w:r>
      <w:r>
        <w:rPr>
          <w:bCs/>
          <w:sz w:val="24"/>
          <w:szCs w:val="20"/>
        </w:rPr>
        <w:t>月</w:t>
      </w:r>
      <w:r>
        <w:rPr>
          <w:bCs/>
          <w:sz w:val="24"/>
          <w:szCs w:val="20"/>
        </w:rPr>
        <w:t>2</w:t>
      </w:r>
      <w:r>
        <w:rPr>
          <w:bCs/>
          <w:sz w:val="24"/>
          <w:szCs w:val="20"/>
        </w:rPr>
        <w:t>日，起草组召开了《公路工程施工安全风险评估指南</w:t>
      </w:r>
      <w:r>
        <w:rPr>
          <w:bCs/>
          <w:sz w:val="24"/>
          <w:szCs w:val="20"/>
        </w:rPr>
        <w:t xml:space="preserve">  </w:t>
      </w:r>
      <w:r>
        <w:rPr>
          <w:bCs/>
          <w:sz w:val="24"/>
          <w:szCs w:val="20"/>
        </w:rPr>
        <w:t>第</w:t>
      </w:r>
      <w:r>
        <w:rPr>
          <w:bCs/>
          <w:sz w:val="24"/>
          <w:szCs w:val="20"/>
        </w:rPr>
        <w:t>3</w:t>
      </w:r>
      <w:r>
        <w:rPr>
          <w:bCs/>
          <w:sz w:val="24"/>
          <w:szCs w:val="20"/>
        </w:rPr>
        <w:t>部分：隧道工程》条文说明及正文修订研讨会，会议结合该阶段下的条文说明和正文，审核了风险评估网站的结构和内容，并对网站、正文和条文说明部分的结构和逻辑进行了研讨和修改，使指南的整个体系和工具更加完善和丰富。</w:t>
      </w:r>
    </w:p>
    <w:p w:rsidR="0073700B" w:rsidRDefault="001A2FFC" w:rsidP="00F80BAC">
      <w:pPr>
        <w:spacing w:line="360" w:lineRule="auto"/>
        <w:ind w:firstLineChars="200" w:firstLine="482"/>
        <w:outlineLvl w:val="1"/>
        <w:rPr>
          <w:b/>
          <w:sz w:val="24"/>
          <w:szCs w:val="20"/>
        </w:rPr>
      </w:pPr>
      <w:r>
        <w:rPr>
          <w:b/>
          <w:sz w:val="24"/>
          <w:szCs w:val="20"/>
        </w:rPr>
        <w:t>（三）标准起草单位和主要起草人</w:t>
      </w:r>
      <w:r>
        <w:rPr>
          <w:rFonts w:hint="eastAsia"/>
          <w:b/>
          <w:sz w:val="24"/>
          <w:szCs w:val="20"/>
        </w:rPr>
        <w:t>。</w:t>
      </w:r>
    </w:p>
    <w:p w:rsidR="0073700B" w:rsidRDefault="001A2FFC" w:rsidP="00F80BAC">
      <w:pPr>
        <w:spacing w:beforeLines="50" w:before="156" w:line="360" w:lineRule="auto"/>
        <w:ind w:firstLineChars="200" w:firstLine="480"/>
        <w:rPr>
          <w:bCs/>
          <w:color w:val="FF0000"/>
          <w:sz w:val="24"/>
          <w:szCs w:val="20"/>
        </w:rPr>
      </w:pPr>
      <w:r>
        <w:rPr>
          <w:bCs/>
          <w:sz w:val="24"/>
          <w:szCs w:val="20"/>
        </w:rPr>
        <w:t>本标准起草单位：</w:t>
      </w:r>
      <w:bookmarkStart w:id="7" w:name="_Hlk13505216"/>
      <w:r>
        <w:rPr>
          <w:bCs/>
          <w:sz w:val="24"/>
          <w:szCs w:val="20"/>
        </w:rPr>
        <w:t>交通运输部公路科学研究院</w:t>
      </w:r>
      <w:bookmarkEnd w:id="7"/>
      <w:r>
        <w:rPr>
          <w:bCs/>
          <w:sz w:val="24"/>
          <w:szCs w:val="20"/>
        </w:rPr>
        <w:t>、</w:t>
      </w:r>
      <w:r>
        <w:rPr>
          <w:rFonts w:hint="eastAsia"/>
          <w:bCs/>
          <w:sz w:val="24"/>
          <w:szCs w:val="20"/>
        </w:rPr>
        <w:t>北京科技大学、交通运输部科学研究院、昆明理工大学。</w:t>
      </w:r>
    </w:p>
    <w:p w:rsidR="00F80BAC" w:rsidRDefault="001A2FFC" w:rsidP="00F80BAC">
      <w:pPr>
        <w:spacing w:beforeLines="50" w:before="156" w:line="360" w:lineRule="auto"/>
        <w:ind w:firstLineChars="200" w:firstLine="480"/>
        <w:rPr>
          <w:rFonts w:hint="eastAsia"/>
          <w:bCs/>
          <w:sz w:val="24"/>
          <w:szCs w:val="20"/>
        </w:rPr>
      </w:pPr>
      <w:r>
        <w:rPr>
          <w:bCs/>
          <w:sz w:val="24"/>
          <w:szCs w:val="20"/>
        </w:rPr>
        <w:t>本标准主要起草人：</w:t>
      </w:r>
      <w:r>
        <w:rPr>
          <w:rFonts w:hint="eastAsia"/>
          <w:bCs/>
          <w:sz w:val="24"/>
          <w:szCs w:val="20"/>
        </w:rPr>
        <w:t>李伟、吴顺川、吴忠广、陈磊、严琼、张宇、刘伟、张成良、杨弘卿、谢洪涛、吕祥锋。上述同志承担的主要工作如下：</w:t>
      </w:r>
      <w:r w:rsidR="00F80BAC">
        <w:rPr>
          <w:rFonts w:hint="eastAsia"/>
          <w:bCs/>
          <w:sz w:val="24"/>
          <w:szCs w:val="20"/>
        </w:rPr>
        <w:t xml:space="preserve">  </w:t>
      </w:r>
    </w:p>
    <w:p w:rsidR="00F80BAC" w:rsidRPr="00F80BAC" w:rsidRDefault="00F80BAC" w:rsidP="00F80BAC">
      <w:pPr>
        <w:spacing w:beforeLines="50" w:before="156" w:line="360" w:lineRule="auto"/>
        <w:ind w:firstLineChars="200" w:firstLine="480"/>
        <w:rPr>
          <w:rFonts w:hint="eastAsia"/>
          <w:bCs/>
          <w:sz w:val="24"/>
          <w:szCs w:val="20"/>
        </w:rPr>
      </w:pPr>
    </w:p>
    <w:p w:rsidR="0073700B" w:rsidRDefault="001A2FFC">
      <w:pPr>
        <w:spacing w:line="360" w:lineRule="auto"/>
        <w:ind w:firstLineChars="200" w:firstLine="480"/>
        <w:jc w:val="center"/>
        <w:rPr>
          <w:rFonts w:ascii="黑体" w:eastAsia="黑体" w:hAnsi="黑体"/>
          <w:kern w:val="0"/>
          <w:sz w:val="32"/>
          <w:szCs w:val="32"/>
        </w:rPr>
      </w:pPr>
      <w:r>
        <w:rPr>
          <w:rFonts w:ascii="黑体" w:eastAsia="黑体" w:hAnsi="黑体"/>
          <w:sz w:val="24"/>
          <w:szCs w:val="24"/>
        </w:rPr>
        <w:t>表</w:t>
      </w:r>
      <w:r>
        <w:rPr>
          <w:rFonts w:ascii="黑体" w:eastAsia="黑体" w:hAnsi="黑体"/>
          <w:sz w:val="24"/>
          <w:szCs w:val="24"/>
        </w:rPr>
        <w:fldChar w:fldCharType="begin"/>
      </w:r>
      <w:r>
        <w:rPr>
          <w:rFonts w:ascii="黑体" w:eastAsia="黑体" w:hAnsi="黑体"/>
          <w:sz w:val="24"/>
          <w:szCs w:val="24"/>
        </w:rPr>
        <w:instrText xml:space="preserve"> STYLEREF 3 \s </w:instrText>
      </w:r>
      <w:r>
        <w:rPr>
          <w:rFonts w:ascii="黑体" w:eastAsia="黑体" w:hAnsi="黑体"/>
          <w:sz w:val="24"/>
          <w:szCs w:val="24"/>
        </w:rPr>
        <w:fldChar w:fldCharType="separate"/>
      </w:r>
      <w:r>
        <w:rPr>
          <w:rFonts w:ascii="黑体" w:eastAsia="黑体" w:hAnsi="黑体"/>
          <w:sz w:val="24"/>
          <w:szCs w:val="24"/>
        </w:rPr>
        <w:t>1</w:t>
      </w:r>
      <w:r>
        <w:rPr>
          <w:rFonts w:ascii="黑体" w:eastAsia="黑体" w:hAnsi="黑体"/>
          <w:sz w:val="24"/>
          <w:szCs w:val="24"/>
        </w:rPr>
        <w:fldChar w:fldCharType="end"/>
      </w:r>
      <w:r>
        <w:rPr>
          <w:rFonts w:ascii="黑体" w:eastAsia="黑体" w:hAnsi="黑体"/>
          <w:sz w:val="24"/>
          <w:szCs w:val="24"/>
        </w:rPr>
        <w:noBreakHyphen/>
      </w:r>
      <w:r>
        <w:rPr>
          <w:rFonts w:ascii="黑体" w:eastAsia="黑体" w:hAnsi="黑体"/>
          <w:sz w:val="24"/>
          <w:szCs w:val="24"/>
        </w:rPr>
        <w:fldChar w:fldCharType="begin"/>
      </w:r>
      <w:r>
        <w:rPr>
          <w:rFonts w:ascii="黑体" w:eastAsia="黑体" w:hAnsi="黑体"/>
          <w:sz w:val="24"/>
          <w:szCs w:val="24"/>
        </w:rPr>
        <w:instrText xml:space="preserve"> SEQ </w:instrText>
      </w:r>
      <w:r>
        <w:rPr>
          <w:rFonts w:ascii="黑体" w:eastAsia="黑体" w:hAnsi="黑体"/>
          <w:sz w:val="24"/>
          <w:szCs w:val="24"/>
        </w:rPr>
        <w:instrText>表</w:instrText>
      </w:r>
      <w:r>
        <w:rPr>
          <w:rFonts w:ascii="黑体" w:eastAsia="黑体" w:hAnsi="黑体"/>
          <w:sz w:val="24"/>
          <w:szCs w:val="24"/>
        </w:rPr>
        <w:instrText xml:space="preserve"> \* ARABIC \s 3 </w:instrText>
      </w:r>
      <w:r>
        <w:rPr>
          <w:rFonts w:ascii="黑体" w:eastAsia="黑体" w:hAnsi="黑体"/>
          <w:sz w:val="24"/>
          <w:szCs w:val="24"/>
        </w:rPr>
        <w:fldChar w:fldCharType="separate"/>
      </w:r>
      <w:r>
        <w:rPr>
          <w:rFonts w:ascii="黑体" w:eastAsia="黑体" w:hAnsi="黑体"/>
          <w:sz w:val="24"/>
          <w:szCs w:val="24"/>
        </w:rPr>
        <w:t>1</w:t>
      </w:r>
      <w:r>
        <w:rPr>
          <w:rFonts w:ascii="黑体" w:eastAsia="黑体" w:hAnsi="黑体"/>
          <w:sz w:val="24"/>
          <w:szCs w:val="24"/>
        </w:rPr>
        <w:fldChar w:fldCharType="end"/>
      </w:r>
      <w:r>
        <w:rPr>
          <w:rFonts w:ascii="黑体" w:eastAsia="黑体" w:hAnsi="黑体" w:hint="eastAsia"/>
          <w:kern w:val="0"/>
          <w:sz w:val="32"/>
          <w:szCs w:val="32"/>
        </w:rPr>
        <w:t xml:space="preserve">  </w:t>
      </w:r>
      <w:r>
        <w:rPr>
          <w:rFonts w:ascii="黑体" w:eastAsia="黑体" w:hAnsi="黑体" w:hint="eastAsia"/>
          <w:kern w:val="0"/>
          <w:sz w:val="24"/>
          <w:szCs w:val="24"/>
        </w:rPr>
        <w:t>主要起草人及承担主要工作表</w:t>
      </w:r>
    </w:p>
    <w:tbl>
      <w:tblPr>
        <w:tblStyle w:val="40"/>
        <w:tblW w:w="0" w:type="auto"/>
        <w:jc w:val="center"/>
        <w:tblLayout w:type="fixed"/>
        <w:tblLook w:val="04A0" w:firstRow="1" w:lastRow="0" w:firstColumn="1" w:lastColumn="0" w:noHBand="0" w:noVBand="1"/>
      </w:tblPr>
      <w:tblGrid>
        <w:gridCol w:w="988"/>
        <w:gridCol w:w="2773"/>
        <w:gridCol w:w="4535"/>
      </w:tblGrid>
      <w:tr w:rsidR="0073700B">
        <w:trPr>
          <w:jc w:val="center"/>
        </w:trPr>
        <w:tc>
          <w:tcPr>
            <w:tcW w:w="988" w:type="dxa"/>
            <w:tcBorders>
              <w:top w:val="single" w:sz="8" w:space="0" w:color="auto"/>
              <w:left w:val="single" w:sz="8" w:space="0" w:color="auto"/>
              <w:bottom w:val="single" w:sz="8" w:space="0" w:color="auto"/>
              <w:right w:val="single" w:sz="8" w:space="0" w:color="auto"/>
            </w:tcBorders>
            <w:vAlign w:val="center"/>
          </w:tcPr>
          <w:p w:rsidR="0073700B" w:rsidRDefault="001A2FFC">
            <w:pPr>
              <w:jc w:val="center"/>
              <w:rPr>
                <w:rFonts w:ascii="宋体" w:hAnsi="宋体"/>
                <w:kern w:val="0"/>
                <w:szCs w:val="21"/>
              </w:rPr>
            </w:pPr>
            <w:r>
              <w:rPr>
                <w:rFonts w:ascii="宋体" w:hAnsi="宋体" w:cs="宋体" w:hint="eastAsia"/>
                <w:kern w:val="0"/>
                <w:szCs w:val="21"/>
              </w:rPr>
              <w:t>起草人</w:t>
            </w:r>
          </w:p>
        </w:tc>
        <w:tc>
          <w:tcPr>
            <w:tcW w:w="2773" w:type="dxa"/>
            <w:tcBorders>
              <w:top w:val="single" w:sz="8" w:space="0" w:color="auto"/>
              <w:left w:val="single" w:sz="8" w:space="0" w:color="auto"/>
              <w:bottom w:val="single" w:sz="8" w:space="0" w:color="auto"/>
              <w:right w:val="single" w:sz="2" w:space="0" w:color="auto"/>
            </w:tcBorders>
            <w:vAlign w:val="center"/>
          </w:tcPr>
          <w:p w:rsidR="0073700B" w:rsidRDefault="001A2FFC">
            <w:pPr>
              <w:jc w:val="center"/>
              <w:rPr>
                <w:rFonts w:ascii="宋体" w:hAnsi="宋体"/>
                <w:kern w:val="0"/>
                <w:szCs w:val="21"/>
              </w:rPr>
            </w:pPr>
            <w:r>
              <w:rPr>
                <w:rFonts w:ascii="宋体" w:hAnsi="宋体" w:cs="宋体" w:hint="eastAsia"/>
                <w:kern w:val="0"/>
                <w:szCs w:val="21"/>
              </w:rPr>
              <w:t>起草单位</w:t>
            </w:r>
          </w:p>
        </w:tc>
        <w:tc>
          <w:tcPr>
            <w:tcW w:w="4535" w:type="dxa"/>
            <w:tcBorders>
              <w:top w:val="single" w:sz="8" w:space="0" w:color="auto"/>
              <w:left w:val="single" w:sz="2" w:space="0" w:color="auto"/>
              <w:bottom w:val="single" w:sz="8" w:space="0" w:color="auto"/>
              <w:right w:val="single" w:sz="8" w:space="0" w:color="auto"/>
            </w:tcBorders>
            <w:vAlign w:val="center"/>
          </w:tcPr>
          <w:p w:rsidR="0073700B" w:rsidRDefault="001A2FFC">
            <w:pPr>
              <w:jc w:val="center"/>
              <w:rPr>
                <w:rFonts w:ascii="宋体" w:hAnsi="宋体"/>
                <w:kern w:val="0"/>
                <w:szCs w:val="21"/>
              </w:rPr>
            </w:pPr>
            <w:r>
              <w:rPr>
                <w:rFonts w:ascii="宋体" w:hAnsi="宋体" w:cs="宋体" w:hint="eastAsia"/>
                <w:kern w:val="0"/>
                <w:szCs w:val="21"/>
              </w:rPr>
              <w:t>主要工作</w:t>
            </w:r>
          </w:p>
        </w:tc>
      </w:tr>
      <w:tr w:rsidR="0073700B">
        <w:trPr>
          <w:jc w:val="center"/>
        </w:trPr>
        <w:tc>
          <w:tcPr>
            <w:tcW w:w="988" w:type="dxa"/>
            <w:tcBorders>
              <w:top w:val="single" w:sz="8" w:space="0" w:color="auto"/>
              <w:left w:val="single" w:sz="8" w:space="0" w:color="auto"/>
              <w:bottom w:val="single" w:sz="2" w:space="0" w:color="auto"/>
              <w:right w:val="single" w:sz="2" w:space="0" w:color="auto"/>
            </w:tcBorders>
            <w:vAlign w:val="center"/>
          </w:tcPr>
          <w:p w:rsidR="0073700B" w:rsidRDefault="001A2FFC">
            <w:pPr>
              <w:jc w:val="center"/>
              <w:rPr>
                <w:rFonts w:ascii="宋体" w:hAnsi="宋体" w:cs="宋体"/>
                <w:kern w:val="0"/>
                <w:szCs w:val="21"/>
              </w:rPr>
            </w:pPr>
            <w:r>
              <w:rPr>
                <w:rFonts w:ascii="宋体" w:hAnsi="宋体" w:cs="宋体" w:hint="eastAsia"/>
                <w:kern w:val="0"/>
                <w:szCs w:val="21"/>
              </w:rPr>
              <w:t>李伟</w:t>
            </w:r>
          </w:p>
        </w:tc>
        <w:tc>
          <w:tcPr>
            <w:tcW w:w="2773" w:type="dxa"/>
            <w:tcBorders>
              <w:top w:val="single" w:sz="8" w:space="0" w:color="auto"/>
              <w:left w:val="single" w:sz="2" w:space="0" w:color="auto"/>
              <w:bottom w:val="single" w:sz="2" w:space="0" w:color="auto"/>
              <w:right w:val="single" w:sz="2" w:space="0" w:color="auto"/>
            </w:tcBorders>
            <w:vAlign w:val="center"/>
          </w:tcPr>
          <w:p w:rsidR="0073700B" w:rsidRDefault="001A2FFC">
            <w:pPr>
              <w:jc w:val="center"/>
              <w:rPr>
                <w:rFonts w:ascii="宋体" w:hAnsi="宋体"/>
                <w:kern w:val="0"/>
                <w:szCs w:val="21"/>
              </w:rPr>
            </w:pPr>
            <w:r>
              <w:rPr>
                <w:rFonts w:ascii="宋体" w:hAnsi="宋体" w:cs="宋体" w:hint="eastAsia"/>
                <w:kern w:val="0"/>
                <w:szCs w:val="21"/>
              </w:rPr>
              <w:t>交通运输部公路科学研究院</w:t>
            </w:r>
          </w:p>
        </w:tc>
        <w:tc>
          <w:tcPr>
            <w:tcW w:w="4535" w:type="dxa"/>
            <w:tcBorders>
              <w:top w:val="single" w:sz="8" w:space="0" w:color="auto"/>
              <w:left w:val="single" w:sz="2" w:space="0" w:color="auto"/>
              <w:bottom w:val="single" w:sz="2" w:space="0" w:color="auto"/>
              <w:right w:val="single" w:sz="8" w:space="0" w:color="auto"/>
            </w:tcBorders>
          </w:tcPr>
          <w:p w:rsidR="0073700B" w:rsidRDefault="001A2FFC">
            <w:pPr>
              <w:rPr>
                <w:rFonts w:ascii="宋体" w:hAnsi="宋体"/>
                <w:kern w:val="0"/>
                <w:szCs w:val="21"/>
              </w:rPr>
            </w:pPr>
            <w:r>
              <w:rPr>
                <w:rFonts w:ascii="宋体" w:hAnsi="宋体" w:cs="宋体" w:hint="eastAsia"/>
                <w:kern w:val="0"/>
                <w:szCs w:val="21"/>
              </w:rPr>
              <w:t>负责标准编写工作的组织协调，制定总体技术路线，总体负责</w:t>
            </w:r>
            <w:r>
              <w:rPr>
                <w:kern w:val="0"/>
                <w:szCs w:val="21"/>
              </w:rPr>
              <w:t>第</w:t>
            </w:r>
            <w:r>
              <w:rPr>
                <w:kern w:val="0"/>
                <w:szCs w:val="21"/>
              </w:rPr>
              <w:t>5</w:t>
            </w:r>
            <w:r>
              <w:rPr>
                <w:kern w:val="0"/>
                <w:szCs w:val="21"/>
              </w:rPr>
              <w:t>章总体风险评估。</w:t>
            </w:r>
          </w:p>
        </w:tc>
      </w:tr>
      <w:tr w:rsidR="0073700B">
        <w:trPr>
          <w:jc w:val="center"/>
        </w:trPr>
        <w:tc>
          <w:tcPr>
            <w:tcW w:w="988" w:type="dxa"/>
            <w:tcBorders>
              <w:top w:val="single" w:sz="2" w:space="0" w:color="auto"/>
              <w:left w:val="single" w:sz="8"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吴顺川</w:t>
            </w:r>
          </w:p>
        </w:tc>
        <w:tc>
          <w:tcPr>
            <w:tcW w:w="2773" w:type="dxa"/>
            <w:tcBorders>
              <w:top w:val="single" w:sz="2" w:space="0" w:color="auto"/>
              <w:left w:val="single" w:sz="2"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北京科技大学</w:t>
            </w:r>
          </w:p>
        </w:tc>
        <w:tc>
          <w:tcPr>
            <w:tcW w:w="4535" w:type="dxa"/>
            <w:tcBorders>
              <w:top w:val="single" w:sz="2" w:space="0" w:color="auto"/>
              <w:left w:val="single" w:sz="2" w:space="0" w:color="auto"/>
              <w:bottom w:val="single" w:sz="2" w:space="0" w:color="auto"/>
              <w:right w:val="single" w:sz="8" w:space="0" w:color="auto"/>
            </w:tcBorders>
          </w:tcPr>
          <w:p w:rsidR="0073700B" w:rsidRDefault="001A2FFC">
            <w:pPr>
              <w:rPr>
                <w:kern w:val="0"/>
                <w:szCs w:val="21"/>
              </w:rPr>
            </w:pPr>
            <w:r>
              <w:rPr>
                <w:kern w:val="0"/>
                <w:szCs w:val="21"/>
              </w:rPr>
              <w:t>负责标准统稿与组织编写，制定标准研究大纲，总体</w:t>
            </w:r>
            <w:r>
              <w:rPr>
                <w:rFonts w:ascii="宋体" w:hAnsi="宋体" w:cs="宋体" w:hint="eastAsia"/>
                <w:kern w:val="0"/>
                <w:szCs w:val="21"/>
              </w:rPr>
              <w:t>负责第</w:t>
            </w:r>
            <w:r>
              <w:rPr>
                <w:rFonts w:ascii="宋体" w:hAnsi="宋体" w:cs="宋体" w:hint="eastAsia"/>
                <w:kern w:val="0"/>
                <w:szCs w:val="21"/>
              </w:rPr>
              <w:t>6</w:t>
            </w:r>
            <w:r>
              <w:rPr>
                <w:rFonts w:ascii="宋体" w:hAnsi="宋体" w:cs="宋体" w:hint="eastAsia"/>
                <w:kern w:val="0"/>
                <w:szCs w:val="21"/>
              </w:rPr>
              <w:t>章专项风险评估。</w:t>
            </w:r>
          </w:p>
        </w:tc>
      </w:tr>
      <w:tr w:rsidR="0073700B">
        <w:trPr>
          <w:jc w:val="center"/>
        </w:trPr>
        <w:tc>
          <w:tcPr>
            <w:tcW w:w="988" w:type="dxa"/>
            <w:tcBorders>
              <w:top w:val="single" w:sz="2" w:space="0" w:color="auto"/>
              <w:left w:val="single" w:sz="8"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吴忠广</w:t>
            </w:r>
          </w:p>
        </w:tc>
        <w:tc>
          <w:tcPr>
            <w:tcW w:w="2773" w:type="dxa"/>
            <w:tcBorders>
              <w:top w:val="single" w:sz="2" w:space="0" w:color="auto"/>
              <w:left w:val="single" w:sz="2"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交通运输部科学研究院</w:t>
            </w:r>
          </w:p>
        </w:tc>
        <w:tc>
          <w:tcPr>
            <w:tcW w:w="4535" w:type="dxa"/>
            <w:tcBorders>
              <w:top w:val="single" w:sz="2" w:space="0" w:color="auto"/>
              <w:left w:val="single" w:sz="2" w:space="0" w:color="auto"/>
              <w:bottom w:val="single" w:sz="2" w:space="0" w:color="auto"/>
              <w:right w:val="single" w:sz="8" w:space="0" w:color="auto"/>
            </w:tcBorders>
          </w:tcPr>
          <w:p w:rsidR="0073700B" w:rsidRDefault="001A2FFC">
            <w:pPr>
              <w:rPr>
                <w:kern w:val="0"/>
                <w:szCs w:val="21"/>
              </w:rPr>
            </w:pPr>
            <w:r>
              <w:rPr>
                <w:kern w:val="0"/>
                <w:szCs w:val="21"/>
              </w:rPr>
              <w:t>负责第</w:t>
            </w:r>
            <w:r>
              <w:rPr>
                <w:kern w:val="0"/>
                <w:szCs w:val="21"/>
              </w:rPr>
              <w:t>4</w:t>
            </w:r>
            <w:r>
              <w:rPr>
                <w:kern w:val="0"/>
                <w:szCs w:val="21"/>
              </w:rPr>
              <w:t>章基本原则、</w:t>
            </w:r>
            <w:r>
              <w:rPr>
                <w:kern w:val="0"/>
                <w:szCs w:val="21"/>
              </w:rPr>
              <w:t>6.6</w:t>
            </w:r>
            <w:r>
              <w:rPr>
                <w:kern w:val="0"/>
                <w:szCs w:val="21"/>
              </w:rPr>
              <w:t>重大风险</w:t>
            </w:r>
            <w:proofErr w:type="gramStart"/>
            <w:r>
              <w:rPr>
                <w:kern w:val="0"/>
                <w:szCs w:val="21"/>
              </w:rPr>
              <w:t>源风险</w:t>
            </w:r>
            <w:proofErr w:type="gramEnd"/>
            <w:r>
              <w:rPr>
                <w:kern w:val="0"/>
                <w:szCs w:val="21"/>
              </w:rPr>
              <w:t>估测</w:t>
            </w:r>
            <w:r>
              <w:rPr>
                <w:rFonts w:hint="eastAsia"/>
                <w:kern w:val="0"/>
                <w:szCs w:val="21"/>
              </w:rPr>
              <w:t>、</w:t>
            </w:r>
            <w:r>
              <w:rPr>
                <w:kern w:val="0"/>
                <w:szCs w:val="21"/>
              </w:rPr>
              <w:t>第</w:t>
            </w:r>
            <w:r>
              <w:rPr>
                <w:kern w:val="0"/>
                <w:szCs w:val="21"/>
              </w:rPr>
              <w:t>8</w:t>
            </w:r>
            <w:r>
              <w:rPr>
                <w:kern w:val="0"/>
                <w:szCs w:val="21"/>
              </w:rPr>
              <w:t>章风险评估报告编制。</w:t>
            </w:r>
            <w:r>
              <w:rPr>
                <w:kern w:val="0"/>
                <w:szCs w:val="21"/>
              </w:rPr>
              <w:t xml:space="preserve"> </w:t>
            </w:r>
          </w:p>
        </w:tc>
      </w:tr>
      <w:tr w:rsidR="0073700B">
        <w:trPr>
          <w:jc w:val="center"/>
        </w:trPr>
        <w:tc>
          <w:tcPr>
            <w:tcW w:w="988" w:type="dxa"/>
            <w:tcBorders>
              <w:top w:val="single" w:sz="2" w:space="0" w:color="auto"/>
              <w:left w:val="single" w:sz="8"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陈</w:t>
            </w:r>
            <w:r>
              <w:rPr>
                <w:kern w:val="0"/>
                <w:szCs w:val="21"/>
              </w:rPr>
              <w:t xml:space="preserve">  </w:t>
            </w:r>
            <w:proofErr w:type="gramStart"/>
            <w:r>
              <w:rPr>
                <w:kern w:val="0"/>
                <w:szCs w:val="21"/>
              </w:rPr>
              <w:t>磊</w:t>
            </w:r>
            <w:proofErr w:type="gramEnd"/>
          </w:p>
        </w:tc>
        <w:tc>
          <w:tcPr>
            <w:tcW w:w="2773" w:type="dxa"/>
            <w:tcBorders>
              <w:top w:val="single" w:sz="2" w:space="0" w:color="auto"/>
              <w:left w:val="single" w:sz="2" w:space="0" w:color="auto"/>
              <w:bottom w:val="single" w:sz="4" w:space="0" w:color="000000"/>
              <w:right w:val="single" w:sz="2" w:space="0" w:color="auto"/>
            </w:tcBorders>
            <w:vAlign w:val="center"/>
          </w:tcPr>
          <w:p w:rsidR="0073700B" w:rsidRDefault="001A2FFC">
            <w:pPr>
              <w:jc w:val="center"/>
              <w:rPr>
                <w:kern w:val="0"/>
                <w:szCs w:val="21"/>
              </w:rPr>
            </w:pPr>
            <w:r>
              <w:rPr>
                <w:kern w:val="0"/>
                <w:szCs w:val="21"/>
              </w:rPr>
              <w:t>交通运输部公路科学研究院</w:t>
            </w:r>
          </w:p>
        </w:tc>
        <w:tc>
          <w:tcPr>
            <w:tcW w:w="4535" w:type="dxa"/>
            <w:tcBorders>
              <w:top w:val="single" w:sz="2" w:space="0" w:color="auto"/>
              <w:left w:val="single" w:sz="2" w:space="0" w:color="auto"/>
              <w:bottom w:val="single" w:sz="2" w:space="0" w:color="auto"/>
              <w:right w:val="single" w:sz="8" w:space="0" w:color="auto"/>
            </w:tcBorders>
          </w:tcPr>
          <w:p w:rsidR="0073700B" w:rsidRDefault="001A2FFC">
            <w:pPr>
              <w:rPr>
                <w:kern w:val="0"/>
                <w:szCs w:val="21"/>
              </w:rPr>
            </w:pPr>
            <w:r>
              <w:rPr>
                <w:kern w:val="0"/>
                <w:szCs w:val="21"/>
              </w:rPr>
              <w:t>负责</w:t>
            </w:r>
            <w:r>
              <w:rPr>
                <w:kern w:val="0"/>
                <w:szCs w:val="21"/>
              </w:rPr>
              <w:t>6.1</w:t>
            </w:r>
            <w:r>
              <w:rPr>
                <w:kern w:val="0"/>
                <w:szCs w:val="21"/>
              </w:rPr>
              <w:t>一般要求、</w:t>
            </w:r>
            <w:r>
              <w:rPr>
                <w:kern w:val="0"/>
                <w:szCs w:val="21"/>
              </w:rPr>
              <w:t>6.2</w:t>
            </w:r>
            <w:r>
              <w:rPr>
                <w:kern w:val="0"/>
                <w:szCs w:val="21"/>
              </w:rPr>
              <w:t>风险辨识、</w:t>
            </w:r>
            <w:r>
              <w:rPr>
                <w:kern w:val="0"/>
                <w:szCs w:val="21"/>
              </w:rPr>
              <w:t>6.3</w:t>
            </w:r>
            <w:r>
              <w:rPr>
                <w:kern w:val="0"/>
                <w:szCs w:val="21"/>
              </w:rPr>
              <w:t>风险分析。</w:t>
            </w:r>
          </w:p>
        </w:tc>
      </w:tr>
      <w:tr w:rsidR="0073700B">
        <w:trPr>
          <w:jc w:val="center"/>
        </w:trPr>
        <w:tc>
          <w:tcPr>
            <w:tcW w:w="988" w:type="dxa"/>
            <w:tcBorders>
              <w:top w:val="single" w:sz="2" w:space="0" w:color="auto"/>
              <w:left w:val="single" w:sz="8"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严</w:t>
            </w:r>
            <w:r>
              <w:rPr>
                <w:kern w:val="0"/>
                <w:szCs w:val="21"/>
              </w:rPr>
              <w:t xml:space="preserve">  </w:t>
            </w:r>
            <w:r>
              <w:rPr>
                <w:kern w:val="0"/>
                <w:szCs w:val="21"/>
              </w:rPr>
              <w:t>琼</w:t>
            </w:r>
          </w:p>
        </w:tc>
        <w:tc>
          <w:tcPr>
            <w:tcW w:w="2773" w:type="dxa"/>
            <w:tcBorders>
              <w:top w:val="single" w:sz="2" w:space="0" w:color="auto"/>
              <w:left w:val="single" w:sz="2"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北京科技大学</w:t>
            </w:r>
          </w:p>
        </w:tc>
        <w:tc>
          <w:tcPr>
            <w:tcW w:w="4535" w:type="dxa"/>
            <w:tcBorders>
              <w:top w:val="single" w:sz="2" w:space="0" w:color="auto"/>
              <w:left w:val="single" w:sz="2" w:space="0" w:color="auto"/>
              <w:bottom w:val="single" w:sz="2" w:space="0" w:color="auto"/>
              <w:right w:val="single" w:sz="8" w:space="0" w:color="auto"/>
            </w:tcBorders>
          </w:tcPr>
          <w:p w:rsidR="0073700B" w:rsidRDefault="001A2FFC">
            <w:pPr>
              <w:rPr>
                <w:kern w:val="0"/>
                <w:szCs w:val="21"/>
              </w:rPr>
            </w:pPr>
            <w:r>
              <w:rPr>
                <w:kern w:val="0"/>
                <w:szCs w:val="21"/>
              </w:rPr>
              <w:t>负责</w:t>
            </w:r>
            <w:r>
              <w:rPr>
                <w:kern w:val="0"/>
                <w:szCs w:val="21"/>
              </w:rPr>
              <w:t>6.4</w:t>
            </w:r>
            <w:r>
              <w:rPr>
                <w:kern w:val="0"/>
                <w:szCs w:val="21"/>
              </w:rPr>
              <w:t>风险估测、</w:t>
            </w:r>
            <w:r>
              <w:rPr>
                <w:kern w:val="0"/>
                <w:szCs w:val="21"/>
              </w:rPr>
              <w:t>6.5</w:t>
            </w:r>
            <w:r>
              <w:rPr>
                <w:kern w:val="0"/>
                <w:szCs w:val="21"/>
              </w:rPr>
              <w:t>一般风险</w:t>
            </w:r>
            <w:proofErr w:type="gramStart"/>
            <w:r>
              <w:rPr>
                <w:kern w:val="0"/>
                <w:szCs w:val="21"/>
              </w:rPr>
              <w:t>源风险</w:t>
            </w:r>
            <w:proofErr w:type="gramEnd"/>
            <w:r>
              <w:rPr>
                <w:kern w:val="0"/>
                <w:szCs w:val="21"/>
              </w:rPr>
              <w:t>估测。</w:t>
            </w:r>
          </w:p>
        </w:tc>
      </w:tr>
      <w:tr w:rsidR="0073700B">
        <w:trPr>
          <w:jc w:val="center"/>
        </w:trPr>
        <w:tc>
          <w:tcPr>
            <w:tcW w:w="988" w:type="dxa"/>
            <w:tcBorders>
              <w:top w:val="single" w:sz="2" w:space="0" w:color="auto"/>
              <w:left w:val="single" w:sz="8"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张</w:t>
            </w:r>
            <w:r>
              <w:rPr>
                <w:kern w:val="0"/>
                <w:szCs w:val="21"/>
              </w:rPr>
              <w:t xml:space="preserve">  </w:t>
            </w:r>
            <w:r>
              <w:rPr>
                <w:kern w:val="0"/>
                <w:szCs w:val="21"/>
              </w:rPr>
              <w:t>宇</w:t>
            </w:r>
          </w:p>
        </w:tc>
        <w:tc>
          <w:tcPr>
            <w:tcW w:w="2773" w:type="dxa"/>
            <w:tcBorders>
              <w:top w:val="single" w:sz="2" w:space="0" w:color="auto"/>
              <w:left w:val="single" w:sz="2"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交通运输部科学研究院</w:t>
            </w:r>
          </w:p>
        </w:tc>
        <w:tc>
          <w:tcPr>
            <w:tcW w:w="4535" w:type="dxa"/>
            <w:tcBorders>
              <w:top w:val="single" w:sz="2" w:space="0" w:color="auto"/>
              <w:left w:val="single" w:sz="2" w:space="0" w:color="auto"/>
              <w:bottom w:val="single" w:sz="2" w:space="0" w:color="auto"/>
              <w:right w:val="single" w:sz="8" w:space="0" w:color="auto"/>
            </w:tcBorders>
          </w:tcPr>
          <w:p w:rsidR="0073700B" w:rsidRDefault="001A2FFC">
            <w:pPr>
              <w:rPr>
                <w:kern w:val="0"/>
                <w:szCs w:val="21"/>
              </w:rPr>
            </w:pPr>
            <w:r>
              <w:rPr>
                <w:kern w:val="0"/>
                <w:szCs w:val="21"/>
              </w:rPr>
              <w:t>负责第</w:t>
            </w:r>
            <w:r>
              <w:rPr>
                <w:kern w:val="0"/>
                <w:szCs w:val="21"/>
              </w:rPr>
              <w:t>1</w:t>
            </w:r>
            <w:r>
              <w:rPr>
                <w:kern w:val="0"/>
                <w:szCs w:val="21"/>
              </w:rPr>
              <w:t>章范围、第</w:t>
            </w:r>
            <w:r>
              <w:rPr>
                <w:kern w:val="0"/>
                <w:szCs w:val="21"/>
              </w:rPr>
              <w:t>2</w:t>
            </w:r>
            <w:r>
              <w:rPr>
                <w:kern w:val="0"/>
                <w:szCs w:val="21"/>
              </w:rPr>
              <w:t>章规范性引用文件、第</w:t>
            </w:r>
            <w:r>
              <w:rPr>
                <w:kern w:val="0"/>
                <w:szCs w:val="21"/>
              </w:rPr>
              <w:t>3</w:t>
            </w:r>
            <w:r>
              <w:rPr>
                <w:kern w:val="0"/>
                <w:szCs w:val="21"/>
              </w:rPr>
              <w:t>章术语和定义。</w:t>
            </w:r>
          </w:p>
        </w:tc>
      </w:tr>
      <w:tr w:rsidR="0073700B">
        <w:trPr>
          <w:jc w:val="center"/>
        </w:trPr>
        <w:tc>
          <w:tcPr>
            <w:tcW w:w="988" w:type="dxa"/>
            <w:tcBorders>
              <w:top w:val="single" w:sz="2" w:space="0" w:color="auto"/>
              <w:left w:val="single" w:sz="8"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刘</w:t>
            </w:r>
            <w:r>
              <w:rPr>
                <w:kern w:val="0"/>
                <w:szCs w:val="21"/>
              </w:rPr>
              <w:t xml:space="preserve">  </w:t>
            </w:r>
            <w:r>
              <w:rPr>
                <w:kern w:val="0"/>
                <w:szCs w:val="21"/>
              </w:rPr>
              <w:t>伟</w:t>
            </w:r>
          </w:p>
        </w:tc>
        <w:tc>
          <w:tcPr>
            <w:tcW w:w="2773" w:type="dxa"/>
            <w:tcBorders>
              <w:top w:val="single" w:sz="2" w:space="0" w:color="auto"/>
              <w:left w:val="single" w:sz="2"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交通运输部公路科学研究院</w:t>
            </w:r>
          </w:p>
        </w:tc>
        <w:tc>
          <w:tcPr>
            <w:tcW w:w="4535" w:type="dxa"/>
            <w:tcBorders>
              <w:top w:val="single" w:sz="2" w:space="0" w:color="auto"/>
              <w:left w:val="single" w:sz="2" w:space="0" w:color="auto"/>
              <w:bottom w:val="single" w:sz="2" w:space="0" w:color="auto"/>
              <w:right w:val="single" w:sz="8" w:space="0" w:color="auto"/>
            </w:tcBorders>
          </w:tcPr>
          <w:p w:rsidR="0073700B" w:rsidRDefault="001A2FFC">
            <w:pPr>
              <w:rPr>
                <w:kern w:val="0"/>
                <w:szCs w:val="21"/>
              </w:rPr>
            </w:pPr>
            <w:r>
              <w:rPr>
                <w:kern w:val="0"/>
                <w:szCs w:val="21"/>
              </w:rPr>
              <w:t>负责第</w:t>
            </w:r>
            <w:r>
              <w:rPr>
                <w:kern w:val="0"/>
                <w:szCs w:val="21"/>
              </w:rPr>
              <w:t>7</w:t>
            </w:r>
            <w:r>
              <w:rPr>
                <w:kern w:val="0"/>
                <w:szCs w:val="21"/>
              </w:rPr>
              <w:t>章风险控制。</w:t>
            </w:r>
          </w:p>
        </w:tc>
      </w:tr>
      <w:tr w:rsidR="0073700B">
        <w:trPr>
          <w:jc w:val="center"/>
        </w:trPr>
        <w:tc>
          <w:tcPr>
            <w:tcW w:w="988" w:type="dxa"/>
            <w:tcBorders>
              <w:top w:val="single" w:sz="2" w:space="0" w:color="auto"/>
              <w:left w:val="single" w:sz="8"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张成良</w:t>
            </w:r>
          </w:p>
        </w:tc>
        <w:tc>
          <w:tcPr>
            <w:tcW w:w="2773" w:type="dxa"/>
            <w:tcBorders>
              <w:top w:val="single" w:sz="2" w:space="0" w:color="auto"/>
              <w:left w:val="single" w:sz="2"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昆明理工大学</w:t>
            </w:r>
          </w:p>
        </w:tc>
        <w:tc>
          <w:tcPr>
            <w:tcW w:w="4535" w:type="dxa"/>
            <w:tcBorders>
              <w:top w:val="single" w:sz="2" w:space="0" w:color="auto"/>
              <w:left w:val="single" w:sz="2" w:space="0" w:color="auto"/>
              <w:bottom w:val="single" w:sz="2" w:space="0" w:color="auto"/>
              <w:right w:val="single" w:sz="8" w:space="0" w:color="auto"/>
            </w:tcBorders>
          </w:tcPr>
          <w:p w:rsidR="0073700B" w:rsidRDefault="001A2FFC">
            <w:pPr>
              <w:rPr>
                <w:kern w:val="0"/>
                <w:szCs w:val="21"/>
              </w:rPr>
            </w:pPr>
            <w:r>
              <w:rPr>
                <w:kern w:val="0"/>
                <w:szCs w:val="21"/>
              </w:rPr>
              <w:t>协助施工前和施工过程洞口失稳、涌水突泥风险事件指标体系建立。</w:t>
            </w:r>
          </w:p>
        </w:tc>
      </w:tr>
      <w:tr w:rsidR="0073700B">
        <w:trPr>
          <w:trHeight w:val="416"/>
          <w:jc w:val="center"/>
        </w:trPr>
        <w:tc>
          <w:tcPr>
            <w:tcW w:w="988" w:type="dxa"/>
            <w:tcBorders>
              <w:top w:val="single" w:sz="2" w:space="0" w:color="auto"/>
              <w:left w:val="single" w:sz="8"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杨弘卿</w:t>
            </w:r>
          </w:p>
        </w:tc>
        <w:tc>
          <w:tcPr>
            <w:tcW w:w="2773" w:type="dxa"/>
            <w:tcBorders>
              <w:top w:val="single" w:sz="2" w:space="0" w:color="auto"/>
              <w:left w:val="single" w:sz="2"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交通运输部公路科学研究院</w:t>
            </w:r>
          </w:p>
        </w:tc>
        <w:tc>
          <w:tcPr>
            <w:tcW w:w="4535" w:type="dxa"/>
            <w:tcBorders>
              <w:top w:val="single" w:sz="2" w:space="0" w:color="auto"/>
              <w:left w:val="single" w:sz="2" w:space="0" w:color="auto"/>
              <w:bottom w:val="single" w:sz="2" w:space="0" w:color="auto"/>
              <w:right w:val="single" w:sz="8" w:space="0" w:color="auto"/>
            </w:tcBorders>
          </w:tcPr>
          <w:p w:rsidR="0073700B" w:rsidRDefault="001A2FFC">
            <w:pPr>
              <w:rPr>
                <w:kern w:val="0"/>
                <w:szCs w:val="21"/>
              </w:rPr>
            </w:pPr>
            <w:r>
              <w:rPr>
                <w:kern w:val="0"/>
                <w:szCs w:val="21"/>
              </w:rPr>
              <w:t>协助施工前和施工过程坍塌、大变形风险事件指标体系建立。</w:t>
            </w:r>
          </w:p>
        </w:tc>
      </w:tr>
      <w:tr w:rsidR="0073700B">
        <w:trPr>
          <w:jc w:val="center"/>
        </w:trPr>
        <w:tc>
          <w:tcPr>
            <w:tcW w:w="988" w:type="dxa"/>
            <w:tcBorders>
              <w:top w:val="single" w:sz="2" w:space="0" w:color="auto"/>
              <w:left w:val="single" w:sz="8"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谢洪涛</w:t>
            </w:r>
          </w:p>
        </w:tc>
        <w:tc>
          <w:tcPr>
            <w:tcW w:w="2773" w:type="dxa"/>
            <w:tcBorders>
              <w:top w:val="single" w:sz="2" w:space="0" w:color="auto"/>
              <w:left w:val="single" w:sz="2" w:space="0" w:color="auto"/>
              <w:bottom w:val="single" w:sz="2" w:space="0" w:color="auto"/>
              <w:right w:val="single" w:sz="2" w:space="0" w:color="auto"/>
            </w:tcBorders>
            <w:vAlign w:val="center"/>
          </w:tcPr>
          <w:p w:rsidR="0073700B" w:rsidRDefault="001A2FFC">
            <w:pPr>
              <w:jc w:val="center"/>
              <w:rPr>
                <w:kern w:val="0"/>
                <w:szCs w:val="21"/>
              </w:rPr>
            </w:pPr>
            <w:r>
              <w:rPr>
                <w:kern w:val="0"/>
                <w:szCs w:val="21"/>
              </w:rPr>
              <w:t>昆明理工大学</w:t>
            </w:r>
          </w:p>
        </w:tc>
        <w:tc>
          <w:tcPr>
            <w:tcW w:w="4535" w:type="dxa"/>
            <w:tcBorders>
              <w:top w:val="single" w:sz="2" w:space="0" w:color="auto"/>
              <w:left w:val="single" w:sz="2" w:space="0" w:color="auto"/>
              <w:bottom w:val="single" w:sz="2" w:space="0" w:color="auto"/>
              <w:right w:val="single" w:sz="8" w:space="0" w:color="auto"/>
            </w:tcBorders>
          </w:tcPr>
          <w:p w:rsidR="0073700B" w:rsidRDefault="001A2FFC">
            <w:pPr>
              <w:rPr>
                <w:kern w:val="0"/>
                <w:szCs w:val="21"/>
              </w:rPr>
            </w:pPr>
            <w:r>
              <w:rPr>
                <w:kern w:val="0"/>
                <w:szCs w:val="21"/>
              </w:rPr>
              <w:t>协助施工前和施工过程瓦斯爆炸、岩爆风险事件指标体系建立。</w:t>
            </w:r>
          </w:p>
        </w:tc>
      </w:tr>
      <w:tr w:rsidR="0073700B">
        <w:trPr>
          <w:jc w:val="center"/>
        </w:trPr>
        <w:tc>
          <w:tcPr>
            <w:tcW w:w="988" w:type="dxa"/>
            <w:tcBorders>
              <w:top w:val="single" w:sz="2" w:space="0" w:color="auto"/>
              <w:left w:val="single" w:sz="8" w:space="0" w:color="auto"/>
              <w:bottom w:val="single" w:sz="8" w:space="0" w:color="auto"/>
              <w:right w:val="single" w:sz="2" w:space="0" w:color="auto"/>
            </w:tcBorders>
            <w:vAlign w:val="center"/>
          </w:tcPr>
          <w:p w:rsidR="0073700B" w:rsidRDefault="001A2FFC">
            <w:pPr>
              <w:jc w:val="center"/>
              <w:rPr>
                <w:kern w:val="0"/>
                <w:szCs w:val="21"/>
              </w:rPr>
            </w:pPr>
            <w:r>
              <w:rPr>
                <w:kern w:val="0"/>
                <w:szCs w:val="21"/>
              </w:rPr>
              <w:t>吕祥锋</w:t>
            </w:r>
          </w:p>
        </w:tc>
        <w:tc>
          <w:tcPr>
            <w:tcW w:w="2773" w:type="dxa"/>
            <w:tcBorders>
              <w:top w:val="single" w:sz="2" w:space="0" w:color="auto"/>
              <w:left w:val="single" w:sz="2" w:space="0" w:color="auto"/>
              <w:bottom w:val="single" w:sz="8" w:space="0" w:color="auto"/>
              <w:right w:val="single" w:sz="2" w:space="0" w:color="auto"/>
            </w:tcBorders>
            <w:vAlign w:val="center"/>
          </w:tcPr>
          <w:p w:rsidR="0073700B" w:rsidRDefault="001A2FFC">
            <w:pPr>
              <w:jc w:val="center"/>
              <w:rPr>
                <w:kern w:val="0"/>
                <w:szCs w:val="21"/>
              </w:rPr>
            </w:pPr>
            <w:r>
              <w:rPr>
                <w:kern w:val="0"/>
                <w:szCs w:val="21"/>
              </w:rPr>
              <w:t>北京科技大学</w:t>
            </w:r>
          </w:p>
        </w:tc>
        <w:tc>
          <w:tcPr>
            <w:tcW w:w="4535" w:type="dxa"/>
            <w:tcBorders>
              <w:top w:val="single" w:sz="2" w:space="0" w:color="auto"/>
              <w:left w:val="single" w:sz="2" w:space="0" w:color="auto"/>
              <w:bottom w:val="single" w:sz="8" w:space="0" w:color="auto"/>
              <w:right w:val="single" w:sz="8" w:space="0" w:color="auto"/>
            </w:tcBorders>
          </w:tcPr>
          <w:p w:rsidR="0073700B" w:rsidRDefault="001A2FFC">
            <w:pPr>
              <w:rPr>
                <w:kern w:val="0"/>
                <w:szCs w:val="21"/>
              </w:rPr>
            </w:pPr>
            <w:r>
              <w:rPr>
                <w:kern w:val="0"/>
                <w:szCs w:val="21"/>
              </w:rPr>
              <w:t>协助标准统稿与修改。</w:t>
            </w:r>
          </w:p>
        </w:tc>
      </w:tr>
    </w:tbl>
    <w:p w:rsidR="0073700B" w:rsidRDefault="0073700B">
      <w:pPr>
        <w:spacing w:line="360" w:lineRule="auto"/>
        <w:ind w:firstLineChars="200" w:firstLine="480"/>
        <w:rPr>
          <w:bCs/>
          <w:sz w:val="24"/>
          <w:szCs w:val="20"/>
        </w:rPr>
      </w:pPr>
    </w:p>
    <w:p w:rsidR="0073700B" w:rsidRDefault="0073700B">
      <w:pPr>
        <w:spacing w:line="360" w:lineRule="auto"/>
        <w:ind w:firstLineChars="200" w:firstLine="480"/>
        <w:rPr>
          <w:bCs/>
          <w:sz w:val="24"/>
          <w:szCs w:val="20"/>
        </w:rPr>
      </w:pPr>
    </w:p>
    <w:p w:rsidR="0073700B" w:rsidRDefault="001A2FFC">
      <w:pPr>
        <w:widowControl/>
        <w:jc w:val="left"/>
        <w:rPr>
          <w:bCs/>
          <w:sz w:val="24"/>
          <w:szCs w:val="20"/>
        </w:rPr>
      </w:pPr>
      <w:r>
        <w:rPr>
          <w:bCs/>
          <w:sz w:val="24"/>
          <w:szCs w:val="20"/>
        </w:rPr>
        <w:br w:type="page"/>
      </w:r>
    </w:p>
    <w:p w:rsidR="0073700B" w:rsidRDefault="001A2FFC" w:rsidP="00F80BAC">
      <w:pPr>
        <w:pStyle w:val="1"/>
        <w:spacing w:before="0" w:after="0" w:line="360" w:lineRule="auto"/>
        <w:ind w:firstLineChars="200" w:firstLine="602"/>
        <w:rPr>
          <w:rFonts w:eastAsia="黑体"/>
          <w:bCs w:val="0"/>
          <w:sz w:val="30"/>
          <w:szCs w:val="30"/>
        </w:rPr>
      </w:pPr>
      <w:bookmarkStart w:id="8" w:name="_Toc32321802"/>
      <w:r>
        <w:rPr>
          <w:rFonts w:eastAsia="黑体"/>
          <w:bCs w:val="0"/>
          <w:sz w:val="30"/>
          <w:szCs w:val="30"/>
        </w:rPr>
        <w:lastRenderedPageBreak/>
        <w:t>二、标准编制原则</w:t>
      </w:r>
      <w:r>
        <w:rPr>
          <w:rFonts w:eastAsia="黑体" w:hint="eastAsia"/>
          <w:bCs w:val="0"/>
          <w:sz w:val="30"/>
          <w:szCs w:val="30"/>
        </w:rPr>
        <w:t>及主要内容</w:t>
      </w:r>
      <w:bookmarkEnd w:id="8"/>
    </w:p>
    <w:p w:rsidR="0073700B" w:rsidRDefault="001A2FFC" w:rsidP="00F80BAC">
      <w:pPr>
        <w:spacing w:line="360" w:lineRule="auto"/>
        <w:ind w:firstLineChars="200" w:firstLine="482"/>
        <w:outlineLvl w:val="1"/>
        <w:rPr>
          <w:b/>
          <w:sz w:val="24"/>
          <w:szCs w:val="20"/>
        </w:rPr>
      </w:pPr>
      <w:r>
        <w:rPr>
          <w:rFonts w:hint="eastAsia"/>
          <w:b/>
          <w:sz w:val="24"/>
          <w:szCs w:val="20"/>
        </w:rPr>
        <w:t>（一）编制原则。</w:t>
      </w:r>
    </w:p>
    <w:p w:rsidR="0073700B" w:rsidRDefault="001A2FFC" w:rsidP="00F80BAC">
      <w:pPr>
        <w:spacing w:beforeLines="50" w:before="156" w:line="360" w:lineRule="auto"/>
        <w:ind w:firstLineChars="200" w:firstLine="480"/>
        <w:rPr>
          <w:bCs/>
          <w:color w:val="000000"/>
          <w:sz w:val="24"/>
          <w:szCs w:val="20"/>
        </w:rPr>
      </w:pPr>
      <w:r>
        <w:rPr>
          <w:bCs/>
          <w:color w:val="000000"/>
          <w:sz w:val="24"/>
          <w:szCs w:val="20"/>
        </w:rPr>
        <w:t xml:space="preserve">1. </w:t>
      </w:r>
      <w:r>
        <w:rPr>
          <w:bCs/>
          <w:color w:val="000000"/>
          <w:sz w:val="24"/>
          <w:szCs w:val="20"/>
        </w:rPr>
        <w:t>充分利用现有的科研成果。在</w:t>
      </w:r>
      <w:bookmarkStart w:id="9" w:name="_Hlk13555223"/>
      <w:r>
        <w:rPr>
          <w:bCs/>
          <w:color w:val="000000"/>
          <w:sz w:val="24"/>
          <w:szCs w:val="20"/>
        </w:rPr>
        <w:t>《公路桥梁和隧道工程施工安全风险评估指南（试行）》</w:t>
      </w:r>
      <w:bookmarkEnd w:id="9"/>
      <w:r>
        <w:rPr>
          <w:bCs/>
          <w:color w:val="000000"/>
          <w:sz w:val="24"/>
          <w:szCs w:val="20"/>
        </w:rPr>
        <w:t>（以下简称</w:t>
      </w:r>
      <w:r>
        <w:rPr>
          <w:bCs/>
          <w:color w:val="000000"/>
          <w:sz w:val="24"/>
          <w:szCs w:val="20"/>
        </w:rPr>
        <w:t>“</w:t>
      </w:r>
      <w:r>
        <w:rPr>
          <w:bCs/>
          <w:color w:val="000000"/>
          <w:sz w:val="24"/>
          <w:szCs w:val="20"/>
        </w:rPr>
        <w:t>《现行指南》</w:t>
      </w:r>
      <w:r>
        <w:rPr>
          <w:bCs/>
          <w:color w:val="000000"/>
          <w:sz w:val="24"/>
          <w:szCs w:val="20"/>
        </w:rPr>
        <w:t>”</w:t>
      </w:r>
      <w:r>
        <w:rPr>
          <w:bCs/>
          <w:color w:val="000000"/>
          <w:sz w:val="24"/>
          <w:szCs w:val="20"/>
        </w:rPr>
        <w:t>）的基础上，</w:t>
      </w:r>
      <w:r>
        <w:rPr>
          <w:bCs/>
          <w:color w:val="000000"/>
          <w:sz w:val="24"/>
          <w:szCs w:val="20"/>
        </w:rPr>
        <w:t>2018</w:t>
      </w:r>
      <w:r>
        <w:rPr>
          <w:bCs/>
          <w:color w:val="000000"/>
          <w:sz w:val="24"/>
          <w:szCs w:val="20"/>
        </w:rPr>
        <w:t>年</w:t>
      </w:r>
      <w:r>
        <w:rPr>
          <w:bCs/>
          <w:color w:val="000000"/>
          <w:sz w:val="24"/>
          <w:szCs w:val="20"/>
        </w:rPr>
        <w:t>1</w:t>
      </w:r>
      <w:r>
        <w:rPr>
          <w:bCs/>
          <w:color w:val="000000"/>
          <w:sz w:val="24"/>
          <w:szCs w:val="20"/>
        </w:rPr>
        <w:t>月，起草组成员开展了</w:t>
      </w:r>
      <w:bookmarkStart w:id="10" w:name="_Hlk13554908"/>
      <w:r>
        <w:rPr>
          <w:bCs/>
          <w:color w:val="000000"/>
          <w:sz w:val="24"/>
          <w:szCs w:val="20"/>
        </w:rPr>
        <w:t>隧道施工风险评估</w:t>
      </w:r>
      <w:bookmarkEnd w:id="10"/>
      <w:r>
        <w:rPr>
          <w:bCs/>
          <w:color w:val="000000"/>
          <w:sz w:val="24"/>
          <w:szCs w:val="20"/>
        </w:rPr>
        <w:t>方法调研与分析研究，包括国内外标准、规范、文献，通过对比分析初步确定了现行指南的修编方向。在修编过程中，起草组成员多次参与</w:t>
      </w:r>
      <w:r>
        <w:rPr>
          <w:bCs/>
          <w:color w:val="000000"/>
          <w:sz w:val="24"/>
          <w:szCs w:val="20"/>
        </w:rPr>
        <w:t>“</w:t>
      </w:r>
      <w:r>
        <w:rPr>
          <w:bCs/>
          <w:color w:val="000000"/>
          <w:sz w:val="24"/>
          <w:szCs w:val="20"/>
        </w:rPr>
        <w:t>公路工程施工风险评估指南</w:t>
      </w:r>
      <w:r>
        <w:rPr>
          <w:bCs/>
          <w:color w:val="000000"/>
          <w:sz w:val="24"/>
          <w:szCs w:val="20"/>
        </w:rPr>
        <w:t>”</w:t>
      </w:r>
      <w:r>
        <w:rPr>
          <w:bCs/>
          <w:color w:val="000000"/>
          <w:sz w:val="24"/>
          <w:szCs w:val="20"/>
        </w:rPr>
        <w:t>专家研讨会，广泛听取专家意见，确保主要技术内容更加科学、合理。</w:t>
      </w:r>
    </w:p>
    <w:p w:rsidR="0073700B" w:rsidRDefault="001A2FFC" w:rsidP="00F80BAC">
      <w:pPr>
        <w:spacing w:beforeLines="50" w:before="156" w:line="360" w:lineRule="auto"/>
        <w:ind w:firstLineChars="200" w:firstLine="480"/>
        <w:rPr>
          <w:bCs/>
          <w:color w:val="000000"/>
          <w:sz w:val="24"/>
          <w:szCs w:val="20"/>
        </w:rPr>
      </w:pPr>
      <w:r>
        <w:rPr>
          <w:bCs/>
          <w:color w:val="000000"/>
          <w:sz w:val="24"/>
          <w:szCs w:val="20"/>
        </w:rPr>
        <w:t xml:space="preserve">2. </w:t>
      </w:r>
      <w:r>
        <w:rPr>
          <w:bCs/>
          <w:color w:val="000000"/>
          <w:sz w:val="24"/>
          <w:szCs w:val="20"/>
        </w:rPr>
        <w:t>根据《现行指南》的试行情况完善技术内容。《现行指南》公布实施已有八年时间，根据《现行指南》的实际应用反馈情况，对技术内容修改完善，突出其实用性与科学性。</w:t>
      </w:r>
    </w:p>
    <w:p w:rsidR="0073700B" w:rsidRDefault="001A2FFC" w:rsidP="00F80BAC">
      <w:pPr>
        <w:spacing w:beforeLines="50" w:before="156" w:line="360" w:lineRule="auto"/>
        <w:ind w:firstLineChars="200" w:firstLine="480"/>
        <w:rPr>
          <w:bCs/>
          <w:color w:val="000000"/>
          <w:sz w:val="24"/>
          <w:szCs w:val="20"/>
        </w:rPr>
      </w:pPr>
      <w:r>
        <w:rPr>
          <w:bCs/>
          <w:color w:val="000000"/>
          <w:sz w:val="24"/>
          <w:szCs w:val="20"/>
        </w:rPr>
        <w:t xml:space="preserve">3. </w:t>
      </w:r>
      <w:r>
        <w:rPr>
          <w:bCs/>
          <w:color w:val="000000"/>
          <w:sz w:val="24"/>
          <w:szCs w:val="20"/>
        </w:rPr>
        <w:t>简化风险评估管理相关内容。本标准是技术指南，重</w:t>
      </w:r>
      <w:r>
        <w:rPr>
          <w:bCs/>
          <w:color w:val="000000"/>
          <w:sz w:val="24"/>
          <w:szCs w:val="20"/>
        </w:rPr>
        <w:t>点是风险评估的内容和方法，因此将《现行指南》中一些不必要的风险评估管理内容进行精简。</w:t>
      </w:r>
    </w:p>
    <w:p w:rsidR="0073700B" w:rsidRDefault="001A2FFC" w:rsidP="00F80BAC">
      <w:pPr>
        <w:spacing w:beforeLines="50" w:before="156" w:line="360" w:lineRule="auto"/>
        <w:ind w:firstLineChars="200" w:firstLine="480"/>
        <w:rPr>
          <w:bCs/>
          <w:color w:val="FF0000"/>
          <w:sz w:val="24"/>
          <w:szCs w:val="20"/>
        </w:rPr>
      </w:pPr>
      <w:r>
        <w:rPr>
          <w:bCs/>
          <w:color w:val="000000"/>
          <w:sz w:val="24"/>
          <w:szCs w:val="20"/>
        </w:rPr>
        <w:t xml:space="preserve">4. </w:t>
      </w:r>
      <w:r>
        <w:rPr>
          <w:bCs/>
          <w:color w:val="000000"/>
          <w:sz w:val="24"/>
          <w:szCs w:val="20"/>
        </w:rPr>
        <w:t>优化标准格式。本标准按照《标准化工作导则</w:t>
      </w:r>
      <w:r>
        <w:rPr>
          <w:bCs/>
          <w:color w:val="000000"/>
          <w:sz w:val="24"/>
          <w:szCs w:val="20"/>
        </w:rPr>
        <w:t xml:space="preserve"> </w:t>
      </w:r>
      <w:r>
        <w:rPr>
          <w:bCs/>
          <w:color w:val="000000"/>
          <w:sz w:val="24"/>
          <w:szCs w:val="20"/>
        </w:rPr>
        <w:t>第</w:t>
      </w:r>
      <w:r>
        <w:rPr>
          <w:bCs/>
          <w:color w:val="000000"/>
          <w:sz w:val="24"/>
          <w:szCs w:val="20"/>
        </w:rPr>
        <w:t>1</w:t>
      </w:r>
      <w:r>
        <w:rPr>
          <w:bCs/>
          <w:color w:val="000000"/>
          <w:sz w:val="24"/>
          <w:szCs w:val="20"/>
        </w:rPr>
        <w:t>部分：标准的结构和编写》（</w:t>
      </w:r>
      <w:r>
        <w:rPr>
          <w:bCs/>
          <w:color w:val="000000"/>
          <w:sz w:val="24"/>
          <w:szCs w:val="20"/>
        </w:rPr>
        <w:t>GB/T 1.1-2009</w:t>
      </w:r>
      <w:r>
        <w:rPr>
          <w:bCs/>
          <w:color w:val="000000"/>
          <w:sz w:val="24"/>
          <w:szCs w:val="20"/>
        </w:rPr>
        <w:t>）起草编写，考虑到本标准有大量的表格，为了方便标准的阅读和使用，将专项风险评估中的风险事件评估指标体系等表格作为附录。</w:t>
      </w:r>
    </w:p>
    <w:p w:rsidR="0073700B" w:rsidRDefault="001A2FFC">
      <w:pPr>
        <w:widowControl/>
        <w:jc w:val="left"/>
        <w:rPr>
          <w:rFonts w:eastAsia="黑体"/>
          <w:bCs/>
          <w:kern w:val="44"/>
          <w:sz w:val="30"/>
          <w:szCs w:val="30"/>
        </w:rPr>
      </w:pPr>
      <w:r>
        <w:rPr>
          <w:rFonts w:eastAsia="黑体"/>
          <w:b/>
          <w:sz w:val="30"/>
          <w:szCs w:val="30"/>
        </w:rPr>
        <w:br w:type="page"/>
      </w:r>
    </w:p>
    <w:p w:rsidR="0073700B" w:rsidRDefault="001A2FFC" w:rsidP="00F80BAC">
      <w:pPr>
        <w:spacing w:line="360" w:lineRule="auto"/>
        <w:ind w:firstLineChars="200" w:firstLine="482"/>
        <w:outlineLvl w:val="1"/>
        <w:rPr>
          <w:b/>
          <w:sz w:val="24"/>
          <w:szCs w:val="20"/>
        </w:rPr>
      </w:pPr>
      <w:r>
        <w:rPr>
          <w:rFonts w:hint="eastAsia"/>
          <w:b/>
          <w:sz w:val="24"/>
          <w:szCs w:val="20"/>
        </w:rPr>
        <w:lastRenderedPageBreak/>
        <w:t>（二）主要内容。</w:t>
      </w:r>
    </w:p>
    <w:p w:rsidR="0073700B" w:rsidRDefault="001A2FFC" w:rsidP="00F80BAC">
      <w:pPr>
        <w:spacing w:beforeLines="50" w:before="156" w:line="360" w:lineRule="auto"/>
        <w:ind w:firstLineChars="200" w:firstLine="480"/>
        <w:rPr>
          <w:bCs/>
          <w:sz w:val="24"/>
          <w:szCs w:val="20"/>
        </w:rPr>
      </w:pPr>
      <w:r>
        <w:rPr>
          <w:bCs/>
          <w:sz w:val="24"/>
          <w:szCs w:val="20"/>
        </w:rPr>
        <w:t>本标准由前言、正文和附录三部分组成。</w:t>
      </w:r>
    </w:p>
    <w:p w:rsidR="0073700B" w:rsidRDefault="001A2FFC" w:rsidP="00F80BAC">
      <w:pPr>
        <w:spacing w:beforeLines="50" w:before="156" w:line="360" w:lineRule="auto"/>
        <w:ind w:firstLineChars="200" w:firstLine="480"/>
        <w:rPr>
          <w:bCs/>
          <w:sz w:val="24"/>
          <w:szCs w:val="20"/>
        </w:rPr>
      </w:pPr>
      <w:r>
        <w:rPr>
          <w:bCs/>
          <w:sz w:val="24"/>
          <w:szCs w:val="20"/>
        </w:rPr>
        <w:t>标准正文包括范围、规范性引用文件、术语和定义、基本原则、总体风险评估、专项风险评估、风险控制、风险评估报告编制</w:t>
      </w:r>
      <w:r>
        <w:rPr>
          <w:bCs/>
          <w:sz w:val="24"/>
          <w:szCs w:val="20"/>
        </w:rPr>
        <w:t>8</w:t>
      </w:r>
      <w:r>
        <w:rPr>
          <w:bCs/>
          <w:sz w:val="24"/>
          <w:szCs w:val="20"/>
        </w:rPr>
        <w:t>个章节。</w:t>
      </w:r>
    </w:p>
    <w:p w:rsidR="0073700B" w:rsidRDefault="001A2FFC" w:rsidP="00F80BAC">
      <w:pPr>
        <w:spacing w:beforeLines="50" w:before="156" w:line="360" w:lineRule="auto"/>
        <w:ind w:firstLineChars="200" w:firstLine="480"/>
        <w:rPr>
          <w:bCs/>
          <w:sz w:val="24"/>
          <w:szCs w:val="20"/>
        </w:rPr>
      </w:pPr>
      <w:r>
        <w:rPr>
          <w:bCs/>
          <w:sz w:val="24"/>
          <w:szCs w:val="20"/>
        </w:rPr>
        <w:t>附录包括附录</w:t>
      </w:r>
      <w:r>
        <w:rPr>
          <w:bCs/>
          <w:sz w:val="24"/>
          <w:szCs w:val="20"/>
        </w:rPr>
        <w:t>A</w:t>
      </w:r>
      <w:r>
        <w:rPr>
          <w:bCs/>
          <w:sz w:val="24"/>
          <w:szCs w:val="20"/>
        </w:rPr>
        <w:t>（资料性附录）专项风险评估指标体系、附录</w:t>
      </w:r>
      <w:r>
        <w:rPr>
          <w:bCs/>
          <w:sz w:val="24"/>
          <w:szCs w:val="20"/>
        </w:rPr>
        <w:t>B</w:t>
      </w:r>
      <w:r>
        <w:rPr>
          <w:bCs/>
          <w:sz w:val="24"/>
          <w:szCs w:val="20"/>
        </w:rPr>
        <w:t>（资料性附录）公路隧道工程施工的典型风险事件类型、附录</w:t>
      </w:r>
      <w:r>
        <w:rPr>
          <w:bCs/>
          <w:sz w:val="24"/>
          <w:szCs w:val="20"/>
        </w:rPr>
        <w:t>C</w:t>
      </w:r>
      <w:r>
        <w:rPr>
          <w:bCs/>
          <w:sz w:val="24"/>
          <w:szCs w:val="20"/>
        </w:rPr>
        <w:t>（资料性附录）可选用的评估方法、附录</w:t>
      </w:r>
      <w:r>
        <w:rPr>
          <w:bCs/>
          <w:sz w:val="24"/>
          <w:szCs w:val="20"/>
        </w:rPr>
        <w:t>D</w:t>
      </w:r>
      <w:r>
        <w:rPr>
          <w:bCs/>
          <w:sz w:val="24"/>
          <w:szCs w:val="20"/>
        </w:rPr>
        <w:t>（资料性附录）公路隧道典型重大风险</w:t>
      </w:r>
      <w:proofErr w:type="gramStart"/>
      <w:r>
        <w:rPr>
          <w:bCs/>
          <w:sz w:val="24"/>
          <w:szCs w:val="20"/>
        </w:rPr>
        <w:t>源风险</w:t>
      </w:r>
      <w:proofErr w:type="gramEnd"/>
      <w:r>
        <w:rPr>
          <w:bCs/>
          <w:sz w:val="24"/>
          <w:szCs w:val="20"/>
        </w:rPr>
        <w:t>控制建议、附录</w:t>
      </w:r>
      <w:r>
        <w:rPr>
          <w:bCs/>
          <w:sz w:val="24"/>
          <w:szCs w:val="20"/>
        </w:rPr>
        <w:t>E</w:t>
      </w:r>
      <w:r>
        <w:rPr>
          <w:bCs/>
          <w:sz w:val="24"/>
          <w:szCs w:val="20"/>
        </w:rPr>
        <w:t>（资料性附录）施工安全风险评估报告格式。</w:t>
      </w:r>
    </w:p>
    <w:p w:rsidR="0073700B" w:rsidRDefault="001A2FFC" w:rsidP="00F80BAC">
      <w:pPr>
        <w:spacing w:beforeLines="50" w:before="156" w:line="360" w:lineRule="auto"/>
        <w:ind w:firstLineChars="200" w:firstLine="480"/>
        <w:rPr>
          <w:bCs/>
          <w:sz w:val="24"/>
          <w:szCs w:val="20"/>
        </w:rPr>
      </w:pPr>
      <w:r>
        <w:rPr>
          <w:bCs/>
          <w:sz w:val="24"/>
          <w:szCs w:val="20"/>
        </w:rPr>
        <w:t>其中，附录表</w:t>
      </w:r>
      <w:r>
        <w:rPr>
          <w:bCs/>
          <w:sz w:val="24"/>
          <w:szCs w:val="20"/>
        </w:rPr>
        <w:t>A.1~</w:t>
      </w:r>
      <w:r>
        <w:rPr>
          <w:bCs/>
          <w:sz w:val="24"/>
          <w:szCs w:val="20"/>
        </w:rPr>
        <w:t>表</w:t>
      </w:r>
      <w:r>
        <w:rPr>
          <w:bCs/>
          <w:sz w:val="24"/>
          <w:szCs w:val="20"/>
        </w:rPr>
        <w:t>A.6</w:t>
      </w:r>
      <w:r>
        <w:rPr>
          <w:bCs/>
          <w:sz w:val="24"/>
          <w:szCs w:val="20"/>
        </w:rPr>
        <w:t>分别为公路隧道工程施工前洞口失稳、坍塌、涌水突泥、大变形、瓦斯爆炸、岩爆等</w:t>
      </w:r>
      <w:r>
        <w:rPr>
          <w:bCs/>
          <w:sz w:val="24"/>
          <w:szCs w:val="20"/>
        </w:rPr>
        <w:t>6</w:t>
      </w:r>
      <w:r>
        <w:rPr>
          <w:bCs/>
          <w:sz w:val="24"/>
          <w:szCs w:val="20"/>
        </w:rPr>
        <w:t>类风险事件可能性评估指标体系；附录表</w:t>
      </w:r>
      <w:r>
        <w:rPr>
          <w:bCs/>
          <w:sz w:val="24"/>
          <w:szCs w:val="20"/>
        </w:rPr>
        <w:t>A.7~</w:t>
      </w:r>
      <w:r>
        <w:rPr>
          <w:bCs/>
          <w:sz w:val="24"/>
          <w:szCs w:val="20"/>
        </w:rPr>
        <w:t>表</w:t>
      </w:r>
      <w:r>
        <w:rPr>
          <w:bCs/>
          <w:sz w:val="24"/>
          <w:szCs w:val="20"/>
        </w:rPr>
        <w:t>A.12</w:t>
      </w:r>
      <w:r>
        <w:rPr>
          <w:bCs/>
          <w:sz w:val="24"/>
          <w:szCs w:val="20"/>
        </w:rPr>
        <w:t>分别为公路隧道工程施工过程中洞口失稳、坍塌、涌水突泥、大变形、瓦斯爆炸、岩爆等</w:t>
      </w:r>
      <w:r>
        <w:rPr>
          <w:bCs/>
          <w:sz w:val="24"/>
          <w:szCs w:val="20"/>
        </w:rPr>
        <w:t>6</w:t>
      </w:r>
      <w:r>
        <w:rPr>
          <w:bCs/>
          <w:sz w:val="24"/>
          <w:szCs w:val="20"/>
        </w:rPr>
        <w:t>类风险事件可能性评估指标体</w:t>
      </w:r>
      <w:r>
        <w:rPr>
          <w:bCs/>
          <w:sz w:val="24"/>
          <w:szCs w:val="20"/>
        </w:rPr>
        <w:t>系。</w:t>
      </w:r>
    </w:p>
    <w:p w:rsidR="0073700B" w:rsidRDefault="001A2FFC" w:rsidP="00F80BAC">
      <w:pPr>
        <w:spacing w:beforeLines="50" w:before="156" w:line="360" w:lineRule="auto"/>
        <w:ind w:firstLineChars="200" w:firstLine="480"/>
        <w:rPr>
          <w:bCs/>
          <w:sz w:val="24"/>
          <w:szCs w:val="20"/>
        </w:rPr>
      </w:pPr>
      <w:r>
        <w:rPr>
          <w:bCs/>
          <w:sz w:val="24"/>
          <w:szCs w:val="20"/>
        </w:rPr>
        <w:t>附录表</w:t>
      </w:r>
      <w:r>
        <w:rPr>
          <w:bCs/>
          <w:sz w:val="24"/>
          <w:szCs w:val="20"/>
        </w:rPr>
        <w:t>B.1</w:t>
      </w:r>
      <w:r>
        <w:rPr>
          <w:bCs/>
          <w:sz w:val="24"/>
          <w:szCs w:val="20"/>
        </w:rPr>
        <w:t>为公路隧道工程施工的典型风险事件类型表。</w:t>
      </w:r>
    </w:p>
    <w:p w:rsidR="0073700B" w:rsidRDefault="001A2FFC" w:rsidP="00F80BAC">
      <w:pPr>
        <w:spacing w:beforeLines="50" w:before="156" w:line="360" w:lineRule="auto"/>
        <w:ind w:firstLineChars="200" w:firstLine="480"/>
        <w:rPr>
          <w:bCs/>
          <w:sz w:val="24"/>
          <w:szCs w:val="20"/>
        </w:rPr>
      </w:pPr>
      <w:r>
        <w:rPr>
          <w:bCs/>
          <w:sz w:val="24"/>
          <w:szCs w:val="20"/>
        </w:rPr>
        <w:t>附录</w:t>
      </w:r>
      <w:r>
        <w:rPr>
          <w:bCs/>
          <w:sz w:val="24"/>
          <w:szCs w:val="20"/>
        </w:rPr>
        <w:t>C</w:t>
      </w:r>
      <w:r>
        <w:rPr>
          <w:bCs/>
          <w:sz w:val="24"/>
          <w:szCs w:val="20"/>
        </w:rPr>
        <w:t>包括风险评估常用的技术方法、层次分析法开展基本步骤、点估计法开展基本步骤、未确知测度法开展基本步骤。</w:t>
      </w:r>
    </w:p>
    <w:p w:rsidR="0073700B" w:rsidRDefault="001A2FFC" w:rsidP="00F80BAC">
      <w:pPr>
        <w:spacing w:beforeLines="50" w:before="156" w:line="360" w:lineRule="auto"/>
        <w:ind w:firstLineChars="200" w:firstLine="480"/>
        <w:rPr>
          <w:bCs/>
          <w:sz w:val="24"/>
          <w:szCs w:val="20"/>
        </w:rPr>
      </w:pPr>
      <w:r>
        <w:rPr>
          <w:bCs/>
          <w:sz w:val="24"/>
          <w:szCs w:val="20"/>
        </w:rPr>
        <w:t>附录表</w:t>
      </w:r>
      <w:r>
        <w:rPr>
          <w:bCs/>
          <w:sz w:val="24"/>
          <w:szCs w:val="20"/>
        </w:rPr>
        <w:t>D.1~</w:t>
      </w:r>
      <w:r>
        <w:rPr>
          <w:bCs/>
          <w:sz w:val="24"/>
          <w:szCs w:val="20"/>
        </w:rPr>
        <w:t>表</w:t>
      </w:r>
      <w:r>
        <w:rPr>
          <w:bCs/>
          <w:sz w:val="24"/>
          <w:szCs w:val="20"/>
        </w:rPr>
        <w:t>D.6</w:t>
      </w:r>
      <w:r>
        <w:rPr>
          <w:bCs/>
          <w:sz w:val="24"/>
          <w:szCs w:val="20"/>
        </w:rPr>
        <w:t>分别为隧道洞口失稳、坍塌、涌水突泥、大变形、瓦斯爆炸、岩爆风险事件控制措施建议。</w:t>
      </w:r>
    </w:p>
    <w:p w:rsidR="0073700B" w:rsidRDefault="001A2FFC" w:rsidP="00F80BAC">
      <w:pPr>
        <w:spacing w:beforeLines="50" w:before="156" w:line="360" w:lineRule="auto"/>
        <w:ind w:firstLineChars="200" w:firstLine="480"/>
        <w:rPr>
          <w:bCs/>
          <w:sz w:val="24"/>
          <w:szCs w:val="20"/>
        </w:rPr>
      </w:pPr>
      <w:r>
        <w:rPr>
          <w:bCs/>
          <w:sz w:val="24"/>
          <w:szCs w:val="20"/>
        </w:rPr>
        <w:t>附录</w:t>
      </w:r>
      <w:r>
        <w:rPr>
          <w:bCs/>
          <w:sz w:val="24"/>
          <w:szCs w:val="20"/>
        </w:rPr>
        <w:t>E</w:t>
      </w:r>
      <w:r>
        <w:rPr>
          <w:bCs/>
          <w:sz w:val="24"/>
          <w:szCs w:val="20"/>
        </w:rPr>
        <w:t>为施工安全风险评估报告格式（资料性附录）。</w:t>
      </w:r>
    </w:p>
    <w:p w:rsidR="0073700B" w:rsidRDefault="001A2FFC">
      <w:pPr>
        <w:pStyle w:val="3"/>
        <w:ind w:left="0" w:firstLine="482"/>
        <w:rPr>
          <w:b/>
          <w:bCs w:val="0"/>
        </w:rPr>
      </w:pPr>
      <w:r>
        <w:rPr>
          <w:b/>
          <w:bCs w:val="0"/>
        </w:rPr>
        <w:t xml:space="preserve">. </w:t>
      </w:r>
      <w:r>
        <w:rPr>
          <w:b/>
          <w:bCs w:val="0"/>
        </w:rPr>
        <w:t>范围</w:t>
      </w:r>
    </w:p>
    <w:p w:rsidR="0073700B" w:rsidRDefault="001A2FFC" w:rsidP="00F80BAC">
      <w:pPr>
        <w:spacing w:beforeLines="50" w:before="156" w:line="360" w:lineRule="auto"/>
        <w:ind w:firstLineChars="200" w:firstLine="480"/>
        <w:rPr>
          <w:bCs/>
          <w:sz w:val="24"/>
          <w:szCs w:val="20"/>
        </w:rPr>
      </w:pPr>
      <w:r>
        <w:rPr>
          <w:bCs/>
          <w:sz w:val="24"/>
          <w:szCs w:val="20"/>
        </w:rPr>
        <w:t>隧道施工属于高危行业，由于其环境复杂、施工条件差、不安全因素动态变化快、安全事故诱因复杂及主体从业人员流动性大等因素，多年来隧道安全事故呈现</w:t>
      </w:r>
      <w:r>
        <w:rPr>
          <w:bCs/>
          <w:sz w:val="24"/>
          <w:szCs w:val="20"/>
        </w:rPr>
        <w:t>“</w:t>
      </w:r>
      <w:r>
        <w:rPr>
          <w:bCs/>
          <w:sz w:val="24"/>
          <w:szCs w:val="20"/>
        </w:rPr>
        <w:t>易发、频发、多发</w:t>
      </w:r>
      <w:r>
        <w:rPr>
          <w:bCs/>
          <w:sz w:val="24"/>
          <w:szCs w:val="20"/>
        </w:rPr>
        <w:t>”</w:t>
      </w:r>
      <w:r>
        <w:rPr>
          <w:bCs/>
          <w:sz w:val="24"/>
          <w:szCs w:val="20"/>
        </w:rPr>
        <w:t>等特点</w:t>
      </w:r>
      <w:r>
        <w:rPr>
          <w:bCs/>
          <w:sz w:val="24"/>
          <w:szCs w:val="20"/>
        </w:rPr>
        <w:fldChar w:fldCharType="begin"/>
      </w:r>
      <w:r>
        <w:rPr>
          <w:bCs/>
          <w:sz w:val="24"/>
          <w:szCs w:val="20"/>
        </w:rPr>
        <w:instrText xml:space="preserve"> ADDIN </w:instrText>
      </w:r>
      <w:r>
        <w:rPr>
          <w:bCs/>
          <w:sz w:val="24"/>
          <w:szCs w:val="20"/>
        </w:rPr>
        <w:instrText>NE.Ref.{0E3B261B-7ACF-4927-B310-5E4CD62150E8}</w:instrText>
      </w:r>
      <w:r>
        <w:rPr>
          <w:bCs/>
          <w:sz w:val="24"/>
          <w:szCs w:val="20"/>
        </w:rPr>
        <w:fldChar w:fldCharType="separate"/>
      </w:r>
      <w:r>
        <w:rPr>
          <w:color w:val="080000"/>
          <w:kern w:val="0"/>
          <w:sz w:val="24"/>
          <w:szCs w:val="24"/>
          <w:vertAlign w:val="superscript"/>
        </w:rPr>
        <w:t>[1]</w:t>
      </w:r>
      <w:r>
        <w:rPr>
          <w:bCs/>
          <w:sz w:val="24"/>
          <w:szCs w:val="20"/>
        </w:rPr>
        <w:fldChar w:fldCharType="end"/>
      </w:r>
      <w:r>
        <w:rPr>
          <w:bCs/>
          <w:sz w:val="24"/>
          <w:szCs w:val="20"/>
        </w:rPr>
        <w:t>。我国各区域地形地质条件复杂多变，长大、深埋、坍塌、大变形等问题日益凸显，隧道施工安全面临严峻挑战，开展隧道工程施工安全风险评估工作，是保障隧道施工安全和工程质量必不可少的条件；低风险的隧道工程，不需或只需采取简单的风险控制措施；高风险的隧道工程，则需采取复杂、有效的风险管控措施将风险降低至可接受的范围内。</w:t>
      </w:r>
    </w:p>
    <w:p w:rsidR="0073700B" w:rsidRDefault="001A2FFC" w:rsidP="00F80BAC">
      <w:pPr>
        <w:spacing w:beforeLines="50" w:before="156" w:line="360" w:lineRule="auto"/>
        <w:ind w:firstLineChars="200" w:firstLine="480"/>
        <w:rPr>
          <w:bCs/>
          <w:sz w:val="24"/>
          <w:szCs w:val="20"/>
        </w:rPr>
      </w:pPr>
      <w:r>
        <w:rPr>
          <w:bCs/>
          <w:sz w:val="24"/>
          <w:szCs w:val="20"/>
        </w:rPr>
        <w:lastRenderedPageBreak/>
        <w:t>本标准规定了隧道工程施工安全风险评估的基本原则，包括评估阶段的划分、评估方法的选择以及评估实施步骤。</w:t>
      </w:r>
    </w:p>
    <w:p w:rsidR="0073700B" w:rsidRDefault="001A2FFC" w:rsidP="00F80BAC">
      <w:pPr>
        <w:spacing w:beforeLines="50" w:before="156" w:line="360" w:lineRule="auto"/>
        <w:ind w:firstLineChars="200" w:firstLine="480"/>
        <w:rPr>
          <w:bCs/>
          <w:sz w:val="24"/>
          <w:szCs w:val="20"/>
        </w:rPr>
      </w:pPr>
      <w:r>
        <w:rPr>
          <w:bCs/>
          <w:sz w:val="24"/>
          <w:szCs w:val="20"/>
        </w:rPr>
        <w:t>评估阶段主要包括总体风险评估和专项风险评估。</w:t>
      </w:r>
      <w:bookmarkStart w:id="11" w:name="_Hlk28854419"/>
      <w:r>
        <w:rPr>
          <w:bCs/>
          <w:sz w:val="24"/>
          <w:szCs w:val="20"/>
        </w:rPr>
        <w:t>总体风险评估是项目开工前对隧道工程施工风险的整体性评估，评估结论可为配置工程项目的人员和装备等资源、决定是否开展专项风险评估、初步辨识重大风险源等方面提供决策支持</w:t>
      </w:r>
      <w:bookmarkEnd w:id="11"/>
      <w:r>
        <w:rPr>
          <w:bCs/>
          <w:sz w:val="24"/>
          <w:szCs w:val="20"/>
        </w:rPr>
        <w:t>；专项风险评估则是对隧道工程各施工区段洞口失稳、坍塌、涌水突泥、大变形、瓦斯爆炸、岩爆等风险事件的量化评估。对于总体风险评估，应提出操作简便、切实科学的指标体系和评估方法，突出实用性；对于专项风险评估，则应突出科学性与动态性。</w:t>
      </w:r>
    </w:p>
    <w:p w:rsidR="0073700B" w:rsidRDefault="001A2FFC" w:rsidP="00F80BAC">
      <w:pPr>
        <w:spacing w:beforeLines="50" w:before="156" w:line="360" w:lineRule="auto"/>
        <w:ind w:firstLineChars="200" w:firstLine="480"/>
        <w:rPr>
          <w:bCs/>
          <w:sz w:val="24"/>
          <w:szCs w:val="20"/>
        </w:rPr>
      </w:pPr>
      <w:r>
        <w:rPr>
          <w:bCs/>
          <w:sz w:val="24"/>
          <w:szCs w:val="20"/>
        </w:rPr>
        <w:t>公路隧道施工方法主要有钻爆法、</w:t>
      </w:r>
      <w:r>
        <w:rPr>
          <w:bCs/>
          <w:sz w:val="24"/>
          <w:szCs w:val="20"/>
        </w:rPr>
        <w:t>TBM</w:t>
      </w:r>
      <w:r>
        <w:rPr>
          <w:bCs/>
          <w:sz w:val="24"/>
          <w:szCs w:val="20"/>
        </w:rPr>
        <w:t>法、沉管法等，虽然</w:t>
      </w:r>
      <w:r>
        <w:rPr>
          <w:bCs/>
          <w:sz w:val="24"/>
          <w:szCs w:val="20"/>
        </w:rPr>
        <w:t>TBM</w:t>
      </w:r>
      <w:r>
        <w:rPr>
          <w:bCs/>
          <w:sz w:val="24"/>
          <w:szCs w:val="20"/>
        </w:rPr>
        <w:t>法、沉管法可应用</w:t>
      </w:r>
      <w:r>
        <w:rPr>
          <w:bCs/>
          <w:sz w:val="24"/>
          <w:szCs w:val="20"/>
        </w:rPr>
        <w:t>于复杂岩土条件的隧道施工，但钻爆法仍</w:t>
      </w:r>
      <w:r>
        <w:rPr>
          <w:rFonts w:hint="eastAsia"/>
          <w:bCs/>
          <w:sz w:val="24"/>
          <w:szCs w:val="20"/>
        </w:rPr>
        <w:t>是公路隧道上</w:t>
      </w:r>
      <w:r>
        <w:rPr>
          <w:bCs/>
          <w:sz w:val="24"/>
          <w:szCs w:val="20"/>
        </w:rPr>
        <w:t>应用范围最广的施工方法</w:t>
      </w:r>
      <w:r>
        <w:rPr>
          <w:rFonts w:hint="eastAsia"/>
          <w:bCs/>
          <w:sz w:val="24"/>
          <w:szCs w:val="20"/>
        </w:rPr>
        <w:t>。</w:t>
      </w:r>
      <w:r>
        <w:rPr>
          <w:bCs/>
          <w:sz w:val="24"/>
          <w:szCs w:val="20"/>
        </w:rPr>
        <w:t>因此，本标准主要以钻爆法施工为</w:t>
      </w:r>
      <w:r>
        <w:rPr>
          <w:rFonts w:hint="eastAsia"/>
          <w:bCs/>
          <w:sz w:val="24"/>
          <w:szCs w:val="20"/>
        </w:rPr>
        <w:t>主</w:t>
      </w:r>
      <w:r>
        <w:rPr>
          <w:bCs/>
          <w:sz w:val="24"/>
          <w:szCs w:val="20"/>
        </w:rPr>
        <w:t>编写，适用于以钻爆法为主要开挖手段的新建公路隧道工程，改建和扩建公路隧道工程的施工安全风险评估可参照使用</w:t>
      </w:r>
      <w:r>
        <w:rPr>
          <w:rFonts w:hint="eastAsia"/>
          <w:bCs/>
          <w:sz w:val="24"/>
          <w:szCs w:val="20"/>
        </w:rPr>
        <w:t>，</w:t>
      </w:r>
      <w:r>
        <w:rPr>
          <w:rFonts w:hint="eastAsia"/>
          <w:bCs/>
          <w:sz w:val="24"/>
          <w:szCs w:val="20"/>
        </w:rPr>
        <w:t>其他类型隧道后续成熟</w:t>
      </w:r>
      <w:r>
        <w:rPr>
          <w:bCs/>
          <w:sz w:val="24"/>
          <w:szCs w:val="20"/>
        </w:rPr>
        <w:t>。此外，本标准总体风险评估中总体风险分级标准、专项风险评估</w:t>
      </w:r>
      <w:proofErr w:type="gramStart"/>
      <w:r>
        <w:rPr>
          <w:bCs/>
          <w:sz w:val="24"/>
          <w:szCs w:val="20"/>
        </w:rPr>
        <w:t>各风险</w:t>
      </w:r>
      <w:proofErr w:type="gramEnd"/>
      <w:r>
        <w:rPr>
          <w:bCs/>
          <w:sz w:val="24"/>
          <w:szCs w:val="20"/>
        </w:rPr>
        <w:t>事件类别及可能性分级标准主要通过统计分析相关工程案例确定，超出其范围的隧道工程风险应展开进一步研究。</w:t>
      </w:r>
    </w:p>
    <w:p w:rsidR="0073700B" w:rsidRDefault="001A2FFC">
      <w:pPr>
        <w:pStyle w:val="3"/>
        <w:ind w:left="0" w:firstLine="480"/>
        <w:rPr>
          <w:b/>
          <w:bCs w:val="0"/>
        </w:rPr>
      </w:pPr>
      <w:r>
        <w:rPr>
          <w:b/>
          <w:bCs w:val="0"/>
        </w:rPr>
        <w:t xml:space="preserve">. </w:t>
      </w:r>
      <w:r>
        <w:rPr>
          <w:b/>
          <w:bCs w:val="0"/>
        </w:rPr>
        <w:t>规范性引用文件</w:t>
      </w:r>
    </w:p>
    <w:p w:rsidR="0073700B" w:rsidRDefault="001A2FFC" w:rsidP="00F80BAC">
      <w:pPr>
        <w:spacing w:beforeLines="50" w:before="156" w:line="360" w:lineRule="auto"/>
        <w:ind w:firstLineChars="200" w:firstLine="480"/>
        <w:rPr>
          <w:bCs/>
          <w:sz w:val="24"/>
          <w:szCs w:val="20"/>
        </w:rPr>
      </w:pPr>
      <w:r>
        <w:rPr>
          <w:bCs/>
          <w:sz w:val="24"/>
          <w:szCs w:val="20"/>
        </w:rPr>
        <w:t>规范性引用文件是指本标准中引用的某文件或条款，它们与本标准中的规范性技术要素具有同等效力。在使用</w:t>
      </w:r>
      <w:r>
        <w:rPr>
          <w:bCs/>
          <w:sz w:val="24"/>
          <w:szCs w:val="20"/>
        </w:rPr>
        <w:t>本标准时，除了应遵守本标准的规定外，还应满足</w:t>
      </w:r>
      <w:r>
        <w:rPr>
          <w:bCs/>
          <w:sz w:val="24"/>
          <w:szCs w:val="20"/>
        </w:rPr>
        <w:t>“</w:t>
      </w:r>
      <w:r>
        <w:rPr>
          <w:bCs/>
          <w:sz w:val="24"/>
          <w:szCs w:val="20"/>
        </w:rPr>
        <w:t>规范性引用文件</w:t>
      </w:r>
      <w:r>
        <w:rPr>
          <w:bCs/>
          <w:sz w:val="24"/>
          <w:szCs w:val="20"/>
        </w:rPr>
        <w:t>”</w:t>
      </w:r>
      <w:r>
        <w:rPr>
          <w:bCs/>
          <w:sz w:val="24"/>
          <w:szCs w:val="20"/>
        </w:rPr>
        <w:t>中引用的文件或其条款要求。通过引用其它有关标准，将相关技术内容纳入本标准中，以保持各个标准技术内容的协调性。</w:t>
      </w:r>
    </w:p>
    <w:p w:rsidR="0073700B" w:rsidRDefault="001A2FFC" w:rsidP="00F80BAC">
      <w:pPr>
        <w:spacing w:beforeLines="50" w:before="156" w:line="360" w:lineRule="auto"/>
        <w:ind w:firstLineChars="200" w:firstLine="480"/>
        <w:rPr>
          <w:bCs/>
          <w:sz w:val="24"/>
          <w:szCs w:val="20"/>
        </w:rPr>
      </w:pPr>
      <w:r>
        <w:rPr>
          <w:bCs/>
          <w:sz w:val="24"/>
          <w:szCs w:val="20"/>
        </w:rPr>
        <w:t>本标准</w:t>
      </w:r>
      <w:r>
        <w:rPr>
          <w:bCs/>
          <w:sz w:val="24"/>
          <w:szCs w:val="20"/>
        </w:rPr>
        <w:t>6.2.4</w:t>
      </w:r>
      <w:r>
        <w:rPr>
          <w:bCs/>
          <w:sz w:val="24"/>
          <w:szCs w:val="20"/>
        </w:rPr>
        <w:t>中，对于隧道工程施工过程的评估单元划分，引用了交通运输部</w:t>
      </w:r>
      <w:r>
        <w:rPr>
          <w:bCs/>
          <w:sz w:val="24"/>
          <w:szCs w:val="20"/>
        </w:rPr>
        <w:t>2017</w:t>
      </w:r>
      <w:r>
        <w:rPr>
          <w:bCs/>
          <w:sz w:val="24"/>
          <w:szCs w:val="20"/>
        </w:rPr>
        <w:t>年</w:t>
      </w:r>
      <w:r>
        <w:rPr>
          <w:bCs/>
          <w:sz w:val="24"/>
          <w:szCs w:val="20"/>
        </w:rPr>
        <w:t>12</w:t>
      </w:r>
      <w:r>
        <w:rPr>
          <w:bCs/>
          <w:sz w:val="24"/>
          <w:szCs w:val="20"/>
        </w:rPr>
        <w:t>月发布的《公路工程质量检验评定标准》（</w:t>
      </w:r>
      <w:r>
        <w:rPr>
          <w:bCs/>
          <w:sz w:val="24"/>
          <w:szCs w:val="20"/>
        </w:rPr>
        <w:t>JTG F80/1-2017</w:t>
      </w:r>
      <w:r>
        <w:rPr>
          <w:bCs/>
          <w:sz w:val="24"/>
          <w:szCs w:val="20"/>
        </w:rPr>
        <w:t>）</w:t>
      </w:r>
      <w:r>
        <w:rPr>
          <w:bCs/>
          <w:sz w:val="24"/>
          <w:szCs w:val="20"/>
        </w:rPr>
        <w:fldChar w:fldCharType="begin"/>
      </w:r>
      <w:r>
        <w:rPr>
          <w:bCs/>
          <w:sz w:val="24"/>
          <w:szCs w:val="20"/>
        </w:rPr>
        <w:instrText xml:space="preserve"> ADDIN NE.Ref.{670F4BAF-D32E-4499-880F-FA22E8B0B447}</w:instrText>
      </w:r>
      <w:r>
        <w:rPr>
          <w:bCs/>
          <w:sz w:val="24"/>
          <w:szCs w:val="20"/>
        </w:rPr>
        <w:fldChar w:fldCharType="separate"/>
      </w:r>
      <w:r>
        <w:rPr>
          <w:color w:val="080000"/>
          <w:kern w:val="0"/>
          <w:sz w:val="24"/>
          <w:szCs w:val="24"/>
          <w:vertAlign w:val="superscript"/>
        </w:rPr>
        <w:t>[2]</w:t>
      </w:r>
      <w:r>
        <w:rPr>
          <w:bCs/>
          <w:sz w:val="24"/>
          <w:szCs w:val="20"/>
        </w:rPr>
        <w:fldChar w:fldCharType="end"/>
      </w:r>
      <w:r>
        <w:rPr>
          <w:bCs/>
          <w:sz w:val="24"/>
          <w:szCs w:val="20"/>
        </w:rPr>
        <w:t>；在本标准的</w:t>
      </w:r>
      <w:r>
        <w:rPr>
          <w:bCs/>
          <w:sz w:val="24"/>
          <w:szCs w:val="20"/>
        </w:rPr>
        <w:t>6.3.1</w:t>
      </w:r>
      <w:r>
        <w:rPr>
          <w:bCs/>
          <w:sz w:val="24"/>
          <w:szCs w:val="20"/>
        </w:rPr>
        <w:t>中，分析风险源中物的不安全状态和人的不安全行为时</w:t>
      </w:r>
      <w:r>
        <w:rPr>
          <w:bCs/>
          <w:sz w:val="24"/>
          <w:szCs w:val="20"/>
        </w:rPr>
        <w:t>，引用了国家标准局</w:t>
      </w:r>
      <w:r>
        <w:rPr>
          <w:bCs/>
          <w:sz w:val="24"/>
          <w:szCs w:val="20"/>
        </w:rPr>
        <w:t>1986</w:t>
      </w:r>
      <w:r>
        <w:rPr>
          <w:bCs/>
          <w:sz w:val="24"/>
          <w:szCs w:val="20"/>
        </w:rPr>
        <w:t>年</w:t>
      </w:r>
      <w:r>
        <w:rPr>
          <w:bCs/>
          <w:sz w:val="24"/>
          <w:szCs w:val="20"/>
        </w:rPr>
        <w:t>5</w:t>
      </w:r>
      <w:r>
        <w:rPr>
          <w:bCs/>
          <w:sz w:val="24"/>
          <w:szCs w:val="20"/>
        </w:rPr>
        <w:t>月发布的《企业职工伤亡事故分类》（</w:t>
      </w:r>
      <w:r>
        <w:rPr>
          <w:bCs/>
          <w:sz w:val="24"/>
          <w:szCs w:val="20"/>
        </w:rPr>
        <w:t>GB/T 6441-1986</w:t>
      </w:r>
      <w:r>
        <w:rPr>
          <w:bCs/>
          <w:sz w:val="24"/>
          <w:szCs w:val="20"/>
        </w:rPr>
        <w:t>）</w:t>
      </w:r>
      <w:r>
        <w:rPr>
          <w:bCs/>
          <w:sz w:val="24"/>
          <w:szCs w:val="20"/>
        </w:rPr>
        <w:fldChar w:fldCharType="begin"/>
      </w:r>
      <w:r>
        <w:rPr>
          <w:bCs/>
          <w:sz w:val="24"/>
          <w:szCs w:val="20"/>
        </w:rPr>
        <w:instrText xml:space="preserve"> ADDIN NE.Ref.{D19E38FD-4E82-471E-9E66-9E6A67587DC6}</w:instrText>
      </w:r>
      <w:r>
        <w:rPr>
          <w:bCs/>
          <w:sz w:val="24"/>
          <w:szCs w:val="20"/>
        </w:rPr>
        <w:fldChar w:fldCharType="separate"/>
      </w:r>
      <w:r>
        <w:rPr>
          <w:color w:val="080000"/>
          <w:kern w:val="0"/>
          <w:sz w:val="24"/>
          <w:szCs w:val="24"/>
          <w:vertAlign w:val="superscript"/>
        </w:rPr>
        <w:t>[3]</w:t>
      </w:r>
      <w:r>
        <w:rPr>
          <w:bCs/>
          <w:sz w:val="24"/>
          <w:szCs w:val="20"/>
        </w:rPr>
        <w:fldChar w:fldCharType="end"/>
      </w:r>
      <w:r>
        <w:rPr>
          <w:bCs/>
          <w:sz w:val="24"/>
          <w:szCs w:val="20"/>
        </w:rPr>
        <w:t>，在本标准的</w:t>
      </w:r>
      <w:r>
        <w:rPr>
          <w:bCs/>
          <w:sz w:val="24"/>
          <w:szCs w:val="20"/>
        </w:rPr>
        <w:t>6.4.6</w:t>
      </w:r>
      <w:r>
        <w:rPr>
          <w:bCs/>
          <w:sz w:val="24"/>
          <w:szCs w:val="20"/>
        </w:rPr>
        <w:t>中，确定风险事件严重程度时，参考了国务院</w:t>
      </w:r>
      <w:r>
        <w:rPr>
          <w:bCs/>
          <w:sz w:val="24"/>
          <w:szCs w:val="20"/>
        </w:rPr>
        <w:t>2007</w:t>
      </w:r>
      <w:r>
        <w:rPr>
          <w:bCs/>
          <w:sz w:val="24"/>
          <w:szCs w:val="20"/>
        </w:rPr>
        <w:t>年</w:t>
      </w:r>
      <w:r>
        <w:rPr>
          <w:bCs/>
          <w:sz w:val="24"/>
          <w:szCs w:val="20"/>
        </w:rPr>
        <w:t>6</w:t>
      </w:r>
      <w:r>
        <w:rPr>
          <w:bCs/>
          <w:sz w:val="24"/>
          <w:szCs w:val="20"/>
        </w:rPr>
        <w:t>月</w:t>
      </w:r>
      <w:r>
        <w:rPr>
          <w:bCs/>
          <w:sz w:val="24"/>
          <w:szCs w:val="20"/>
        </w:rPr>
        <w:t>1</w:t>
      </w:r>
      <w:r>
        <w:rPr>
          <w:bCs/>
          <w:sz w:val="24"/>
          <w:szCs w:val="20"/>
        </w:rPr>
        <w:t>日起施行的《</w:t>
      </w:r>
      <w:bookmarkStart w:id="12" w:name="_Hlk29235152"/>
      <w:r>
        <w:rPr>
          <w:bCs/>
          <w:sz w:val="24"/>
          <w:szCs w:val="20"/>
        </w:rPr>
        <w:t>生产安全事故报告和调查处理条例</w:t>
      </w:r>
      <w:bookmarkEnd w:id="12"/>
      <w:r>
        <w:rPr>
          <w:bCs/>
          <w:sz w:val="24"/>
          <w:szCs w:val="20"/>
        </w:rPr>
        <w:t>》</w:t>
      </w:r>
      <w:r>
        <w:rPr>
          <w:bCs/>
          <w:sz w:val="24"/>
          <w:szCs w:val="20"/>
        </w:rPr>
        <w:fldChar w:fldCharType="begin"/>
      </w:r>
      <w:r>
        <w:rPr>
          <w:bCs/>
          <w:sz w:val="24"/>
          <w:szCs w:val="20"/>
        </w:rPr>
        <w:instrText xml:space="preserve"> ADDIN NE.Ref.{B3B0C984-4631-454C-B84E-DE5B3BC1ED0D}</w:instrText>
      </w:r>
      <w:r>
        <w:rPr>
          <w:bCs/>
          <w:sz w:val="24"/>
          <w:szCs w:val="20"/>
        </w:rPr>
        <w:fldChar w:fldCharType="separate"/>
      </w:r>
      <w:r>
        <w:rPr>
          <w:color w:val="080000"/>
          <w:kern w:val="0"/>
          <w:sz w:val="24"/>
          <w:szCs w:val="24"/>
          <w:vertAlign w:val="superscript"/>
        </w:rPr>
        <w:t>[4]</w:t>
      </w:r>
      <w:r>
        <w:rPr>
          <w:bCs/>
          <w:sz w:val="24"/>
          <w:szCs w:val="20"/>
        </w:rPr>
        <w:fldChar w:fldCharType="end"/>
      </w:r>
      <w:r>
        <w:rPr>
          <w:bCs/>
          <w:sz w:val="24"/>
          <w:szCs w:val="20"/>
        </w:rPr>
        <w:t>。</w:t>
      </w:r>
    </w:p>
    <w:p w:rsidR="0073700B" w:rsidRDefault="0073700B">
      <w:pPr>
        <w:spacing w:line="360" w:lineRule="auto"/>
        <w:ind w:firstLineChars="200" w:firstLine="480"/>
        <w:rPr>
          <w:bCs/>
          <w:sz w:val="24"/>
          <w:szCs w:val="20"/>
        </w:rPr>
      </w:pPr>
    </w:p>
    <w:p w:rsidR="0073700B" w:rsidRDefault="001A2FFC">
      <w:pPr>
        <w:pStyle w:val="3"/>
        <w:ind w:left="0" w:firstLine="480"/>
        <w:rPr>
          <w:b/>
          <w:bCs w:val="0"/>
        </w:rPr>
      </w:pPr>
      <w:r>
        <w:rPr>
          <w:b/>
          <w:bCs w:val="0"/>
        </w:rPr>
        <w:lastRenderedPageBreak/>
        <w:t xml:space="preserve">. </w:t>
      </w:r>
      <w:r>
        <w:rPr>
          <w:b/>
          <w:bCs w:val="0"/>
        </w:rPr>
        <w:t>术语和定义</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1</w:t>
      </w:r>
      <w:r>
        <w:rPr>
          <w:rFonts w:hint="eastAsia"/>
          <w:bCs/>
          <w:sz w:val="24"/>
          <w:szCs w:val="20"/>
        </w:rPr>
        <w:t>）</w:t>
      </w:r>
      <w:r>
        <w:rPr>
          <w:bCs/>
          <w:sz w:val="24"/>
          <w:szCs w:val="20"/>
        </w:rPr>
        <w:t>风险一般指预见或者未预见的潜在事件或</w:t>
      </w:r>
      <w:r>
        <w:rPr>
          <w:bCs/>
          <w:sz w:val="24"/>
          <w:szCs w:val="20"/>
        </w:rPr>
        <w:t>后果。风险可分为健康风险和生产风险，健康风险是存在的若干风险中作用于人的身体、影响人的健康的一种风险，一般仅考虑可能性；而生产风险则需要考虑系统中事件发生的概率和后果。隧道工程施工安全风险属于生产风险，专项风险评估是围绕风险事件发生概率和后果严重程度开展的。</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2</w:t>
      </w:r>
      <w:r>
        <w:rPr>
          <w:rFonts w:hint="eastAsia"/>
          <w:bCs/>
          <w:sz w:val="24"/>
          <w:szCs w:val="20"/>
        </w:rPr>
        <w:t>）</w:t>
      </w:r>
      <w:r>
        <w:rPr>
          <w:bCs/>
          <w:sz w:val="24"/>
          <w:szCs w:val="20"/>
        </w:rPr>
        <w:t>风险事件指导致人员伤亡、直接经济损失、社会影响、环境影响或工期延误等不利后果的可能事件，由于未发生，应与事故有所区分。</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3</w:t>
      </w:r>
      <w:r>
        <w:rPr>
          <w:rFonts w:hint="eastAsia"/>
          <w:bCs/>
          <w:sz w:val="24"/>
          <w:szCs w:val="20"/>
        </w:rPr>
        <w:t>）</w:t>
      </w:r>
      <w:r>
        <w:rPr>
          <w:bCs/>
          <w:sz w:val="24"/>
          <w:szCs w:val="20"/>
        </w:rPr>
        <w:t>风险源</w:t>
      </w:r>
      <w:proofErr w:type="gramStart"/>
      <w:r>
        <w:rPr>
          <w:bCs/>
          <w:sz w:val="24"/>
          <w:szCs w:val="20"/>
        </w:rPr>
        <w:t>也称致险因素</w:t>
      </w:r>
      <w:proofErr w:type="gramEnd"/>
      <w:r>
        <w:rPr>
          <w:bCs/>
          <w:sz w:val="24"/>
          <w:szCs w:val="20"/>
        </w:rPr>
        <w:t>、</w:t>
      </w:r>
      <w:proofErr w:type="gramStart"/>
      <w:r>
        <w:rPr>
          <w:bCs/>
          <w:sz w:val="24"/>
          <w:szCs w:val="20"/>
        </w:rPr>
        <w:t>致险因子</w:t>
      </w:r>
      <w:proofErr w:type="gramEnd"/>
      <w:r>
        <w:rPr>
          <w:bCs/>
          <w:sz w:val="24"/>
          <w:szCs w:val="20"/>
        </w:rPr>
        <w:t>，指可能导致风险事件发生的直接因素，如施工方案、作业活动、施工设备、危险物质、作业环境等。其</w:t>
      </w:r>
      <w:r>
        <w:rPr>
          <w:bCs/>
          <w:sz w:val="24"/>
          <w:szCs w:val="20"/>
        </w:rPr>
        <w:t>来源可分为人因和</w:t>
      </w:r>
      <w:proofErr w:type="gramStart"/>
      <w:r>
        <w:rPr>
          <w:bCs/>
          <w:sz w:val="24"/>
          <w:szCs w:val="20"/>
        </w:rPr>
        <w:t>物因</w:t>
      </w:r>
      <w:proofErr w:type="gramEnd"/>
      <w:r>
        <w:rPr>
          <w:bCs/>
          <w:sz w:val="24"/>
          <w:szCs w:val="20"/>
        </w:rPr>
        <w:t>，人因包括行为和规制，物因包括自然和技术。施工方案和作业活动可归为人因，而施工设备、危险物质、作业环境则可视为物因。</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4</w:t>
      </w:r>
      <w:r>
        <w:rPr>
          <w:rFonts w:hint="eastAsia"/>
          <w:bCs/>
          <w:sz w:val="24"/>
          <w:szCs w:val="20"/>
        </w:rPr>
        <w:t>）</w:t>
      </w:r>
      <w:r>
        <w:rPr>
          <w:bCs/>
          <w:sz w:val="24"/>
          <w:szCs w:val="20"/>
        </w:rPr>
        <w:t>风险辨识是通过系统分解隧道工程施工过程，找出可能存在的风险源，调查各施工工序风险事件的过程。如将隧道工程按照单位工程</w:t>
      </w:r>
      <w:r>
        <w:rPr>
          <w:bCs/>
          <w:sz w:val="24"/>
          <w:szCs w:val="20"/>
        </w:rPr>
        <w:t>—</w:t>
      </w:r>
      <w:r>
        <w:rPr>
          <w:bCs/>
          <w:sz w:val="24"/>
          <w:szCs w:val="20"/>
        </w:rPr>
        <w:t>分部工程</w:t>
      </w:r>
      <w:r>
        <w:rPr>
          <w:bCs/>
          <w:sz w:val="24"/>
          <w:szCs w:val="20"/>
        </w:rPr>
        <w:t>—</w:t>
      </w:r>
      <w:r>
        <w:rPr>
          <w:bCs/>
          <w:sz w:val="24"/>
          <w:szCs w:val="20"/>
        </w:rPr>
        <w:t>分项工程</w:t>
      </w:r>
      <w:r>
        <w:rPr>
          <w:bCs/>
          <w:sz w:val="24"/>
          <w:szCs w:val="20"/>
        </w:rPr>
        <w:t>—</w:t>
      </w:r>
      <w:r>
        <w:rPr>
          <w:bCs/>
          <w:sz w:val="24"/>
          <w:szCs w:val="20"/>
        </w:rPr>
        <w:t>工序</w:t>
      </w:r>
      <w:r>
        <w:rPr>
          <w:bCs/>
          <w:sz w:val="24"/>
          <w:szCs w:val="20"/>
        </w:rPr>
        <w:t>(</w:t>
      </w:r>
      <w:r>
        <w:rPr>
          <w:bCs/>
          <w:sz w:val="24"/>
          <w:szCs w:val="20"/>
        </w:rPr>
        <w:t>单位</w:t>
      </w:r>
      <w:r>
        <w:rPr>
          <w:bCs/>
          <w:sz w:val="24"/>
          <w:szCs w:val="20"/>
        </w:rPr>
        <w:t>)</w:t>
      </w:r>
      <w:r>
        <w:rPr>
          <w:bCs/>
          <w:sz w:val="24"/>
          <w:szCs w:val="20"/>
        </w:rPr>
        <w:t>作业的层次进行分解。</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5</w:t>
      </w:r>
      <w:r>
        <w:rPr>
          <w:rFonts w:hint="eastAsia"/>
          <w:bCs/>
          <w:sz w:val="24"/>
          <w:szCs w:val="20"/>
        </w:rPr>
        <w:t>）</w:t>
      </w:r>
      <w:r>
        <w:rPr>
          <w:bCs/>
          <w:sz w:val="24"/>
          <w:szCs w:val="20"/>
        </w:rPr>
        <w:t>风险分析是在风险辨识基础上，采用安全系统工程方法对风险源可能导致的风险事件进行分析，找出可能受伤害人员、致害物、事故原因等，确定物的不安全状态和人的不安全行为。安全系统工程方法包括风险传递路径法、鱼刺图法、故障树分析法等。</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6</w:t>
      </w:r>
      <w:r>
        <w:rPr>
          <w:rFonts w:hint="eastAsia"/>
          <w:bCs/>
          <w:sz w:val="24"/>
          <w:szCs w:val="20"/>
        </w:rPr>
        <w:t>）</w:t>
      </w:r>
      <w:r>
        <w:rPr>
          <w:bCs/>
          <w:sz w:val="24"/>
          <w:szCs w:val="20"/>
        </w:rPr>
        <w:t>风险估测是采用定性或定量的方法，对风险事件发生的可能性及严重程度进行估算，基于风险矩阵法或其它方法得出风险大小，再根据风险分级标准和接受准则，对工程风险进行等级分析、危害性评定和风险排序过程。</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7</w:t>
      </w:r>
      <w:r>
        <w:rPr>
          <w:rFonts w:hint="eastAsia"/>
          <w:bCs/>
          <w:sz w:val="24"/>
          <w:szCs w:val="20"/>
        </w:rPr>
        <w:t>）</w:t>
      </w:r>
      <w:r>
        <w:rPr>
          <w:bCs/>
          <w:sz w:val="24"/>
          <w:szCs w:val="20"/>
        </w:rPr>
        <w:t>一般风险源是指相对简单，影响因素间关联性较低，运用一般知识与经验即可防范的风险源。</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8</w:t>
      </w:r>
      <w:r>
        <w:rPr>
          <w:rFonts w:hint="eastAsia"/>
          <w:bCs/>
          <w:sz w:val="24"/>
          <w:szCs w:val="20"/>
        </w:rPr>
        <w:t>）</w:t>
      </w:r>
      <w:r>
        <w:rPr>
          <w:bCs/>
          <w:sz w:val="24"/>
          <w:szCs w:val="20"/>
        </w:rPr>
        <w:t>重大风险源是指相对比较复杂，存在较大的不可预见性，引发的风险事件严重性较大，应从工程地质水文地质条件、作业环境、技术方案、施工设</w:t>
      </w:r>
      <w:r>
        <w:rPr>
          <w:bCs/>
          <w:sz w:val="24"/>
          <w:szCs w:val="20"/>
        </w:rPr>
        <w:lastRenderedPageBreak/>
        <w:t>备等多角度进行控制和防范的风险源。</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9</w:t>
      </w:r>
      <w:r>
        <w:rPr>
          <w:rFonts w:hint="eastAsia"/>
          <w:bCs/>
          <w:sz w:val="24"/>
          <w:szCs w:val="20"/>
        </w:rPr>
        <w:t>）</w:t>
      </w:r>
      <w:r>
        <w:rPr>
          <w:bCs/>
          <w:sz w:val="24"/>
          <w:szCs w:val="20"/>
        </w:rPr>
        <w:t>施工安全风险评估是针对工程施工过程中各项作业活动、作业环境、施工设备、危险物品等风险进行风险辨识、风险分析、风险估测的系列工作。</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10</w:t>
      </w:r>
      <w:r>
        <w:rPr>
          <w:rFonts w:hint="eastAsia"/>
          <w:bCs/>
          <w:sz w:val="24"/>
          <w:szCs w:val="20"/>
        </w:rPr>
        <w:t>）</w:t>
      </w:r>
      <w:r>
        <w:rPr>
          <w:bCs/>
          <w:sz w:val="24"/>
          <w:szCs w:val="20"/>
        </w:rPr>
        <w:t>总体风险评估是以整个隧道工程为评估对象，根据施工前的风险主控因素、建设规模、地质条件、洞口特征、气候条件和资料完整性等，评估隧道工程施工的整体风险，确定其安全风险等级并提出控制措施建议。评估结论可</w:t>
      </w:r>
      <w:r>
        <w:rPr>
          <w:bCs/>
          <w:sz w:val="24"/>
          <w:szCs w:val="20"/>
        </w:rPr>
        <w:t>为配置工程项目的人员和装备等资源、决定是否开展专项风险评估等方面提供决策支持。</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11</w:t>
      </w:r>
      <w:r>
        <w:rPr>
          <w:rFonts w:hint="eastAsia"/>
          <w:bCs/>
          <w:sz w:val="24"/>
          <w:szCs w:val="20"/>
        </w:rPr>
        <w:t>）</w:t>
      </w:r>
      <w:r>
        <w:rPr>
          <w:bCs/>
          <w:sz w:val="24"/>
          <w:szCs w:val="20"/>
        </w:rPr>
        <w:t>总体风险评估结果为较大风险</w:t>
      </w:r>
      <w:r>
        <w:rPr>
          <w:bCs/>
          <w:sz w:val="24"/>
          <w:szCs w:val="20"/>
        </w:rPr>
        <w:t>(</w:t>
      </w:r>
      <w:r>
        <w:rPr>
          <w:rFonts w:ascii="宋体" w:hAnsi="宋体" w:cs="宋体" w:hint="eastAsia"/>
        </w:rPr>
        <w:t>Ⅱ</w:t>
      </w:r>
      <w:r>
        <w:rPr>
          <w:bCs/>
          <w:sz w:val="24"/>
          <w:szCs w:val="20"/>
        </w:rPr>
        <w:t>级</w:t>
      </w:r>
      <w:r>
        <w:rPr>
          <w:bCs/>
          <w:sz w:val="24"/>
          <w:szCs w:val="20"/>
        </w:rPr>
        <w:t>)</w:t>
      </w:r>
      <w:r>
        <w:rPr>
          <w:bCs/>
          <w:sz w:val="24"/>
          <w:szCs w:val="20"/>
        </w:rPr>
        <w:t>及以上时，需进行专项风险评估。专项风险评估是以施工区段为评估对象，根据隧道工程地质水文地质条件、作业风险特点以及类似工程事故情况，进行风险辨识、分析、估测，针对其中的重大风险源量化评估，划分风险等级，并提出风险控制措施，开展控制效果评估。专项风险评估包括施工前专项风险评估和施工过程专项风险评估。</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12</w:t>
      </w:r>
      <w:r>
        <w:rPr>
          <w:rFonts w:hint="eastAsia"/>
          <w:bCs/>
          <w:sz w:val="24"/>
          <w:szCs w:val="20"/>
        </w:rPr>
        <w:t>）</w:t>
      </w:r>
      <w:proofErr w:type="gramStart"/>
      <w:r>
        <w:rPr>
          <w:bCs/>
          <w:sz w:val="24"/>
          <w:szCs w:val="20"/>
        </w:rPr>
        <w:t>主因素</w:t>
      </w:r>
      <w:proofErr w:type="gramEnd"/>
      <w:r>
        <w:rPr>
          <w:bCs/>
          <w:sz w:val="24"/>
          <w:szCs w:val="20"/>
        </w:rPr>
        <w:t>控制指标体系法是根据影响公路隧道工程施工安全风险的主控因素，建立体现风险特征的主控因素判识表与指标体系评估表，对各主控因素与评估指标进行量化分级，对施工安全总体风险</w:t>
      </w:r>
      <w:proofErr w:type="gramStart"/>
      <w:r>
        <w:rPr>
          <w:bCs/>
          <w:sz w:val="24"/>
          <w:szCs w:val="20"/>
        </w:rPr>
        <w:t>作出</w:t>
      </w:r>
      <w:proofErr w:type="gramEnd"/>
      <w:r>
        <w:rPr>
          <w:bCs/>
          <w:sz w:val="24"/>
          <w:szCs w:val="20"/>
        </w:rPr>
        <w:t>评估的一种方法，包括主控因素判识、指标体系评估两个步骤。</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13</w:t>
      </w:r>
      <w:r>
        <w:rPr>
          <w:rFonts w:hint="eastAsia"/>
          <w:bCs/>
          <w:sz w:val="24"/>
          <w:szCs w:val="20"/>
        </w:rPr>
        <w:t>）</w:t>
      </w:r>
      <w:r>
        <w:rPr>
          <w:bCs/>
          <w:sz w:val="24"/>
          <w:szCs w:val="20"/>
        </w:rPr>
        <w:t>对人员伤亡、直接经济损失、环境影响、社会影响及工期延误等五种后果的严重程度进行量化统一的一种方法。该法是以死亡一人作为单位当量，按照相关法规、标准等量化人员伤亡、直接经济损失、环境影响、社会影响及工期延误等五种后果，使其与单位当量的严重程度相当，实现各类型后果量化统一的方</w:t>
      </w:r>
      <w:r>
        <w:rPr>
          <w:bCs/>
          <w:sz w:val="24"/>
          <w:szCs w:val="20"/>
        </w:rPr>
        <w:t>法。</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14</w:t>
      </w:r>
      <w:r>
        <w:rPr>
          <w:rFonts w:hint="eastAsia"/>
          <w:bCs/>
          <w:sz w:val="24"/>
          <w:szCs w:val="20"/>
        </w:rPr>
        <w:t>）</w:t>
      </w:r>
      <w:r>
        <w:rPr>
          <w:bCs/>
          <w:sz w:val="24"/>
          <w:szCs w:val="20"/>
        </w:rPr>
        <w:t>风险控制预期效果评估是针对专项风险等级为较大风险</w:t>
      </w:r>
      <w:r>
        <w:rPr>
          <w:bCs/>
          <w:sz w:val="24"/>
          <w:szCs w:val="20"/>
        </w:rPr>
        <w:t>(</w:t>
      </w:r>
      <w:r>
        <w:rPr>
          <w:rFonts w:ascii="宋体" w:hAnsi="宋体" w:cs="宋体" w:hint="eastAsia"/>
        </w:rPr>
        <w:t>Ⅱ</w:t>
      </w:r>
      <w:r>
        <w:rPr>
          <w:bCs/>
          <w:sz w:val="24"/>
          <w:szCs w:val="20"/>
        </w:rPr>
        <w:t>级</w:t>
      </w:r>
      <w:r>
        <w:rPr>
          <w:bCs/>
          <w:sz w:val="24"/>
          <w:szCs w:val="20"/>
        </w:rPr>
        <w:t>)</w:t>
      </w:r>
      <w:r>
        <w:rPr>
          <w:bCs/>
          <w:sz w:val="24"/>
          <w:szCs w:val="20"/>
        </w:rPr>
        <w:t>及以上的施工区段，</w:t>
      </w:r>
      <w:bookmarkStart w:id="13" w:name="_Hlk13213073"/>
      <w:r>
        <w:rPr>
          <w:bCs/>
          <w:sz w:val="24"/>
          <w:szCs w:val="20"/>
        </w:rPr>
        <w:t>检查、确认其风险控制措施的制定情况，并对风险控制措施实施后的预期风险进行评价</w:t>
      </w:r>
      <w:bookmarkEnd w:id="13"/>
      <w:r>
        <w:rPr>
          <w:bCs/>
          <w:sz w:val="24"/>
          <w:szCs w:val="20"/>
        </w:rPr>
        <w:t>。</w:t>
      </w:r>
    </w:p>
    <w:p w:rsidR="0073700B" w:rsidRDefault="001A2FFC">
      <w:pPr>
        <w:pStyle w:val="3"/>
        <w:ind w:left="0" w:firstLine="480"/>
        <w:rPr>
          <w:b/>
          <w:bCs w:val="0"/>
        </w:rPr>
      </w:pPr>
      <w:r>
        <w:rPr>
          <w:b/>
          <w:bCs w:val="0"/>
        </w:rPr>
        <w:t xml:space="preserve">. </w:t>
      </w:r>
      <w:r>
        <w:rPr>
          <w:b/>
          <w:bCs w:val="0"/>
        </w:rPr>
        <w:t>基本原则</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1</w:t>
      </w:r>
      <w:r>
        <w:rPr>
          <w:rFonts w:hint="eastAsia"/>
          <w:bCs/>
          <w:sz w:val="24"/>
          <w:szCs w:val="20"/>
        </w:rPr>
        <w:t>）</w:t>
      </w:r>
      <w:r>
        <w:rPr>
          <w:bCs/>
          <w:sz w:val="24"/>
          <w:szCs w:val="20"/>
        </w:rPr>
        <w:t>总体风险评估于项目开工前完成，为完善施工组织设计提供依据。专</w:t>
      </w:r>
      <w:r>
        <w:rPr>
          <w:bCs/>
          <w:sz w:val="24"/>
          <w:szCs w:val="20"/>
        </w:rPr>
        <w:lastRenderedPageBreak/>
        <w:t>项风险评估分为施工前专项风</w:t>
      </w:r>
      <w:bookmarkStart w:id="14" w:name="_GoBack"/>
      <w:bookmarkEnd w:id="14"/>
      <w:r>
        <w:rPr>
          <w:bCs/>
          <w:sz w:val="24"/>
          <w:szCs w:val="20"/>
        </w:rPr>
        <w:t>险评估和施工过程专项风险评估，施工前专项风险评估在分部分项工程开工前完成，为专项施工方案编制提供依据。在施工过程中，风险源发生重大变化或出现新的重大风险时需进行施工过程专项风险评估。评估类型、时间节点、承担单位见</w:t>
      </w:r>
      <w:r>
        <w:fldChar w:fldCharType="begin"/>
      </w:r>
      <w:r>
        <w:instrText xml:space="preserve"> REF _Ref5358</w:instrText>
      </w:r>
      <w:r>
        <w:instrText xml:space="preserve">32365 \h  \* MERGEFORMAT </w:instrText>
      </w:r>
      <w:r>
        <w:fldChar w:fldCharType="separate"/>
      </w:r>
      <w:r>
        <w:rPr>
          <w:bCs/>
          <w:sz w:val="24"/>
          <w:szCs w:val="20"/>
        </w:rPr>
        <w:t>表</w:t>
      </w:r>
      <w:r>
        <w:rPr>
          <w:bCs/>
          <w:sz w:val="24"/>
          <w:szCs w:val="20"/>
        </w:rPr>
        <w:t>4</w:t>
      </w:r>
      <w:r>
        <w:rPr>
          <w:bCs/>
          <w:sz w:val="24"/>
          <w:szCs w:val="20"/>
        </w:rPr>
        <w:noBreakHyphen/>
        <w:t>1</w:t>
      </w:r>
      <w:r>
        <w:rPr>
          <w:bCs/>
          <w:sz w:val="24"/>
          <w:szCs w:val="20"/>
        </w:rPr>
        <w:fldChar w:fldCharType="end"/>
      </w:r>
      <w:r>
        <w:rPr>
          <w:bCs/>
          <w:sz w:val="24"/>
          <w:szCs w:val="20"/>
        </w:rPr>
        <w:t>。</w:t>
      </w:r>
    </w:p>
    <w:p w:rsidR="0073700B" w:rsidRDefault="001A2FFC">
      <w:pPr>
        <w:pStyle w:val="a6"/>
        <w:keepNext/>
        <w:rPr>
          <w:rFonts w:ascii="黑体" w:eastAsia="黑体" w:hAnsi="黑体"/>
          <w:b w:val="0"/>
          <w:bCs/>
        </w:rPr>
      </w:pPr>
      <w:bookmarkStart w:id="15" w:name="_Ref535832365"/>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4</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w:t>
      </w:r>
      <w:r>
        <w:rPr>
          <w:rFonts w:ascii="黑体" w:eastAsia="黑体" w:hAnsi="黑体"/>
          <w:b w:val="0"/>
          <w:bCs/>
        </w:rPr>
        <w:fldChar w:fldCharType="end"/>
      </w:r>
      <w:bookmarkEnd w:id="15"/>
      <w:r>
        <w:rPr>
          <w:rFonts w:ascii="黑体" w:eastAsia="黑体" w:hAnsi="黑体"/>
          <w:b w:val="0"/>
          <w:bCs/>
        </w:rPr>
        <w:t xml:space="preserve"> </w:t>
      </w:r>
      <w:r>
        <w:rPr>
          <w:rFonts w:ascii="黑体" w:eastAsia="黑体" w:hAnsi="黑体"/>
          <w:b w:val="0"/>
          <w:bCs/>
        </w:rPr>
        <w:t>公路隧道施工安全风险评估时间节点与承担单位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42"/>
        <w:gridCol w:w="3121"/>
        <w:gridCol w:w="3129"/>
      </w:tblGrid>
      <w:tr w:rsidR="0073700B">
        <w:trPr>
          <w:jc w:val="center"/>
        </w:trPr>
        <w:tc>
          <w:tcPr>
            <w:tcW w:w="2046" w:type="dxa"/>
            <w:gridSpan w:val="2"/>
            <w:tcBorders>
              <w:top w:val="single" w:sz="8" w:space="0" w:color="auto"/>
              <w:left w:val="single" w:sz="8" w:space="0" w:color="auto"/>
              <w:bottom w:val="single" w:sz="8" w:space="0" w:color="auto"/>
              <w:right w:val="single" w:sz="2" w:space="0" w:color="auto"/>
            </w:tcBorders>
            <w:shd w:val="clear" w:color="auto" w:fill="auto"/>
            <w:vAlign w:val="center"/>
          </w:tcPr>
          <w:p w:rsidR="0073700B" w:rsidRDefault="001A2FFC">
            <w:pPr>
              <w:jc w:val="center"/>
              <w:rPr>
                <w:bCs/>
                <w:color w:val="000000"/>
              </w:rPr>
            </w:pPr>
            <w:r>
              <w:rPr>
                <w:bCs/>
                <w:color w:val="000000"/>
              </w:rPr>
              <w:t>评估类型</w:t>
            </w:r>
          </w:p>
        </w:tc>
        <w:tc>
          <w:tcPr>
            <w:tcW w:w="3121" w:type="dxa"/>
            <w:tcBorders>
              <w:top w:val="single" w:sz="8" w:space="0" w:color="auto"/>
              <w:left w:val="single" w:sz="2" w:space="0" w:color="auto"/>
              <w:bottom w:val="single" w:sz="8" w:space="0" w:color="auto"/>
              <w:right w:val="single" w:sz="2" w:space="0" w:color="auto"/>
            </w:tcBorders>
            <w:shd w:val="clear" w:color="auto" w:fill="auto"/>
            <w:vAlign w:val="center"/>
          </w:tcPr>
          <w:p w:rsidR="0073700B" w:rsidRDefault="001A2FFC">
            <w:pPr>
              <w:jc w:val="center"/>
              <w:rPr>
                <w:bCs/>
                <w:color w:val="000000"/>
              </w:rPr>
            </w:pPr>
            <w:r>
              <w:rPr>
                <w:bCs/>
                <w:color w:val="000000"/>
              </w:rPr>
              <w:t>时间节点</w:t>
            </w:r>
          </w:p>
        </w:tc>
        <w:tc>
          <w:tcPr>
            <w:tcW w:w="3129" w:type="dxa"/>
            <w:tcBorders>
              <w:top w:val="single" w:sz="8" w:space="0" w:color="auto"/>
              <w:left w:val="single" w:sz="2" w:space="0" w:color="auto"/>
              <w:bottom w:val="single" w:sz="8" w:space="0" w:color="auto"/>
              <w:right w:val="single" w:sz="8" w:space="0" w:color="auto"/>
            </w:tcBorders>
            <w:shd w:val="clear" w:color="auto" w:fill="auto"/>
            <w:vAlign w:val="center"/>
          </w:tcPr>
          <w:p w:rsidR="0073700B" w:rsidRDefault="001A2FFC">
            <w:pPr>
              <w:jc w:val="center"/>
              <w:rPr>
                <w:bCs/>
                <w:color w:val="000000"/>
              </w:rPr>
            </w:pPr>
            <w:r>
              <w:rPr>
                <w:bCs/>
                <w:color w:val="000000"/>
              </w:rPr>
              <w:t>承担单位</w:t>
            </w:r>
          </w:p>
        </w:tc>
      </w:tr>
      <w:tr w:rsidR="0073700B">
        <w:trPr>
          <w:jc w:val="center"/>
        </w:trPr>
        <w:tc>
          <w:tcPr>
            <w:tcW w:w="2046" w:type="dxa"/>
            <w:gridSpan w:val="2"/>
            <w:tcBorders>
              <w:top w:val="single" w:sz="8" w:space="0" w:color="auto"/>
              <w:left w:val="single" w:sz="8" w:space="0" w:color="auto"/>
              <w:bottom w:val="single" w:sz="2" w:space="0" w:color="auto"/>
              <w:right w:val="single" w:sz="2" w:space="0" w:color="auto"/>
            </w:tcBorders>
            <w:shd w:val="clear" w:color="auto" w:fill="auto"/>
            <w:vAlign w:val="center"/>
          </w:tcPr>
          <w:p w:rsidR="0073700B" w:rsidRDefault="001A2FFC">
            <w:pPr>
              <w:jc w:val="center"/>
              <w:rPr>
                <w:bCs/>
                <w:color w:val="000000"/>
              </w:rPr>
            </w:pPr>
            <w:r>
              <w:rPr>
                <w:bCs/>
                <w:color w:val="000000"/>
              </w:rPr>
              <w:t>总体风险评估</w:t>
            </w:r>
          </w:p>
        </w:tc>
        <w:tc>
          <w:tcPr>
            <w:tcW w:w="3121" w:type="dxa"/>
            <w:tcBorders>
              <w:top w:val="single" w:sz="8" w:space="0" w:color="auto"/>
              <w:left w:val="single" w:sz="2" w:space="0" w:color="auto"/>
              <w:bottom w:val="single" w:sz="2" w:space="0" w:color="auto"/>
              <w:right w:val="single" w:sz="2" w:space="0" w:color="auto"/>
            </w:tcBorders>
            <w:shd w:val="clear" w:color="auto" w:fill="auto"/>
            <w:vAlign w:val="center"/>
          </w:tcPr>
          <w:p w:rsidR="0073700B" w:rsidRDefault="001A2FFC">
            <w:pPr>
              <w:jc w:val="center"/>
              <w:rPr>
                <w:bCs/>
                <w:color w:val="000000"/>
              </w:rPr>
            </w:pPr>
            <w:r>
              <w:rPr>
                <w:bCs/>
                <w:color w:val="000000"/>
              </w:rPr>
              <w:t>施工图设计完成、项目开工前</w:t>
            </w:r>
          </w:p>
        </w:tc>
        <w:tc>
          <w:tcPr>
            <w:tcW w:w="3129" w:type="dxa"/>
            <w:tcBorders>
              <w:top w:val="single" w:sz="8" w:space="0" w:color="auto"/>
              <w:left w:val="single" w:sz="2" w:space="0" w:color="auto"/>
              <w:bottom w:val="single" w:sz="2" w:space="0" w:color="auto"/>
              <w:right w:val="single" w:sz="8" w:space="0" w:color="auto"/>
            </w:tcBorders>
            <w:shd w:val="clear" w:color="auto" w:fill="auto"/>
            <w:vAlign w:val="center"/>
          </w:tcPr>
          <w:p w:rsidR="0073700B" w:rsidRDefault="001A2FFC">
            <w:pPr>
              <w:jc w:val="center"/>
              <w:rPr>
                <w:bCs/>
                <w:color w:val="000000"/>
              </w:rPr>
            </w:pPr>
            <w:r>
              <w:rPr>
                <w:bCs/>
                <w:color w:val="000000"/>
              </w:rPr>
              <w:t>建设单位组织，可委托第三方完成</w:t>
            </w:r>
          </w:p>
        </w:tc>
      </w:tr>
      <w:tr w:rsidR="0073700B">
        <w:trPr>
          <w:jc w:val="center"/>
        </w:trPr>
        <w:tc>
          <w:tcPr>
            <w:tcW w:w="704" w:type="dxa"/>
            <w:vMerge w:val="restart"/>
            <w:tcBorders>
              <w:top w:val="single" w:sz="2" w:space="0" w:color="auto"/>
              <w:left w:val="single" w:sz="8" w:space="0" w:color="auto"/>
              <w:right w:val="single" w:sz="2" w:space="0" w:color="auto"/>
            </w:tcBorders>
            <w:shd w:val="clear" w:color="auto" w:fill="auto"/>
            <w:textDirection w:val="tbRlV"/>
            <w:vAlign w:val="center"/>
          </w:tcPr>
          <w:p w:rsidR="0073700B" w:rsidRDefault="001A2FFC">
            <w:pPr>
              <w:ind w:left="113" w:right="113"/>
              <w:jc w:val="center"/>
              <w:rPr>
                <w:bCs/>
                <w:color w:val="000000"/>
              </w:rPr>
            </w:pPr>
            <w:r>
              <w:rPr>
                <w:bCs/>
                <w:color w:val="000000"/>
              </w:rPr>
              <w:t>专项风险评估</w:t>
            </w:r>
          </w:p>
        </w:tc>
        <w:tc>
          <w:tcPr>
            <w:tcW w:w="1342" w:type="dxa"/>
            <w:tcBorders>
              <w:top w:val="single" w:sz="2" w:space="0" w:color="auto"/>
              <w:left w:val="single" w:sz="2" w:space="0" w:color="auto"/>
              <w:bottom w:val="single" w:sz="2" w:space="0" w:color="auto"/>
              <w:right w:val="single" w:sz="2" w:space="0" w:color="auto"/>
            </w:tcBorders>
            <w:shd w:val="clear" w:color="auto" w:fill="auto"/>
            <w:vAlign w:val="center"/>
          </w:tcPr>
          <w:p w:rsidR="0073700B" w:rsidRDefault="001A2FFC">
            <w:pPr>
              <w:jc w:val="center"/>
              <w:rPr>
                <w:bCs/>
                <w:color w:val="000000"/>
              </w:rPr>
            </w:pPr>
            <w:r>
              <w:rPr>
                <w:bCs/>
                <w:color w:val="000000"/>
              </w:rPr>
              <w:t>施工前专项风险评估</w:t>
            </w:r>
          </w:p>
        </w:tc>
        <w:tc>
          <w:tcPr>
            <w:tcW w:w="3121" w:type="dxa"/>
            <w:tcBorders>
              <w:top w:val="single" w:sz="2" w:space="0" w:color="auto"/>
              <w:left w:val="single" w:sz="2" w:space="0" w:color="auto"/>
              <w:bottom w:val="single" w:sz="2" w:space="0" w:color="auto"/>
              <w:right w:val="single" w:sz="2" w:space="0" w:color="auto"/>
            </w:tcBorders>
            <w:shd w:val="clear" w:color="auto" w:fill="auto"/>
            <w:vAlign w:val="center"/>
          </w:tcPr>
          <w:p w:rsidR="0073700B" w:rsidRDefault="001A2FFC">
            <w:pPr>
              <w:jc w:val="center"/>
              <w:rPr>
                <w:bCs/>
                <w:color w:val="000000"/>
              </w:rPr>
            </w:pPr>
            <w:r>
              <w:rPr>
                <w:bCs/>
                <w:color w:val="000000"/>
              </w:rPr>
              <w:t>施工组织设计完成后、专项施工方案编制前</w:t>
            </w:r>
          </w:p>
        </w:tc>
        <w:tc>
          <w:tcPr>
            <w:tcW w:w="3129" w:type="dxa"/>
            <w:tcBorders>
              <w:top w:val="single" w:sz="2" w:space="0" w:color="auto"/>
              <w:left w:val="single" w:sz="2" w:space="0" w:color="auto"/>
              <w:bottom w:val="single" w:sz="2" w:space="0" w:color="auto"/>
              <w:right w:val="single" w:sz="8" w:space="0" w:color="auto"/>
            </w:tcBorders>
            <w:shd w:val="clear" w:color="auto" w:fill="auto"/>
            <w:vAlign w:val="center"/>
          </w:tcPr>
          <w:p w:rsidR="0073700B" w:rsidRDefault="001A2FFC">
            <w:pPr>
              <w:jc w:val="center"/>
              <w:rPr>
                <w:bCs/>
                <w:color w:val="000000"/>
              </w:rPr>
            </w:pPr>
            <w:r>
              <w:rPr>
                <w:bCs/>
                <w:color w:val="000000"/>
              </w:rPr>
              <w:t>施工单位或委托第三方完成</w:t>
            </w:r>
          </w:p>
        </w:tc>
      </w:tr>
      <w:tr w:rsidR="0073700B">
        <w:trPr>
          <w:jc w:val="center"/>
        </w:trPr>
        <w:tc>
          <w:tcPr>
            <w:tcW w:w="704" w:type="dxa"/>
            <w:vMerge/>
            <w:tcBorders>
              <w:left w:val="single" w:sz="8" w:space="0" w:color="auto"/>
              <w:bottom w:val="single" w:sz="8" w:space="0" w:color="auto"/>
              <w:right w:val="single" w:sz="2" w:space="0" w:color="auto"/>
            </w:tcBorders>
            <w:shd w:val="clear" w:color="auto" w:fill="auto"/>
            <w:vAlign w:val="center"/>
          </w:tcPr>
          <w:p w:rsidR="0073700B" w:rsidRDefault="0073700B">
            <w:pPr>
              <w:jc w:val="center"/>
              <w:rPr>
                <w:bCs/>
                <w:color w:val="000000"/>
              </w:rPr>
            </w:pPr>
          </w:p>
        </w:tc>
        <w:tc>
          <w:tcPr>
            <w:tcW w:w="1342" w:type="dxa"/>
            <w:tcBorders>
              <w:top w:val="single" w:sz="2" w:space="0" w:color="auto"/>
              <w:left w:val="single" w:sz="2" w:space="0" w:color="auto"/>
              <w:bottom w:val="single" w:sz="8" w:space="0" w:color="auto"/>
              <w:right w:val="single" w:sz="2" w:space="0" w:color="auto"/>
            </w:tcBorders>
            <w:shd w:val="clear" w:color="auto" w:fill="auto"/>
            <w:vAlign w:val="center"/>
          </w:tcPr>
          <w:p w:rsidR="0073700B" w:rsidRDefault="001A2FFC">
            <w:pPr>
              <w:jc w:val="center"/>
              <w:rPr>
                <w:bCs/>
                <w:color w:val="000000"/>
              </w:rPr>
            </w:pPr>
            <w:r>
              <w:rPr>
                <w:bCs/>
                <w:color w:val="000000"/>
              </w:rPr>
              <w:t>施工过程专项风险评估</w:t>
            </w:r>
          </w:p>
        </w:tc>
        <w:tc>
          <w:tcPr>
            <w:tcW w:w="3121" w:type="dxa"/>
            <w:tcBorders>
              <w:top w:val="single" w:sz="2" w:space="0" w:color="auto"/>
              <w:left w:val="single" w:sz="2" w:space="0" w:color="auto"/>
              <w:bottom w:val="single" w:sz="8" w:space="0" w:color="auto"/>
              <w:right w:val="single" w:sz="2" w:space="0" w:color="auto"/>
            </w:tcBorders>
            <w:shd w:val="clear" w:color="auto" w:fill="auto"/>
            <w:vAlign w:val="center"/>
          </w:tcPr>
          <w:p w:rsidR="0073700B" w:rsidRDefault="001A2FFC">
            <w:pPr>
              <w:jc w:val="center"/>
              <w:rPr>
                <w:bCs/>
                <w:color w:val="000000"/>
              </w:rPr>
            </w:pPr>
            <w:r>
              <w:rPr>
                <w:bCs/>
                <w:color w:val="000000"/>
              </w:rPr>
              <w:t>现场地质、水文条件等发生重大变化，影响施工安全；发生重大设计变更，影响施工安全；施工过程出现灾害预兆或出现事故险情；出现其它新的重大风险源</w:t>
            </w:r>
          </w:p>
        </w:tc>
        <w:tc>
          <w:tcPr>
            <w:tcW w:w="3129" w:type="dxa"/>
            <w:tcBorders>
              <w:top w:val="single" w:sz="2" w:space="0" w:color="auto"/>
              <w:left w:val="single" w:sz="2" w:space="0" w:color="auto"/>
              <w:bottom w:val="single" w:sz="8" w:space="0" w:color="auto"/>
              <w:right w:val="single" w:sz="8" w:space="0" w:color="auto"/>
            </w:tcBorders>
            <w:shd w:val="clear" w:color="auto" w:fill="auto"/>
            <w:vAlign w:val="center"/>
          </w:tcPr>
          <w:p w:rsidR="0073700B" w:rsidRDefault="001A2FFC">
            <w:pPr>
              <w:keepNext/>
              <w:jc w:val="center"/>
              <w:rPr>
                <w:bCs/>
                <w:color w:val="000000"/>
                <w:sz w:val="24"/>
              </w:rPr>
            </w:pPr>
            <w:r>
              <w:rPr>
                <w:bCs/>
                <w:color w:val="000000"/>
                <w:szCs w:val="20"/>
              </w:rPr>
              <w:t>宜委托第三方完成</w:t>
            </w:r>
          </w:p>
        </w:tc>
      </w:tr>
    </w:tbl>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2</w:t>
      </w:r>
      <w:r>
        <w:rPr>
          <w:rFonts w:hint="eastAsia"/>
          <w:bCs/>
          <w:sz w:val="24"/>
          <w:szCs w:val="20"/>
        </w:rPr>
        <w:t>）</w:t>
      </w:r>
      <w:r>
        <w:rPr>
          <w:bCs/>
          <w:sz w:val="24"/>
          <w:szCs w:val="20"/>
        </w:rPr>
        <w:t>隧道风险评估方法应根据各阶段风险特点选用定性或定量方法。</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总体风险评估宜采用</w:t>
      </w:r>
      <w:proofErr w:type="gramStart"/>
      <w:r>
        <w:rPr>
          <w:bCs/>
          <w:sz w:val="24"/>
          <w:szCs w:val="20"/>
        </w:rPr>
        <w:t>主因素</w:t>
      </w:r>
      <w:proofErr w:type="gramEnd"/>
      <w:r>
        <w:rPr>
          <w:bCs/>
          <w:sz w:val="24"/>
          <w:szCs w:val="20"/>
        </w:rPr>
        <w:t>控制指标体系法。</w:t>
      </w:r>
    </w:p>
    <w:p w:rsidR="0073700B" w:rsidRDefault="001A2FFC" w:rsidP="00F80BAC">
      <w:pPr>
        <w:spacing w:beforeLines="50" w:before="156" w:line="360" w:lineRule="auto"/>
        <w:ind w:firstLineChars="200" w:firstLine="480"/>
        <w:rPr>
          <w:bCs/>
          <w:sz w:val="24"/>
          <w:szCs w:val="20"/>
        </w:rPr>
      </w:pPr>
      <w:r>
        <w:rPr>
          <w:rFonts w:hint="eastAsia"/>
          <w:bCs/>
          <w:sz w:val="24"/>
          <w:szCs w:val="20"/>
        </w:rPr>
        <w:t>②</w:t>
      </w:r>
      <w:r>
        <w:rPr>
          <w:bCs/>
          <w:sz w:val="24"/>
          <w:szCs w:val="20"/>
        </w:rPr>
        <w:t>专项风险评估中一般风险源的风险估测宜采用检查表法或</w:t>
      </w:r>
      <w:r>
        <w:rPr>
          <w:bCs/>
          <w:sz w:val="24"/>
          <w:szCs w:val="20"/>
        </w:rPr>
        <w:t>LEC</w:t>
      </w:r>
      <w:r>
        <w:rPr>
          <w:bCs/>
          <w:sz w:val="24"/>
          <w:szCs w:val="20"/>
        </w:rPr>
        <w:t>法；专项风险评估中重大风险源的风险估测宜采用定量方法，施工前风险事件可能性宜采用指标体系法，亦可采用点估计法确定；施工过程风险事件可能性推荐采用指标体系法结合重要性排序法、层次分析法、未确知测度法等综合判定，风险事件严重程度宜采用后果当量法，最后基于风险矩阵法确定风险大小。</w:t>
      </w:r>
    </w:p>
    <w:p w:rsidR="0073700B" w:rsidRDefault="001A2FFC" w:rsidP="00F80BAC">
      <w:pPr>
        <w:spacing w:beforeLines="50" w:before="156" w:line="360" w:lineRule="auto"/>
        <w:ind w:firstLineChars="200" w:firstLine="480"/>
        <w:rPr>
          <w:bCs/>
          <w:sz w:val="24"/>
          <w:szCs w:val="20"/>
        </w:rPr>
      </w:pPr>
      <w:r>
        <w:rPr>
          <w:rFonts w:hint="eastAsia"/>
          <w:bCs/>
          <w:sz w:val="24"/>
          <w:szCs w:val="20"/>
        </w:rPr>
        <w:t>③</w:t>
      </w:r>
      <w:r>
        <w:rPr>
          <w:bCs/>
          <w:sz w:val="24"/>
          <w:szCs w:val="20"/>
        </w:rPr>
        <w:t>必要时宜采用两种以上方法比对验证风险评估结果，当不同评估方法的评估结果出现较大差异时，应分析导致较大差异的原因，确定合理的评估结果。</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rFonts w:hint="eastAsia"/>
          <w:bCs/>
          <w:sz w:val="24"/>
          <w:szCs w:val="20"/>
        </w:rPr>
        <w:t>3</w:t>
      </w:r>
      <w:r>
        <w:rPr>
          <w:rFonts w:hint="eastAsia"/>
          <w:bCs/>
          <w:sz w:val="24"/>
          <w:szCs w:val="20"/>
        </w:rPr>
        <w:t>）</w:t>
      </w:r>
      <w:r>
        <w:rPr>
          <w:bCs/>
          <w:sz w:val="24"/>
          <w:szCs w:val="20"/>
        </w:rPr>
        <w:t>公路隧道工程施工安全风险评估工作包括以</w:t>
      </w:r>
      <w:r>
        <w:rPr>
          <w:bCs/>
          <w:sz w:val="24"/>
          <w:szCs w:val="20"/>
        </w:rPr>
        <w:t>下主要步骤：</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前期准备；</w:t>
      </w:r>
    </w:p>
    <w:p w:rsidR="0073700B" w:rsidRDefault="001A2FFC" w:rsidP="00F80BAC">
      <w:pPr>
        <w:spacing w:beforeLines="50" w:before="156" w:line="360" w:lineRule="auto"/>
        <w:ind w:firstLineChars="200" w:firstLine="480"/>
        <w:rPr>
          <w:bCs/>
          <w:sz w:val="24"/>
          <w:szCs w:val="20"/>
        </w:rPr>
      </w:pPr>
      <w:r>
        <w:rPr>
          <w:rFonts w:hint="eastAsia"/>
          <w:bCs/>
          <w:sz w:val="24"/>
          <w:szCs w:val="20"/>
        </w:rPr>
        <w:t>②</w:t>
      </w:r>
      <w:r>
        <w:rPr>
          <w:bCs/>
          <w:sz w:val="24"/>
          <w:szCs w:val="20"/>
        </w:rPr>
        <w:t>总体风险评估；</w:t>
      </w:r>
    </w:p>
    <w:p w:rsidR="0073700B" w:rsidRDefault="001A2FFC" w:rsidP="00F80BAC">
      <w:pPr>
        <w:spacing w:beforeLines="50" w:before="156" w:line="360" w:lineRule="auto"/>
        <w:ind w:firstLineChars="200" w:firstLine="480"/>
        <w:rPr>
          <w:bCs/>
          <w:sz w:val="24"/>
          <w:szCs w:val="20"/>
        </w:rPr>
      </w:pPr>
      <w:r>
        <w:rPr>
          <w:rFonts w:hint="eastAsia"/>
          <w:bCs/>
          <w:sz w:val="24"/>
          <w:szCs w:val="20"/>
        </w:rPr>
        <w:t>③</w:t>
      </w:r>
      <w:r>
        <w:rPr>
          <w:bCs/>
          <w:sz w:val="24"/>
          <w:szCs w:val="20"/>
        </w:rPr>
        <w:t>专项风险评估</w:t>
      </w:r>
      <w:r>
        <w:rPr>
          <w:bCs/>
          <w:sz w:val="24"/>
          <w:szCs w:val="20"/>
        </w:rPr>
        <w:t>(</w:t>
      </w:r>
      <w:r>
        <w:rPr>
          <w:bCs/>
          <w:sz w:val="24"/>
          <w:szCs w:val="20"/>
        </w:rPr>
        <w:t>施工前专项风险评估、施工过程专项风险评估和风险控制预期效果评估</w:t>
      </w:r>
      <w:r>
        <w:rPr>
          <w:bCs/>
          <w:sz w:val="24"/>
          <w:szCs w:val="20"/>
        </w:rPr>
        <w:t>)</w:t>
      </w:r>
      <w:r>
        <w:rPr>
          <w:bCs/>
          <w:sz w:val="24"/>
          <w:szCs w:val="20"/>
        </w:rPr>
        <w:t>；</w:t>
      </w:r>
    </w:p>
    <w:p w:rsidR="0073700B" w:rsidRDefault="001A2FFC" w:rsidP="00F80BAC">
      <w:pPr>
        <w:spacing w:beforeLines="50" w:before="156" w:line="360" w:lineRule="auto"/>
        <w:ind w:firstLineChars="200" w:firstLine="480"/>
        <w:rPr>
          <w:bCs/>
          <w:sz w:val="24"/>
          <w:szCs w:val="20"/>
        </w:rPr>
      </w:pPr>
      <w:r>
        <w:rPr>
          <w:rFonts w:hint="eastAsia"/>
          <w:bCs/>
          <w:sz w:val="24"/>
          <w:szCs w:val="20"/>
        </w:rPr>
        <w:lastRenderedPageBreak/>
        <w:t>④</w:t>
      </w:r>
      <w:r>
        <w:rPr>
          <w:bCs/>
          <w:sz w:val="24"/>
          <w:szCs w:val="20"/>
        </w:rPr>
        <w:t>风险评估报告编制；</w:t>
      </w:r>
    </w:p>
    <w:p w:rsidR="0073700B" w:rsidRDefault="001A2FFC" w:rsidP="00F80BAC">
      <w:pPr>
        <w:spacing w:beforeLines="50" w:before="156" w:line="360" w:lineRule="auto"/>
        <w:ind w:firstLineChars="200" w:firstLine="480"/>
        <w:rPr>
          <w:bCs/>
          <w:sz w:val="24"/>
          <w:szCs w:val="20"/>
        </w:rPr>
      </w:pPr>
      <w:r>
        <w:rPr>
          <w:rFonts w:hint="eastAsia"/>
          <w:bCs/>
          <w:sz w:val="24"/>
          <w:szCs w:val="20"/>
        </w:rPr>
        <w:t>⑤</w:t>
      </w:r>
      <w:r>
        <w:rPr>
          <w:bCs/>
          <w:sz w:val="24"/>
          <w:szCs w:val="20"/>
        </w:rPr>
        <w:t>风险评估报告评审。</w:t>
      </w:r>
    </w:p>
    <w:p w:rsidR="0073700B" w:rsidRDefault="001A2FFC">
      <w:pPr>
        <w:pStyle w:val="3"/>
        <w:ind w:left="0" w:firstLine="482"/>
        <w:rPr>
          <w:b/>
          <w:bCs w:val="0"/>
        </w:rPr>
      </w:pPr>
      <w:r>
        <w:rPr>
          <w:b/>
          <w:bCs w:val="0"/>
        </w:rPr>
        <w:t xml:space="preserve">. </w:t>
      </w:r>
      <w:r>
        <w:rPr>
          <w:b/>
          <w:bCs w:val="0"/>
        </w:rPr>
        <w:t>总体风险评估</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1</w:t>
      </w:r>
      <w:r>
        <w:rPr>
          <w:rFonts w:hint="eastAsia"/>
          <w:bCs/>
          <w:sz w:val="24"/>
          <w:szCs w:val="20"/>
        </w:rPr>
        <w:t>）</w:t>
      </w:r>
      <w:r>
        <w:rPr>
          <w:bCs/>
          <w:sz w:val="24"/>
          <w:szCs w:val="20"/>
        </w:rPr>
        <w:t>一般要求</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公路隧道工程应开展总体风险评估。主要考虑隧道工程的地质条件、建设规模、洞口特征、年均降水量、资料完整性等因素，静态评估隧道工程的总体风险。评估结论可为配置工程项目的人员和装备等资源、确定是否开展专项风险评估、初步辨识重大风险源等提供依据。</w:t>
      </w:r>
    </w:p>
    <w:p w:rsidR="0073700B" w:rsidRDefault="001A2FFC" w:rsidP="00F80BAC">
      <w:pPr>
        <w:spacing w:beforeLines="50" w:before="156" w:line="360" w:lineRule="auto"/>
        <w:ind w:firstLineChars="200" w:firstLine="480"/>
        <w:rPr>
          <w:bCs/>
          <w:sz w:val="24"/>
          <w:szCs w:val="20"/>
        </w:rPr>
      </w:pPr>
      <w:r>
        <w:rPr>
          <w:rFonts w:hint="eastAsia"/>
          <w:bCs/>
          <w:sz w:val="24"/>
          <w:szCs w:val="20"/>
        </w:rPr>
        <w:t>②</w:t>
      </w:r>
      <w:r>
        <w:rPr>
          <w:bCs/>
          <w:sz w:val="24"/>
          <w:szCs w:val="20"/>
        </w:rPr>
        <w:t>总体风险评估应尽可能收集原有的地质勘察、施工图设计、水文气象等资料。此外，现场调查也是重要的工作内容，评估小组应对隧道沿线的地形环境条件、洞口特征、周边建筑物进行详细调查。</w:t>
      </w:r>
    </w:p>
    <w:p w:rsidR="0073700B" w:rsidRDefault="001A2FFC" w:rsidP="00F80BAC">
      <w:pPr>
        <w:spacing w:beforeLines="50" w:before="156" w:line="360" w:lineRule="auto"/>
        <w:ind w:firstLineChars="200" w:firstLine="480"/>
        <w:rPr>
          <w:bCs/>
          <w:sz w:val="24"/>
          <w:szCs w:val="20"/>
        </w:rPr>
      </w:pPr>
      <w:r>
        <w:rPr>
          <w:rFonts w:hint="eastAsia"/>
          <w:bCs/>
          <w:sz w:val="24"/>
          <w:szCs w:val="20"/>
        </w:rPr>
        <w:t>③</w:t>
      </w:r>
      <w:r>
        <w:rPr>
          <w:bCs/>
          <w:sz w:val="24"/>
          <w:szCs w:val="20"/>
        </w:rPr>
        <w:t>隧道工程施工安全总体风险评估的结论应明确总体风险等级、主控因素清单</w:t>
      </w:r>
      <w:r>
        <w:rPr>
          <w:bCs/>
          <w:sz w:val="24"/>
          <w:szCs w:val="20"/>
        </w:rPr>
        <w:t>(</w:t>
      </w:r>
      <w:r>
        <w:rPr>
          <w:bCs/>
          <w:sz w:val="24"/>
          <w:szCs w:val="20"/>
        </w:rPr>
        <w:t>若无可不列出</w:t>
      </w:r>
      <w:r>
        <w:rPr>
          <w:bCs/>
          <w:sz w:val="24"/>
          <w:szCs w:val="20"/>
        </w:rPr>
        <w:t>)</w:t>
      </w:r>
      <w:r>
        <w:rPr>
          <w:bCs/>
          <w:sz w:val="24"/>
          <w:szCs w:val="20"/>
        </w:rPr>
        <w:t>、重要性指标清单</w:t>
      </w:r>
      <w:r>
        <w:rPr>
          <w:bCs/>
          <w:sz w:val="24"/>
          <w:szCs w:val="20"/>
        </w:rPr>
        <w:t>(</w:t>
      </w:r>
      <w:r>
        <w:rPr>
          <w:bCs/>
          <w:sz w:val="24"/>
          <w:szCs w:val="20"/>
        </w:rPr>
        <w:t>采用指标体系法时</w:t>
      </w:r>
      <w:r>
        <w:rPr>
          <w:bCs/>
          <w:sz w:val="24"/>
          <w:szCs w:val="20"/>
        </w:rPr>
        <w:t>)</w:t>
      </w:r>
      <w:r>
        <w:rPr>
          <w:bCs/>
          <w:sz w:val="24"/>
          <w:szCs w:val="20"/>
        </w:rPr>
        <w:t>、风险控制措施建议等内容。</w:t>
      </w:r>
    </w:p>
    <w:p w:rsidR="0073700B" w:rsidRDefault="001A2FFC" w:rsidP="00F80BAC">
      <w:pPr>
        <w:spacing w:beforeLines="50" w:before="156" w:line="360" w:lineRule="auto"/>
        <w:ind w:firstLineChars="200" w:firstLine="480"/>
        <w:rPr>
          <w:bCs/>
          <w:sz w:val="24"/>
          <w:szCs w:val="20"/>
        </w:rPr>
      </w:pPr>
      <w:r>
        <w:rPr>
          <w:rFonts w:hint="eastAsia"/>
          <w:bCs/>
          <w:sz w:val="24"/>
          <w:szCs w:val="20"/>
        </w:rPr>
        <w:t>④</w:t>
      </w:r>
      <w:r>
        <w:rPr>
          <w:bCs/>
          <w:sz w:val="24"/>
          <w:szCs w:val="20"/>
        </w:rPr>
        <w:t>总体风险评估主要是将隧道工程施工安全总体风险进行分级管理。较大风险（</w:t>
      </w:r>
      <w:r>
        <w:rPr>
          <w:rFonts w:ascii="宋体" w:hAnsi="宋体" w:cs="宋体" w:hint="eastAsia"/>
          <w:bCs/>
          <w:sz w:val="24"/>
          <w:szCs w:val="20"/>
        </w:rPr>
        <w:t>Ⅱ</w:t>
      </w:r>
      <w:r>
        <w:rPr>
          <w:bCs/>
          <w:sz w:val="24"/>
          <w:szCs w:val="20"/>
        </w:rPr>
        <w:t>级）及以上的隧道工程，应针对具体施工区段进一步详细评估，找出主要风险节点，开展专项风险评估，预先制定风险防控措施。对风</w:t>
      </w:r>
      <w:r>
        <w:rPr>
          <w:bCs/>
          <w:sz w:val="24"/>
          <w:szCs w:val="20"/>
        </w:rPr>
        <w:t>险较低的隧道工程，若交通运输主管部门、建设单位、监理单位、施工单位等认为有必要，也可根据本标准确定的原则进行专项风险评估。</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2</w:t>
      </w:r>
      <w:r>
        <w:rPr>
          <w:rFonts w:hint="eastAsia"/>
          <w:bCs/>
          <w:sz w:val="24"/>
          <w:szCs w:val="20"/>
        </w:rPr>
        <w:t>）</w:t>
      </w:r>
      <w:proofErr w:type="gramStart"/>
      <w:r>
        <w:rPr>
          <w:bCs/>
          <w:sz w:val="24"/>
          <w:szCs w:val="20"/>
        </w:rPr>
        <w:t>主因素</w:t>
      </w:r>
      <w:proofErr w:type="gramEnd"/>
      <w:r>
        <w:rPr>
          <w:bCs/>
          <w:sz w:val="24"/>
          <w:szCs w:val="20"/>
        </w:rPr>
        <w:t>控制指标体系法</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根据隧道工程施工安全风险的主要影响因素，建立体现风险特征的主控因素判识表，先由主控因素直接确定风险等级，若不满足主控因素或由主控因素确定总体风险等级为较大风险</w:t>
      </w:r>
      <w:r>
        <w:rPr>
          <w:bCs/>
          <w:sz w:val="24"/>
          <w:szCs w:val="20"/>
        </w:rPr>
        <w:t>(</w:t>
      </w:r>
      <w:r>
        <w:rPr>
          <w:rFonts w:ascii="宋体" w:hAnsi="宋体" w:cs="宋体" w:hint="eastAsia"/>
          <w:bCs/>
          <w:sz w:val="24"/>
          <w:szCs w:val="20"/>
        </w:rPr>
        <w:t>Ⅱ</w:t>
      </w:r>
      <w:r>
        <w:rPr>
          <w:bCs/>
          <w:sz w:val="24"/>
          <w:szCs w:val="20"/>
        </w:rPr>
        <w:t>级</w:t>
      </w:r>
      <w:r>
        <w:rPr>
          <w:bCs/>
          <w:sz w:val="24"/>
          <w:szCs w:val="20"/>
        </w:rPr>
        <w:t>)</w:t>
      </w:r>
      <w:r>
        <w:rPr>
          <w:bCs/>
          <w:sz w:val="24"/>
          <w:szCs w:val="20"/>
        </w:rPr>
        <w:t>时，再进一步对</w:t>
      </w:r>
      <w:proofErr w:type="gramStart"/>
      <w:r>
        <w:rPr>
          <w:bCs/>
          <w:sz w:val="24"/>
          <w:szCs w:val="20"/>
        </w:rPr>
        <w:t>各总体</w:t>
      </w:r>
      <w:proofErr w:type="gramEnd"/>
      <w:r>
        <w:rPr>
          <w:bCs/>
          <w:sz w:val="24"/>
          <w:szCs w:val="20"/>
        </w:rPr>
        <w:t>风险评估指标进行赋值分级，从而对隧道总体风险</w:t>
      </w:r>
      <w:proofErr w:type="gramStart"/>
      <w:r>
        <w:rPr>
          <w:bCs/>
          <w:sz w:val="24"/>
          <w:szCs w:val="20"/>
        </w:rPr>
        <w:t>作出</w:t>
      </w:r>
      <w:proofErr w:type="gramEnd"/>
      <w:r>
        <w:rPr>
          <w:bCs/>
          <w:sz w:val="24"/>
          <w:szCs w:val="20"/>
        </w:rPr>
        <w:t>评估和预测。</w:t>
      </w:r>
    </w:p>
    <w:p w:rsidR="0073700B" w:rsidRDefault="001A2FFC" w:rsidP="00F80BAC">
      <w:pPr>
        <w:spacing w:beforeLines="50" w:before="156" w:line="360" w:lineRule="auto"/>
        <w:ind w:firstLineChars="200" w:firstLine="480"/>
        <w:rPr>
          <w:bCs/>
          <w:sz w:val="24"/>
          <w:szCs w:val="20"/>
        </w:rPr>
      </w:pPr>
      <w:r>
        <w:rPr>
          <w:bCs/>
          <w:sz w:val="24"/>
          <w:szCs w:val="20"/>
        </w:rPr>
        <w:t>总体风险评估宜采用</w:t>
      </w:r>
      <w:proofErr w:type="gramStart"/>
      <w:r>
        <w:rPr>
          <w:bCs/>
          <w:sz w:val="24"/>
          <w:szCs w:val="20"/>
        </w:rPr>
        <w:t>主因素</w:t>
      </w:r>
      <w:proofErr w:type="gramEnd"/>
      <w:r>
        <w:rPr>
          <w:bCs/>
          <w:sz w:val="24"/>
          <w:szCs w:val="20"/>
        </w:rPr>
        <w:t>控制指标体系法，该法包括主控因素判识、指标体系评估两个步骤。前者选取关键的、控制性指标</w:t>
      </w:r>
      <w:r>
        <w:rPr>
          <w:bCs/>
          <w:sz w:val="24"/>
          <w:szCs w:val="20"/>
        </w:rPr>
        <w:t>因素，并给定阈值，可直接确定隧道总体风险为重大风险（</w:t>
      </w:r>
      <w:r>
        <w:rPr>
          <w:rFonts w:ascii="宋体" w:hAnsi="宋体" w:cs="宋体" w:hint="eastAsia"/>
          <w:bCs/>
          <w:sz w:val="24"/>
          <w:szCs w:val="20"/>
        </w:rPr>
        <w:t>Ⅰ</w:t>
      </w:r>
      <w:r>
        <w:rPr>
          <w:bCs/>
          <w:sz w:val="24"/>
          <w:szCs w:val="20"/>
        </w:rPr>
        <w:t>级）或较大风险（</w:t>
      </w:r>
      <w:r>
        <w:rPr>
          <w:rFonts w:ascii="宋体" w:hAnsi="宋体" w:cs="宋体" w:hint="eastAsia"/>
          <w:bCs/>
          <w:sz w:val="24"/>
          <w:szCs w:val="20"/>
        </w:rPr>
        <w:t>Ⅱ</w:t>
      </w:r>
      <w:r>
        <w:rPr>
          <w:bCs/>
          <w:sz w:val="24"/>
          <w:szCs w:val="20"/>
        </w:rPr>
        <w:t>级）；后者基于指标</w:t>
      </w:r>
      <w:r>
        <w:rPr>
          <w:bCs/>
          <w:sz w:val="24"/>
          <w:szCs w:val="20"/>
        </w:rPr>
        <w:lastRenderedPageBreak/>
        <w:t>体系法，考虑各类因素对总体风险的综合影响。具体评估流程见</w:t>
      </w:r>
      <w:r>
        <w:fldChar w:fldCharType="begin"/>
      </w:r>
      <w:r>
        <w:instrText xml:space="preserve"> REF _Ref29193802 \h  \* MERGEFORMAT </w:instrText>
      </w:r>
      <w:r>
        <w:fldChar w:fldCharType="separate"/>
      </w:r>
      <w:r>
        <w:rPr>
          <w:sz w:val="24"/>
          <w:szCs w:val="24"/>
        </w:rPr>
        <w:t>图</w:t>
      </w:r>
      <w:r>
        <w:rPr>
          <w:sz w:val="24"/>
          <w:szCs w:val="24"/>
        </w:rPr>
        <w:t>5</w:t>
      </w:r>
      <w:r>
        <w:rPr>
          <w:sz w:val="24"/>
          <w:szCs w:val="24"/>
        </w:rPr>
        <w:noBreakHyphen/>
        <w:t>1</w:t>
      </w:r>
      <w:r>
        <w:rPr>
          <w:sz w:val="24"/>
          <w:szCs w:val="24"/>
        </w:rPr>
        <w:fldChar w:fldCharType="end"/>
      </w:r>
      <w:r>
        <w:rPr>
          <w:bCs/>
          <w:sz w:val="24"/>
          <w:szCs w:val="20"/>
        </w:rPr>
        <w:t>。</w:t>
      </w:r>
    </w:p>
    <w:p w:rsidR="0073700B" w:rsidRDefault="001A2FFC">
      <w:pPr>
        <w:keepNext/>
        <w:spacing w:line="360" w:lineRule="auto"/>
        <w:ind w:firstLineChars="200" w:firstLine="480"/>
        <w:jc w:val="center"/>
      </w:pPr>
      <w:r>
        <w:rPr>
          <w:bCs/>
          <w:noProof/>
          <w:sz w:val="24"/>
          <w:szCs w:val="20"/>
        </w:rPr>
        <w:drawing>
          <wp:inline distT="0" distB="0" distL="0" distR="0">
            <wp:extent cx="2520315" cy="30975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315" cy="3098007"/>
                    </a:xfrm>
                    <a:prstGeom prst="rect">
                      <a:avLst/>
                    </a:prstGeom>
                    <a:noFill/>
                  </pic:spPr>
                </pic:pic>
              </a:graphicData>
            </a:graphic>
          </wp:inline>
        </w:drawing>
      </w:r>
    </w:p>
    <w:p w:rsidR="0073700B" w:rsidRDefault="001A2FFC">
      <w:pPr>
        <w:pStyle w:val="a6"/>
        <w:rPr>
          <w:rFonts w:ascii="黑体" w:eastAsia="黑体" w:hAnsi="黑体"/>
          <w:b w:val="0"/>
          <w:bCs/>
        </w:rPr>
      </w:pPr>
      <w:bookmarkStart w:id="16" w:name="_Ref29193802"/>
      <w:bookmarkStart w:id="17" w:name="_Hlk29193289"/>
      <w:r>
        <w:rPr>
          <w:rFonts w:ascii="黑体" w:eastAsia="黑体" w:hAnsi="黑体"/>
          <w:b w:val="0"/>
          <w:bCs/>
        </w:rPr>
        <w:t>图</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5</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图</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w:t>
      </w:r>
      <w:r>
        <w:rPr>
          <w:rFonts w:ascii="黑体" w:eastAsia="黑体" w:hAnsi="黑体"/>
          <w:b w:val="0"/>
          <w:bCs/>
        </w:rPr>
        <w:fldChar w:fldCharType="end"/>
      </w:r>
      <w:bookmarkEnd w:id="16"/>
      <w:r>
        <w:rPr>
          <w:rFonts w:ascii="黑体" w:eastAsia="黑体" w:hAnsi="黑体"/>
          <w:b w:val="0"/>
          <w:bCs/>
        </w:rPr>
        <w:t xml:space="preserve">  </w:t>
      </w:r>
      <w:r>
        <w:rPr>
          <w:rFonts w:ascii="黑体" w:eastAsia="黑体" w:hAnsi="黑体"/>
          <w:b w:val="0"/>
          <w:bCs/>
        </w:rPr>
        <w:t>主控因素判识流程</w:t>
      </w:r>
      <w:bookmarkEnd w:id="17"/>
    </w:p>
    <w:p w:rsidR="0073700B" w:rsidRDefault="001A2FFC">
      <w:pPr>
        <w:spacing w:line="360" w:lineRule="auto"/>
        <w:ind w:firstLineChars="200" w:firstLine="480"/>
        <w:rPr>
          <w:bCs/>
          <w:sz w:val="24"/>
          <w:szCs w:val="20"/>
        </w:rPr>
      </w:pPr>
      <w:r>
        <w:rPr>
          <w:rFonts w:hint="eastAsia"/>
          <w:bCs/>
          <w:sz w:val="24"/>
          <w:szCs w:val="20"/>
        </w:rPr>
        <w:t>②</w:t>
      </w:r>
      <w:r>
        <w:rPr>
          <w:bCs/>
          <w:sz w:val="24"/>
          <w:szCs w:val="20"/>
        </w:rPr>
        <w:t>主控因素判识</w:t>
      </w:r>
    </w:p>
    <w:p w:rsidR="0073700B" w:rsidRDefault="001A2FFC" w:rsidP="00F80BAC">
      <w:pPr>
        <w:spacing w:beforeLines="50" w:before="156" w:line="360" w:lineRule="auto"/>
        <w:ind w:firstLineChars="200" w:firstLine="480"/>
        <w:rPr>
          <w:bCs/>
          <w:sz w:val="24"/>
          <w:szCs w:val="20"/>
        </w:rPr>
      </w:pPr>
      <w:r>
        <w:rPr>
          <w:bCs/>
          <w:sz w:val="24"/>
          <w:szCs w:val="20"/>
        </w:rPr>
        <w:t>本标准选取的主控因素包括：隧道区域环境、隧道长度、围岩情况、预测瓦斯涌出量、预测涌水量、断层破碎带宽度、地应力和岩溶发育程度。</w:t>
      </w:r>
    </w:p>
    <w:p w:rsidR="0073700B" w:rsidRDefault="001A2FFC" w:rsidP="00F80BAC">
      <w:pPr>
        <w:spacing w:beforeLines="50" w:before="156" w:line="360" w:lineRule="auto"/>
        <w:ind w:firstLineChars="200" w:firstLine="480"/>
        <w:rPr>
          <w:bCs/>
          <w:sz w:val="24"/>
          <w:szCs w:val="20"/>
        </w:rPr>
      </w:pPr>
      <w:r>
        <w:rPr>
          <w:bCs/>
          <w:sz w:val="24"/>
          <w:szCs w:val="20"/>
        </w:rPr>
        <w:t>隧道区域环境主要考虑其特殊工况，即是否为海底隧道、下穿河流湖泊及重要建筑物的隧道，通常情况下，其施工条件更为困难，施工</w:t>
      </w:r>
      <w:r>
        <w:rPr>
          <w:bCs/>
          <w:sz w:val="24"/>
          <w:szCs w:val="20"/>
        </w:rPr>
        <w:t>安全风险较大。重要构筑物主要指水利设施、高压电线塔、</w:t>
      </w:r>
      <w:proofErr w:type="gramStart"/>
      <w:r>
        <w:rPr>
          <w:bCs/>
          <w:sz w:val="24"/>
          <w:szCs w:val="20"/>
        </w:rPr>
        <w:t>需重要</w:t>
      </w:r>
      <w:proofErr w:type="gramEnd"/>
      <w:r>
        <w:rPr>
          <w:bCs/>
          <w:sz w:val="24"/>
          <w:szCs w:val="20"/>
        </w:rPr>
        <w:t>保护的建筑物、古文物等。</w:t>
      </w:r>
    </w:p>
    <w:p w:rsidR="0073700B" w:rsidRDefault="001A2FFC" w:rsidP="00F80BAC">
      <w:pPr>
        <w:spacing w:beforeLines="50" w:before="156" w:line="360" w:lineRule="auto"/>
        <w:ind w:firstLineChars="200" w:firstLine="480"/>
        <w:rPr>
          <w:bCs/>
          <w:sz w:val="24"/>
          <w:szCs w:val="20"/>
        </w:rPr>
      </w:pPr>
      <w:r>
        <w:rPr>
          <w:bCs/>
          <w:sz w:val="24"/>
          <w:szCs w:val="20"/>
        </w:rPr>
        <w:t>隧道长度是在《现行指南》的基础上进一步扩大了隧道长度区间。根据交通运输部发布的《交通运输行业发展统计公报》统计显示</w:t>
      </w:r>
      <w:r>
        <w:rPr>
          <w:bCs/>
          <w:sz w:val="24"/>
          <w:szCs w:val="20"/>
        </w:rPr>
        <w:fldChar w:fldCharType="begin"/>
      </w:r>
      <w:r>
        <w:rPr>
          <w:bCs/>
          <w:sz w:val="24"/>
          <w:szCs w:val="20"/>
        </w:rPr>
        <w:instrText xml:space="preserve"> ADDIN NE.Ref.{61C919A1-8976-46D7-A00F-7DFCD27EDCDA}</w:instrText>
      </w:r>
      <w:r>
        <w:rPr>
          <w:bCs/>
          <w:sz w:val="24"/>
          <w:szCs w:val="20"/>
        </w:rPr>
        <w:fldChar w:fldCharType="separate"/>
      </w:r>
      <w:r>
        <w:rPr>
          <w:color w:val="080000"/>
          <w:kern w:val="0"/>
          <w:sz w:val="24"/>
          <w:szCs w:val="24"/>
          <w:vertAlign w:val="superscript"/>
        </w:rPr>
        <w:t>[5]</w:t>
      </w:r>
      <w:r>
        <w:rPr>
          <w:bCs/>
          <w:sz w:val="24"/>
          <w:szCs w:val="20"/>
        </w:rPr>
        <w:fldChar w:fldCharType="end"/>
      </w:r>
      <w:r>
        <w:rPr>
          <w:bCs/>
          <w:sz w:val="24"/>
          <w:szCs w:val="20"/>
        </w:rPr>
        <w:t>，截止</w:t>
      </w:r>
      <w:r>
        <w:rPr>
          <w:bCs/>
          <w:sz w:val="24"/>
          <w:szCs w:val="20"/>
        </w:rPr>
        <w:t>2018</w:t>
      </w:r>
      <w:r>
        <w:rPr>
          <w:bCs/>
          <w:sz w:val="24"/>
          <w:szCs w:val="20"/>
        </w:rPr>
        <w:t>年全国公路隧道共计</w:t>
      </w:r>
      <w:r>
        <w:rPr>
          <w:bCs/>
          <w:sz w:val="24"/>
          <w:szCs w:val="20"/>
        </w:rPr>
        <w:t>17738</w:t>
      </w:r>
      <w:r>
        <w:rPr>
          <w:bCs/>
          <w:sz w:val="24"/>
          <w:szCs w:val="20"/>
        </w:rPr>
        <w:t>处，其中特长隧道</w:t>
      </w:r>
      <w:r>
        <w:rPr>
          <w:bCs/>
          <w:sz w:val="24"/>
          <w:szCs w:val="20"/>
        </w:rPr>
        <w:t>1058</w:t>
      </w:r>
      <w:r>
        <w:rPr>
          <w:bCs/>
          <w:sz w:val="24"/>
          <w:szCs w:val="20"/>
        </w:rPr>
        <w:t>处、长隧道</w:t>
      </w:r>
      <w:r>
        <w:rPr>
          <w:bCs/>
          <w:sz w:val="24"/>
          <w:szCs w:val="20"/>
        </w:rPr>
        <w:t>4315</w:t>
      </w:r>
      <w:r>
        <w:rPr>
          <w:bCs/>
          <w:sz w:val="24"/>
          <w:szCs w:val="20"/>
        </w:rPr>
        <w:t>处，特长及长隧道占比达</w:t>
      </w:r>
      <w:r>
        <w:rPr>
          <w:bCs/>
          <w:sz w:val="24"/>
          <w:szCs w:val="20"/>
        </w:rPr>
        <w:t>30.3%</w:t>
      </w:r>
      <w:r>
        <w:rPr>
          <w:bCs/>
          <w:sz w:val="24"/>
          <w:szCs w:val="20"/>
        </w:rPr>
        <w:t>，随着我国隧道施工技术的不断完善、发展，目前已能够在一定程度上规避长隧道和部分特长</w:t>
      </w:r>
      <w:r>
        <w:rPr>
          <w:bCs/>
          <w:sz w:val="24"/>
          <w:szCs w:val="20"/>
        </w:rPr>
        <w:t>公路隧道的施工风险。据不完全统计，截止</w:t>
      </w:r>
      <w:r>
        <w:rPr>
          <w:bCs/>
          <w:sz w:val="24"/>
          <w:szCs w:val="20"/>
        </w:rPr>
        <w:t>2019</w:t>
      </w:r>
      <w:r>
        <w:rPr>
          <w:bCs/>
          <w:sz w:val="24"/>
          <w:szCs w:val="20"/>
        </w:rPr>
        <w:t>年</w:t>
      </w:r>
      <w:r>
        <w:rPr>
          <w:bCs/>
          <w:sz w:val="24"/>
          <w:szCs w:val="20"/>
        </w:rPr>
        <w:t>8</w:t>
      </w:r>
      <w:r>
        <w:rPr>
          <w:bCs/>
          <w:sz w:val="24"/>
          <w:szCs w:val="20"/>
        </w:rPr>
        <w:t>月，我国已建、在建和规划的</w:t>
      </w:r>
      <w:r>
        <w:rPr>
          <w:bCs/>
          <w:sz w:val="24"/>
          <w:szCs w:val="20"/>
        </w:rPr>
        <w:t>10km</w:t>
      </w:r>
      <w:r>
        <w:rPr>
          <w:bCs/>
          <w:sz w:val="24"/>
          <w:szCs w:val="20"/>
        </w:rPr>
        <w:t>以上公路隧道超过</w:t>
      </w:r>
      <w:r>
        <w:rPr>
          <w:bCs/>
          <w:sz w:val="24"/>
          <w:szCs w:val="20"/>
        </w:rPr>
        <w:t>34</w:t>
      </w:r>
      <w:r>
        <w:rPr>
          <w:bCs/>
          <w:sz w:val="24"/>
          <w:szCs w:val="20"/>
        </w:rPr>
        <w:t>条</w:t>
      </w:r>
      <w:r>
        <w:rPr>
          <w:bCs/>
          <w:sz w:val="24"/>
          <w:szCs w:val="20"/>
        </w:rPr>
        <w:fldChar w:fldCharType="begin"/>
      </w:r>
      <w:r>
        <w:rPr>
          <w:bCs/>
          <w:sz w:val="24"/>
          <w:szCs w:val="20"/>
        </w:rPr>
        <w:instrText xml:space="preserve"> ADDIN NE.Ref.{3A3E0D99-BC68-47BC-A1EF-A15F9E04FA51}</w:instrText>
      </w:r>
      <w:r>
        <w:rPr>
          <w:bCs/>
          <w:sz w:val="24"/>
          <w:szCs w:val="20"/>
        </w:rPr>
        <w:fldChar w:fldCharType="separate"/>
      </w:r>
      <w:r>
        <w:rPr>
          <w:color w:val="080000"/>
          <w:kern w:val="0"/>
          <w:sz w:val="24"/>
          <w:szCs w:val="24"/>
          <w:vertAlign w:val="superscript"/>
        </w:rPr>
        <w:t>[6]</w:t>
      </w:r>
      <w:r>
        <w:rPr>
          <w:bCs/>
          <w:sz w:val="24"/>
          <w:szCs w:val="20"/>
        </w:rPr>
        <w:fldChar w:fldCharType="end"/>
      </w:r>
      <w:r>
        <w:rPr>
          <w:bCs/>
          <w:sz w:val="24"/>
          <w:szCs w:val="20"/>
        </w:rPr>
        <w:t>，为满足当前及未来公路隧道工程的发展趋势，本标准扩展了隧道长度区间值。</w:t>
      </w:r>
    </w:p>
    <w:p w:rsidR="0073700B" w:rsidRDefault="001A2FFC" w:rsidP="00F80BAC">
      <w:pPr>
        <w:spacing w:beforeLines="50" w:before="156" w:line="360" w:lineRule="auto"/>
        <w:ind w:firstLineChars="200" w:firstLine="480"/>
        <w:rPr>
          <w:bCs/>
          <w:sz w:val="24"/>
          <w:szCs w:val="20"/>
        </w:rPr>
      </w:pPr>
      <w:r>
        <w:rPr>
          <w:bCs/>
          <w:sz w:val="24"/>
        </w:rPr>
        <w:t>隧道长度主要考虑</w:t>
      </w:r>
      <w:proofErr w:type="gramStart"/>
      <w:r>
        <w:rPr>
          <w:bCs/>
          <w:sz w:val="24"/>
        </w:rPr>
        <w:t>最长单洞的</w:t>
      </w:r>
      <w:proofErr w:type="gramEnd"/>
      <w:r>
        <w:rPr>
          <w:bCs/>
          <w:sz w:val="24"/>
        </w:rPr>
        <w:t>长度，若有竖井、斜井时应包括竖井、斜井长度。因为隧道事故的危险性主要受地质条件影响，如果隧道掘进长度大，遇</w:t>
      </w:r>
      <w:r>
        <w:rPr>
          <w:bCs/>
          <w:sz w:val="24"/>
        </w:rPr>
        <w:lastRenderedPageBreak/>
        <w:t>到断层、破碎带以及涌水的可能性也增加，因此隧道越长，风险越大。</w:t>
      </w:r>
    </w:p>
    <w:p w:rsidR="0073700B" w:rsidRDefault="001A2FFC" w:rsidP="00F80BAC">
      <w:pPr>
        <w:spacing w:beforeLines="50" w:before="156" w:line="360" w:lineRule="auto"/>
        <w:ind w:firstLineChars="200" w:firstLine="480"/>
        <w:rPr>
          <w:bCs/>
          <w:sz w:val="24"/>
          <w:szCs w:val="20"/>
        </w:rPr>
      </w:pPr>
      <w:r>
        <w:rPr>
          <w:bCs/>
          <w:sz w:val="24"/>
          <w:szCs w:val="20"/>
        </w:rPr>
        <w:t>围岩情况在长度占比的基</w:t>
      </w:r>
      <w:r>
        <w:rPr>
          <w:bCs/>
          <w:sz w:val="24"/>
          <w:szCs w:val="20"/>
        </w:rPr>
        <w:t>础上还考虑了</w:t>
      </w:r>
      <w:r>
        <w:rPr>
          <w:bCs/>
          <w:sz w:val="24"/>
          <w:szCs w:val="20"/>
        </w:rPr>
        <w:t>V</w:t>
      </w:r>
      <w:r>
        <w:rPr>
          <w:bCs/>
          <w:sz w:val="24"/>
          <w:szCs w:val="20"/>
        </w:rPr>
        <w:t>级围岩连续长度。</w:t>
      </w:r>
      <w:proofErr w:type="gramStart"/>
      <w:r>
        <w:rPr>
          <w:bCs/>
          <w:sz w:val="24"/>
          <w:szCs w:val="20"/>
        </w:rPr>
        <w:t>当待评估</w:t>
      </w:r>
      <w:proofErr w:type="gramEnd"/>
      <w:r>
        <w:rPr>
          <w:bCs/>
          <w:sz w:val="24"/>
          <w:szCs w:val="20"/>
        </w:rPr>
        <w:t>隧道长度很大，往往</w:t>
      </w:r>
      <w:r>
        <w:rPr>
          <w:bCs/>
          <w:sz w:val="24"/>
          <w:szCs w:val="20"/>
        </w:rPr>
        <w:t>V</w:t>
      </w:r>
      <w:r>
        <w:rPr>
          <w:bCs/>
          <w:sz w:val="24"/>
          <w:szCs w:val="20"/>
        </w:rPr>
        <w:t>级围岩长度占比小于</w:t>
      </w:r>
      <w:r>
        <w:rPr>
          <w:bCs/>
          <w:sz w:val="24"/>
          <w:szCs w:val="20"/>
        </w:rPr>
        <w:t>40%</w:t>
      </w:r>
      <w:r>
        <w:rPr>
          <w:bCs/>
          <w:sz w:val="24"/>
          <w:szCs w:val="20"/>
        </w:rPr>
        <w:t>，但</w:t>
      </w:r>
      <w:r>
        <w:rPr>
          <w:bCs/>
          <w:sz w:val="24"/>
          <w:szCs w:val="20"/>
        </w:rPr>
        <w:t>V</w:t>
      </w:r>
      <w:r>
        <w:rPr>
          <w:bCs/>
          <w:sz w:val="24"/>
          <w:szCs w:val="20"/>
        </w:rPr>
        <w:t>级围岩连续长度已达到《公路工程技术标准》（</w:t>
      </w:r>
      <w:r>
        <w:rPr>
          <w:bCs/>
          <w:sz w:val="24"/>
          <w:szCs w:val="20"/>
        </w:rPr>
        <w:t>JTG B01-2014</w:t>
      </w:r>
      <w:r>
        <w:rPr>
          <w:bCs/>
          <w:sz w:val="24"/>
          <w:szCs w:val="20"/>
        </w:rPr>
        <w:t>）</w:t>
      </w:r>
      <w:r>
        <w:rPr>
          <w:bCs/>
          <w:sz w:val="24"/>
          <w:szCs w:val="20"/>
        </w:rPr>
        <w:fldChar w:fldCharType="begin"/>
      </w:r>
      <w:r>
        <w:rPr>
          <w:bCs/>
          <w:sz w:val="24"/>
          <w:szCs w:val="20"/>
        </w:rPr>
        <w:instrText xml:space="preserve"> ADDIN NE.Ref.{BF064FE1-2797-436E-A906-380B318A88E7}</w:instrText>
      </w:r>
      <w:r>
        <w:rPr>
          <w:bCs/>
          <w:sz w:val="24"/>
          <w:szCs w:val="20"/>
        </w:rPr>
        <w:fldChar w:fldCharType="separate"/>
      </w:r>
      <w:r>
        <w:rPr>
          <w:color w:val="080000"/>
          <w:kern w:val="0"/>
          <w:sz w:val="24"/>
          <w:szCs w:val="24"/>
          <w:vertAlign w:val="superscript"/>
        </w:rPr>
        <w:t>[7]</w:t>
      </w:r>
      <w:r>
        <w:rPr>
          <w:bCs/>
          <w:sz w:val="24"/>
          <w:szCs w:val="20"/>
        </w:rPr>
        <w:fldChar w:fldCharType="end"/>
      </w:r>
      <w:r>
        <w:rPr>
          <w:bCs/>
          <w:sz w:val="24"/>
          <w:szCs w:val="20"/>
        </w:rPr>
        <w:t>的中、长隧道标准</w:t>
      </w:r>
      <w:r>
        <w:rPr>
          <w:bCs/>
          <w:sz w:val="24"/>
          <w:szCs w:val="20"/>
        </w:rPr>
        <w:t>(500m~1000m</w:t>
      </w:r>
      <w:r>
        <w:rPr>
          <w:bCs/>
          <w:sz w:val="24"/>
          <w:szCs w:val="20"/>
        </w:rPr>
        <w:t>、＞</w:t>
      </w:r>
      <w:r>
        <w:rPr>
          <w:bCs/>
          <w:sz w:val="24"/>
          <w:szCs w:val="20"/>
        </w:rPr>
        <w:t>1000m)</w:t>
      </w:r>
      <w:r>
        <w:rPr>
          <w:bCs/>
          <w:sz w:val="24"/>
          <w:szCs w:val="20"/>
        </w:rPr>
        <w:t>，该隧道施工风险仍然很大。另外，考虑到公路隧道施工技术的日趋成熟，</w:t>
      </w:r>
      <w:r>
        <w:rPr>
          <w:bCs/>
          <w:sz w:val="24"/>
          <w:szCs w:val="20"/>
        </w:rPr>
        <w:t>IV</w:t>
      </w:r>
      <w:r>
        <w:rPr>
          <w:bCs/>
          <w:sz w:val="24"/>
          <w:szCs w:val="20"/>
        </w:rPr>
        <w:t>级围岩不纳入考虑范围。</w:t>
      </w:r>
    </w:p>
    <w:p w:rsidR="0073700B" w:rsidRDefault="001A2FFC" w:rsidP="00F80BAC">
      <w:pPr>
        <w:spacing w:beforeLines="50" w:before="156" w:line="360" w:lineRule="auto"/>
        <w:ind w:firstLineChars="200" w:firstLine="480"/>
        <w:rPr>
          <w:bCs/>
          <w:sz w:val="24"/>
          <w:szCs w:val="20"/>
        </w:rPr>
      </w:pPr>
      <w:r>
        <w:rPr>
          <w:bCs/>
          <w:sz w:val="24"/>
          <w:szCs w:val="20"/>
        </w:rPr>
        <w:t>预测瓦斯涌出量是指单位时间内涌出的瓦斯量</w:t>
      </w:r>
      <w:r>
        <w:rPr>
          <w:bCs/>
          <w:sz w:val="24"/>
          <w:szCs w:val="20"/>
        </w:rPr>
        <w:fldChar w:fldCharType="begin"/>
      </w:r>
      <w:r>
        <w:rPr>
          <w:bCs/>
          <w:sz w:val="24"/>
          <w:szCs w:val="20"/>
        </w:rPr>
        <w:instrText xml:space="preserve"> ADDIN NE.Ref.{8462F9BA-E8</w:instrText>
      </w:r>
      <w:r>
        <w:rPr>
          <w:bCs/>
          <w:sz w:val="24"/>
          <w:szCs w:val="20"/>
        </w:rPr>
        <w:instrText>4D-4268-AA5F-0FDA74FC10B7}</w:instrText>
      </w:r>
      <w:r>
        <w:rPr>
          <w:bCs/>
          <w:sz w:val="24"/>
          <w:szCs w:val="20"/>
        </w:rPr>
        <w:fldChar w:fldCharType="separate"/>
      </w:r>
      <w:r>
        <w:rPr>
          <w:color w:val="080000"/>
          <w:kern w:val="0"/>
          <w:sz w:val="24"/>
          <w:szCs w:val="24"/>
          <w:vertAlign w:val="superscript"/>
        </w:rPr>
        <w:t>[8]</w:t>
      </w:r>
      <w:r>
        <w:rPr>
          <w:bCs/>
          <w:sz w:val="24"/>
          <w:szCs w:val="20"/>
        </w:rPr>
        <w:fldChar w:fldCharType="end"/>
      </w:r>
      <w:r>
        <w:rPr>
          <w:bCs/>
          <w:sz w:val="24"/>
          <w:szCs w:val="20"/>
        </w:rPr>
        <w:t>，其大小值是发生瓦斯爆炸事故的先决条件。一般情况下，瓦斯涌出量直接影响爆炸发生的可能性，瓦斯涌出量越大，发生爆炸的风险越大。</w:t>
      </w:r>
    </w:p>
    <w:p w:rsidR="0073700B" w:rsidRDefault="001A2FFC" w:rsidP="00F80BAC">
      <w:pPr>
        <w:spacing w:beforeLines="50" w:before="156" w:line="360" w:lineRule="auto"/>
        <w:ind w:firstLineChars="200" w:firstLine="480"/>
        <w:rPr>
          <w:bCs/>
          <w:sz w:val="24"/>
          <w:szCs w:val="20"/>
        </w:rPr>
      </w:pPr>
      <w:r>
        <w:rPr>
          <w:bCs/>
          <w:sz w:val="24"/>
          <w:szCs w:val="20"/>
        </w:rPr>
        <w:t>预测涌水量</w:t>
      </w:r>
      <w:bookmarkStart w:id="18" w:name="_Hlk28799989"/>
      <w:r>
        <w:rPr>
          <w:bCs/>
          <w:sz w:val="24"/>
          <w:szCs w:val="20"/>
        </w:rPr>
        <w:fldChar w:fldCharType="begin"/>
      </w:r>
      <w:r>
        <w:rPr>
          <w:bCs/>
          <w:sz w:val="24"/>
          <w:szCs w:val="20"/>
        </w:rPr>
        <w:instrText xml:space="preserve"> ADDIN NE.Ref.{B958520D-07FF-44A0-8C9C-C62A60B3191B}</w:instrText>
      </w:r>
      <w:r>
        <w:rPr>
          <w:bCs/>
          <w:sz w:val="24"/>
          <w:szCs w:val="20"/>
        </w:rPr>
        <w:fldChar w:fldCharType="separate"/>
      </w:r>
      <w:r>
        <w:rPr>
          <w:color w:val="080000"/>
          <w:kern w:val="0"/>
          <w:sz w:val="24"/>
          <w:szCs w:val="24"/>
          <w:vertAlign w:val="superscript"/>
        </w:rPr>
        <w:t>[9]</w:t>
      </w:r>
      <w:r>
        <w:rPr>
          <w:bCs/>
          <w:sz w:val="24"/>
          <w:szCs w:val="20"/>
        </w:rPr>
        <w:fldChar w:fldCharType="end"/>
      </w:r>
      <w:bookmarkEnd w:id="18"/>
      <w:r>
        <w:rPr>
          <w:bCs/>
          <w:sz w:val="24"/>
          <w:szCs w:val="20"/>
        </w:rPr>
        <w:t>是评估隧道涌水突泥事故的关键性指标，根据《公路工程地质勘察规范》（</w:t>
      </w:r>
      <w:r>
        <w:rPr>
          <w:bCs/>
          <w:sz w:val="24"/>
          <w:szCs w:val="20"/>
        </w:rPr>
        <w:t>JTG C20-2011</w:t>
      </w:r>
      <w:r>
        <w:rPr>
          <w:bCs/>
          <w:sz w:val="24"/>
          <w:szCs w:val="20"/>
        </w:rPr>
        <w:t>）</w:t>
      </w:r>
      <w:r>
        <w:rPr>
          <w:bCs/>
          <w:sz w:val="24"/>
          <w:szCs w:val="20"/>
        </w:rPr>
        <w:fldChar w:fldCharType="begin"/>
      </w:r>
      <w:r>
        <w:rPr>
          <w:bCs/>
          <w:sz w:val="24"/>
          <w:szCs w:val="20"/>
        </w:rPr>
        <w:instrText xml:space="preserve"> ADDIN NE.Ref.{7AD97E1D-2FDE-4FB6-B428-4ED5F8AE05BA}</w:instrText>
      </w:r>
      <w:r>
        <w:rPr>
          <w:bCs/>
          <w:sz w:val="24"/>
          <w:szCs w:val="20"/>
        </w:rPr>
        <w:fldChar w:fldCharType="separate"/>
      </w:r>
      <w:r>
        <w:rPr>
          <w:color w:val="080000"/>
          <w:kern w:val="0"/>
          <w:sz w:val="24"/>
          <w:szCs w:val="24"/>
          <w:vertAlign w:val="superscript"/>
        </w:rPr>
        <w:t>[10]</w:t>
      </w:r>
      <w:r>
        <w:rPr>
          <w:bCs/>
          <w:sz w:val="24"/>
          <w:szCs w:val="20"/>
        </w:rPr>
        <w:fldChar w:fldCharType="end"/>
      </w:r>
      <w:r>
        <w:rPr>
          <w:bCs/>
          <w:sz w:val="24"/>
          <w:szCs w:val="20"/>
        </w:rPr>
        <w:t>，其大小直接关乎有无涌水突泥事故的风险，故将该指标作为评估总体风险的主控因素。</w:t>
      </w:r>
    </w:p>
    <w:p w:rsidR="0073700B" w:rsidRDefault="001A2FFC" w:rsidP="00F80BAC">
      <w:pPr>
        <w:spacing w:beforeLines="50" w:before="156" w:line="360" w:lineRule="auto"/>
        <w:ind w:firstLineChars="200" w:firstLine="480"/>
        <w:rPr>
          <w:bCs/>
          <w:sz w:val="24"/>
          <w:szCs w:val="20"/>
        </w:rPr>
      </w:pPr>
      <w:r>
        <w:rPr>
          <w:bCs/>
          <w:sz w:val="24"/>
          <w:szCs w:val="24"/>
        </w:rPr>
        <w:t>断层破碎带宽度，</w:t>
      </w:r>
      <w:r>
        <w:rPr>
          <w:bCs/>
          <w:sz w:val="24"/>
          <w:szCs w:val="21"/>
        </w:rPr>
        <w:t>参考《工程岩体分级标准》（</w:t>
      </w:r>
      <w:r>
        <w:rPr>
          <w:bCs/>
          <w:sz w:val="24"/>
          <w:szCs w:val="21"/>
        </w:rPr>
        <w:t>GB/T 50218-2014</w:t>
      </w:r>
      <w:r>
        <w:rPr>
          <w:bCs/>
          <w:sz w:val="24"/>
          <w:szCs w:val="21"/>
        </w:rPr>
        <w:t>）</w:t>
      </w:r>
      <w:r>
        <w:rPr>
          <w:bCs/>
          <w:sz w:val="24"/>
          <w:szCs w:val="21"/>
        </w:rPr>
        <w:fldChar w:fldCharType="begin"/>
      </w:r>
      <w:r>
        <w:rPr>
          <w:bCs/>
          <w:sz w:val="24"/>
          <w:szCs w:val="21"/>
        </w:rPr>
        <w:instrText xml:space="preserve"> ADDIN NE.Ref.{D19DD13C-9620-46F7-9BFD-533C4E1843EE}</w:instrText>
      </w:r>
      <w:r>
        <w:rPr>
          <w:bCs/>
          <w:sz w:val="24"/>
          <w:szCs w:val="21"/>
        </w:rPr>
        <w:fldChar w:fldCharType="separate"/>
      </w:r>
      <w:r>
        <w:rPr>
          <w:color w:val="080000"/>
          <w:kern w:val="0"/>
          <w:sz w:val="24"/>
          <w:szCs w:val="24"/>
          <w:vertAlign w:val="superscript"/>
        </w:rPr>
        <w:t>[11]</w:t>
      </w:r>
      <w:r>
        <w:rPr>
          <w:bCs/>
          <w:sz w:val="24"/>
          <w:szCs w:val="21"/>
        </w:rPr>
        <w:fldChar w:fldCharType="end"/>
      </w:r>
      <w:r>
        <w:rPr>
          <w:bCs/>
          <w:sz w:val="24"/>
          <w:szCs w:val="21"/>
        </w:rPr>
        <w:t>，一般而言，断层及其影响带内，岩体应力较低，</w:t>
      </w:r>
      <w:proofErr w:type="gramStart"/>
      <w:r>
        <w:rPr>
          <w:bCs/>
          <w:sz w:val="24"/>
          <w:szCs w:val="21"/>
        </w:rPr>
        <w:t>近影响带</w:t>
      </w:r>
      <w:proofErr w:type="gramEnd"/>
      <w:r>
        <w:rPr>
          <w:bCs/>
          <w:sz w:val="24"/>
          <w:szCs w:val="21"/>
        </w:rPr>
        <w:t>岩体局部可能存在应力集中现象，易引起塌方、岩爆等事故。此外，断层破碎带往往岩石较为破碎，围岩等级较低，是地表水、地下水流动的天然通道，是引发塌方、大变形、甚至涌水突泥等灾害的</w:t>
      </w:r>
      <w:r>
        <w:rPr>
          <w:bCs/>
          <w:sz w:val="24"/>
          <w:szCs w:val="21"/>
        </w:rPr>
        <w:t>主要因素。本标准根据断层破碎带的宽度分类，宽度分级沿袭现行指南，宽度越大，则在断层破碎带及其影响带中的施工周期越长，施工安全风险越高。</w:t>
      </w:r>
    </w:p>
    <w:p w:rsidR="0073700B" w:rsidRDefault="001A2FFC" w:rsidP="00F80BAC">
      <w:pPr>
        <w:spacing w:beforeLines="50" w:before="156" w:line="360" w:lineRule="auto"/>
        <w:ind w:firstLineChars="200" w:firstLine="480"/>
        <w:rPr>
          <w:bCs/>
          <w:sz w:val="24"/>
          <w:szCs w:val="20"/>
        </w:rPr>
      </w:pPr>
      <w:r>
        <w:rPr>
          <w:bCs/>
          <w:sz w:val="24"/>
          <w:szCs w:val="20"/>
        </w:rPr>
        <w:t>地应力，是在天然状态下，存在于岩体内部的应力，是公路隧道工程的基本外荷载之一</w:t>
      </w:r>
      <w:r>
        <w:rPr>
          <w:bCs/>
          <w:sz w:val="24"/>
          <w:szCs w:val="20"/>
        </w:rPr>
        <w:fldChar w:fldCharType="begin"/>
      </w:r>
      <w:r>
        <w:rPr>
          <w:bCs/>
          <w:sz w:val="24"/>
          <w:szCs w:val="20"/>
        </w:rPr>
        <w:instrText xml:space="preserve"> ADDIN NE.Ref.{4F5B9522-35CB-482E-8F46-28364D9F3EBE}</w:instrText>
      </w:r>
      <w:r>
        <w:rPr>
          <w:bCs/>
          <w:sz w:val="24"/>
          <w:szCs w:val="20"/>
        </w:rPr>
        <w:fldChar w:fldCharType="separate"/>
      </w:r>
      <w:r>
        <w:rPr>
          <w:color w:val="080000"/>
          <w:kern w:val="0"/>
          <w:sz w:val="24"/>
          <w:szCs w:val="24"/>
          <w:vertAlign w:val="superscript"/>
        </w:rPr>
        <w:t>[11]</w:t>
      </w:r>
      <w:r>
        <w:rPr>
          <w:bCs/>
          <w:sz w:val="24"/>
          <w:szCs w:val="20"/>
        </w:rPr>
        <w:fldChar w:fldCharType="end"/>
      </w:r>
      <w:r>
        <w:rPr>
          <w:bCs/>
          <w:sz w:val="24"/>
          <w:szCs w:val="20"/>
        </w:rPr>
        <w:t>。隧道开挖后，围岩发生应力重分布，切向应力显著增大，径向应力减少，容易造成围岩失稳，一般来说，地应力越大，风险越高。参考《水力发电工程地质勘察规范》</w:t>
      </w:r>
      <w:r>
        <w:rPr>
          <w:bCs/>
          <w:sz w:val="24"/>
          <w:szCs w:val="20"/>
        </w:rPr>
        <w:t>(GB 50287-2016)</w:t>
      </w:r>
      <w:r>
        <w:rPr>
          <w:bCs/>
          <w:sz w:val="24"/>
          <w:szCs w:val="20"/>
        </w:rPr>
        <w:fldChar w:fldCharType="begin"/>
      </w:r>
      <w:r>
        <w:rPr>
          <w:bCs/>
          <w:sz w:val="24"/>
          <w:szCs w:val="20"/>
        </w:rPr>
        <w:instrText xml:space="preserve"> A</w:instrText>
      </w:r>
      <w:r>
        <w:rPr>
          <w:bCs/>
          <w:sz w:val="24"/>
          <w:szCs w:val="20"/>
        </w:rPr>
        <w:instrText>DDIN NE.Ref.{0EAB5004-35D1-4600-BFE2-EE8338DFD333}</w:instrText>
      </w:r>
      <w:r>
        <w:rPr>
          <w:bCs/>
          <w:sz w:val="24"/>
          <w:szCs w:val="20"/>
        </w:rPr>
        <w:fldChar w:fldCharType="separate"/>
      </w:r>
      <w:r>
        <w:rPr>
          <w:color w:val="080000"/>
          <w:kern w:val="0"/>
          <w:sz w:val="24"/>
          <w:szCs w:val="24"/>
          <w:vertAlign w:val="superscript"/>
        </w:rPr>
        <w:t>[12]</w:t>
      </w:r>
      <w:r>
        <w:rPr>
          <w:bCs/>
          <w:sz w:val="24"/>
          <w:szCs w:val="20"/>
        </w:rPr>
        <w:fldChar w:fldCharType="end"/>
      </w:r>
      <w:r>
        <w:rPr>
          <w:bCs/>
          <w:sz w:val="24"/>
          <w:szCs w:val="20"/>
        </w:rPr>
        <w:t>进行指标分级。另外，没有地应力的实测成果时，可参照《工程岩体分级标准》</w:t>
      </w:r>
      <w:r>
        <w:rPr>
          <w:bCs/>
          <w:sz w:val="24"/>
          <w:szCs w:val="20"/>
        </w:rPr>
        <w:t>(GB/T 50218 - 2014)</w:t>
      </w:r>
      <w:r>
        <w:rPr>
          <w:bCs/>
          <w:sz w:val="24"/>
          <w:szCs w:val="20"/>
        </w:rPr>
        <w:fldChar w:fldCharType="begin"/>
      </w:r>
      <w:r>
        <w:rPr>
          <w:bCs/>
          <w:sz w:val="24"/>
          <w:szCs w:val="20"/>
        </w:rPr>
        <w:instrText xml:space="preserve"> ADDIN NE.Ref.{622EDB64-9E4E-44E7-B611-2437F9083321}</w:instrText>
      </w:r>
      <w:r>
        <w:rPr>
          <w:bCs/>
          <w:sz w:val="24"/>
          <w:szCs w:val="20"/>
        </w:rPr>
        <w:fldChar w:fldCharType="separate"/>
      </w:r>
      <w:r>
        <w:rPr>
          <w:color w:val="080000"/>
          <w:kern w:val="0"/>
          <w:sz w:val="24"/>
          <w:szCs w:val="24"/>
          <w:vertAlign w:val="superscript"/>
        </w:rPr>
        <w:t>[11]</w:t>
      </w:r>
      <w:r>
        <w:rPr>
          <w:bCs/>
          <w:sz w:val="24"/>
          <w:szCs w:val="20"/>
        </w:rPr>
        <w:fldChar w:fldCharType="end"/>
      </w:r>
      <w:r>
        <w:rPr>
          <w:bCs/>
          <w:sz w:val="24"/>
          <w:szCs w:val="20"/>
        </w:rPr>
        <w:t>确定。即：</w:t>
      </w:r>
    </w:p>
    <w:p w:rsidR="0073700B" w:rsidRDefault="001A2FFC" w:rsidP="00F80BAC">
      <w:pPr>
        <w:spacing w:beforeLines="50" w:before="156" w:line="360" w:lineRule="auto"/>
        <w:ind w:firstLineChars="200" w:firstLine="480"/>
        <w:rPr>
          <w:bCs/>
          <w:sz w:val="24"/>
          <w:szCs w:val="20"/>
        </w:rPr>
      </w:pPr>
      <w:r>
        <w:rPr>
          <w:rFonts w:hint="eastAsia"/>
          <w:bCs/>
          <w:sz w:val="24"/>
          <w:szCs w:val="20"/>
        </w:rPr>
        <w:t>a</w:t>
      </w:r>
      <w:r>
        <w:rPr>
          <w:rFonts w:hint="eastAsia"/>
          <w:bCs/>
          <w:sz w:val="24"/>
          <w:szCs w:val="20"/>
        </w:rPr>
        <w:t>）</w:t>
      </w:r>
      <w:r>
        <w:rPr>
          <w:bCs/>
          <w:sz w:val="24"/>
          <w:szCs w:val="20"/>
        </w:rPr>
        <w:t>较平缓的孤山体，一般情况下，初始应力的铅直向应力为自重应力，水平向应力不大于</w:t>
      </w:r>
      <w:r>
        <w:rPr>
          <w:bCs/>
          <w:position w:val="-28"/>
          <w:szCs w:val="21"/>
        </w:rPr>
        <w:object w:dxaOrig="1122" w:dyaOrig="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31.85pt" o:ole="">
            <v:imagedata r:id="rId11" o:title=""/>
          </v:shape>
          <o:OLEObject Type="Embed" ProgID="Equation.DSMT4" ShapeID="_x0000_i1025" DrawAspect="Content" ObjectID="_1645534661" r:id="rId12"/>
        </w:object>
      </w:r>
      <w:r>
        <w:rPr>
          <w:bCs/>
          <w:szCs w:val="21"/>
        </w:rPr>
        <w:t>。</w:t>
      </w:r>
    </w:p>
    <w:p w:rsidR="0073700B" w:rsidRDefault="001A2FFC" w:rsidP="00F80BAC">
      <w:pPr>
        <w:spacing w:beforeLines="50" w:before="156" w:line="360" w:lineRule="auto"/>
        <w:ind w:firstLineChars="200" w:firstLine="480"/>
        <w:rPr>
          <w:bCs/>
          <w:sz w:val="24"/>
          <w:szCs w:val="20"/>
        </w:rPr>
      </w:pPr>
      <w:r>
        <w:rPr>
          <w:bCs/>
          <w:sz w:val="24"/>
          <w:szCs w:val="20"/>
        </w:rPr>
        <w:lastRenderedPageBreak/>
        <w:t>b</w:t>
      </w:r>
      <w:r>
        <w:rPr>
          <w:rFonts w:hint="eastAsia"/>
          <w:bCs/>
          <w:sz w:val="24"/>
          <w:szCs w:val="20"/>
        </w:rPr>
        <w:t>）</w:t>
      </w:r>
      <w:r>
        <w:rPr>
          <w:bCs/>
          <w:sz w:val="24"/>
          <w:szCs w:val="20"/>
        </w:rPr>
        <w:t>通过对历次构造形迹的调查和对近期构造运动的分析，以第一序次为准，根据复合关系，确定最新构造体系，据此确定初始应力的最大主应力方向。</w:t>
      </w:r>
    </w:p>
    <w:p w:rsidR="0073700B" w:rsidRDefault="001A2FFC" w:rsidP="00F80BAC">
      <w:pPr>
        <w:spacing w:beforeLines="50" w:before="156" w:line="360" w:lineRule="auto"/>
        <w:ind w:firstLineChars="200" w:firstLine="480"/>
        <w:rPr>
          <w:bCs/>
          <w:sz w:val="24"/>
          <w:szCs w:val="20"/>
        </w:rPr>
      </w:pPr>
      <w:r>
        <w:rPr>
          <w:bCs/>
          <w:sz w:val="24"/>
          <w:szCs w:val="20"/>
        </w:rPr>
        <w:t>当铅直向应力为自重应力，且是主应力之一时，水平向主应力较大的一个，可取</w:t>
      </w:r>
      <w:r>
        <w:rPr>
          <w:bCs/>
          <w:position w:val="-14"/>
          <w:szCs w:val="21"/>
        </w:rPr>
        <w:object w:dxaOrig="1309" w:dyaOrig="374">
          <v:shape id="_x0000_i1026" type="#_x0000_t75" style="width:65.2pt;height:18.8pt" o:ole="">
            <v:imagedata r:id="rId13" o:title=""/>
          </v:shape>
          <o:OLEObject Type="Embed" ProgID="Equation.DSMT4" ShapeID="_x0000_i1026" DrawAspect="Content" ObjectID="_1645534662" r:id="rId14"/>
        </w:object>
      </w:r>
      <w:r>
        <w:rPr>
          <w:bCs/>
          <w:sz w:val="24"/>
          <w:szCs w:val="20"/>
        </w:rPr>
        <w:t>或更大。</w:t>
      </w:r>
    </w:p>
    <w:p w:rsidR="0073700B" w:rsidRDefault="001A2FFC" w:rsidP="00F80BAC">
      <w:pPr>
        <w:spacing w:beforeLines="50" w:before="156" w:line="360" w:lineRule="auto"/>
        <w:ind w:firstLineChars="200" w:firstLine="480"/>
        <w:rPr>
          <w:bCs/>
          <w:sz w:val="24"/>
          <w:szCs w:val="20"/>
        </w:rPr>
      </w:pPr>
      <w:r>
        <w:rPr>
          <w:bCs/>
          <w:sz w:val="24"/>
          <w:szCs w:val="20"/>
        </w:rPr>
        <w:t>c</w:t>
      </w:r>
      <w:r>
        <w:rPr>
          <w:rFonts w:hint="eastAsia"/>
          <w:bCs/>
          <w:sz w:val="24"/>
          <w:szCs w:val="20"/>
        </w:rPr>
        <w:t>）</w:t>
      </w:r>
      <w:r>
        <w:rPr>
          <w:bCs/>
          <w:sz w:val="24"/>
          <w:szCs w:val="20"/>
        </w:rPr>
        <w:t>埋深大于</w:t>
      </w:r>
      <w:r>
        <w:rPr>
          <w:bCs/>
          <w:sz w:val="24"/>
          <w:szCs w:val="20"/>
        </w:rPr>
        <w:t>1000m</w:t>
      </w:r>
      <w:r>
        <w:rPr>
          <w:bCs/>
          <w:sz w:val="24"/>
          <w:szCs w:val="20"/>
        </w:rPr>
        <w:t>，随着深度的增加，初始应力场逐渐趋向于静水压力分布；大于</w:t>
      </w:r>
      <w:r>
        <w:rPr>
          <w:bCs/>
          <w:sz w:val="24"/>
          <w:szCs w:val="20"/>
        </w:rPr>
        <w:t>1500m</w:t>
      </w:r>
      <w:r>
        <w:rPr>
          <w:bCs/>
          <w:sz w:val="24"/>
          <w:szCs w:val="20"/>
        </w:rPr>
        <w:t>以后，可按静水压力分布确定。</w:t>
      </w:r>
    </w:p>
    <w:p w:rsidR="0073700B" w:rsidRDefault="001A2FFC" w:rsidP="00F80BAC">
      <w:pPr>
        <w:spacing w:beforeLines="50" w:before="156" w:line="360" w:lineRule="auto"/>
        <w:ind w:firstLineChars="200" w:firstLine="480"/>
        <w:rPr>
          <w:bCs/>
          <w:sz w:val="24"/>
          <w:szCs w:val="20"/>
        </w:rPr>
      </w:pPr>
      <w:r>
        <w:rPr>
          <w:bCs/>
          <w:sz w:val="24"/>
          <w:szCs w:val="20"/>
        </w:rPr>
        <w:t>d</w:t>
      </w:r>
      <w:r>
        <w:rPr>
          <w:rFonts w:hint="eastAsia"/>
          <w:bCs/>
          <w:sz w:val="24"/>
          <w:szCs w:val="20"/>
        </w:rPr>
        <w:t>）</w:t>
      </w:r>
      <w:r>
        <w:rPr>
          <w:bCs/>
          <w:sz w:val="24"/>
          <w:szCs w:val="20"/>
        </w:rPr>
        <w:t>在峡谷地段，从谷坡至山体以内，可划分为应力松弛区、应力过渡区、应力稳定区和河底应力集中区。峡谷的影响范围，在水平方向一般为谷宽</w:t>
      </w:r>
      <w:r>
        <w:rPr>
          <w:bCs/>
          <w:sz w:val="24"/>
          <w:szCs w:val="20"/>
        </w:rPr>
        <w:t>的</w:t>
      </w:r>
      <w:r>
        <w:rPr>
          <w:bCs/>
          <w:sz w:val="24"/>
          <w:szCs w:val="20"/>
        </w:rPr>
        <w:t>1</w:t>
      </w:r>
      <w:r>
        <w:rPr>
          <w:bCs/>
          <w:sz w:val="24"/>
          <w:szCs w:val="20"/>
        </w:rPr>
        <w:t>倍</w:t>
      </w:r>
      <w:r>
        <w:rPr>
          <w:bCs/>
          <w:sz w:val="24"/>
          <w:szCs w:val="20"/>
        </w:rPr>
        <w:t xml:space="preserve"> ~3</w:t>
      </w:r>
      <w:r>
        <w:rPr>
          <w:bCs/>
          <w:sz w:val="24"/>
          <w:szCs w:val="20"/>
        </w:rPr>
        <w:t>倍。在谷底较深部位，最大主应力趋于水平且多垂直于河谷。</w:t>
      </w:r>
    </w:p>
    <w:p w:rsidR="0073700B" w:rsidRDefault="001A2FFC" w:rsidP="00F80BAC">
      <w:pPr>
        <w:spacing w:beforeLines="50" w:before="156" w:line="360" w:lineRule="auto"/>
        <w:ind w:firstLineChars="200" w:firstLine="480"/>
        <w:rPr>
          <w:bCs/>
          <w:sz w:val="24"/>
          <w:szCs w:val="20"/>
        </w:rPr>
      </w:pPr>
      <w:r>
        <w:rPr>
          <w:bCs/>
          <w:sz w:val="24"/>
          <w:szCs w:val="20"/>
        </w:rPr>
        <w:t>e</w:t>
      </w:r>
      <w:r>
        <w:rPr>
          <w:rFonts w:hint="eastAsia"/>
          <w:bCs/>
          <w:sz w:val="24"/>
          <w:szCs w:val="20"/>
        </w:rPr>
        <w:t>）</w:t>
      </w:r>
      <w:r>
        <w:rPr>
          <w:bCs/>
          <w:sz w:val="24"/>
          <w:szCs w:val="20"/>
        </w:rPr>
        <w:t>地表岩体剥蚀显著地区，水平向应力应按原覆盖层厚度计算，其覆盖层厚度应包括已经剥蚀的部分。</w:t>
      </w:r>
    </w:p>
    <w:p w:rsidR="0073700B" w:rsidRDefault="001A2FFC" w:rsidP="00F80BAC">
      <w:pPr>
        <w:spacing w:beforeLines="50" w:before="156" w:line="360" w:lineRule="auto"/>
        <w:ind w:firstLineChars="200" w:firstLine="480"/>
        <w:rPr>
          <w:bCs/>
          <w:sz w:val="24"/>
          <w:szCs w:val="20"/>
        </w:rPr>
      </w:pPr>
      <w:r>
        <w:rPr>
          <w:bCs/>
          <w:sz w:val="24"/>
          <w:szCs w:val="20"/>
        </w:rPr>
        <w:t>岩溶发育程度</w:t>
      </w:r>
      <w:r>
        <w:rPr>
          <w:bCs/>
          <w:sz w:val="24"/>
          <w:szCs w:val="20"/>
        </w:rPr>
        <w:fldChar w:fldCharType="begin"/>
      </w:r>
      <w:r>
        <w:rPr>
          <w:bCs/>
          <w:sz w:val="24"/>
          <w:szCs w:val="20"/>
        </w:rPr>
        <w:instrText xml:space="preserve"> ADDIN NE.Ref.{53C6C9E0-9EF6-4049-B846-E5F77918CAAB}</w:instrText>
      </w:r>
      <w:r>
        <w:rPr>
          <w:bCs/>
          <w:sz w:val="24"/>
          <w:szCs w:val="20"/>
        </w:rPr>
        <w:fldChar w:fldCharType="separate"/>
      </w:r>
      <w:r>
        <w:rPr>
          <w:color w:val="080000"/>
          <w:kern w:val="0"/>
          <w:sz w:val="24"/>
          <w:szCs w:val="24"/>
          <w:vertAlign w:val="superscript"/>
        </w:rPr>
        <w:t>[13]</w:t>
      </w:r>
      <w:r>
        <w:rPr>
          <w:bCs/>
          <w:sz w:val="24"/>
          <w:szCs w:val="20"/>
        </w:rPr>
        <w:fldChar w:fldCharType="end"/>
      </w:r>
      <w:r>
        <w:rPr>
          <w:bCs/>
          <w:sz w:val="24"/>
          <w:szCs w:val="20"/>
        </w:rPr>
        <w:t>，参考《公路工程地质勘察规范》（</w:t>
      </w:r>
      <w:r>
        <w:rPr>
          <w:bCs/>
          <w:sz w:val="24"/>
          <w:szCs w:val="20"/>
        </w:rPr>
        <w:t>JTG C20-2011</w:t>
      </w:r>
      <w:r>
        <w:rPr>
          <w:bCs/>
          <w:sz w:val="24"/>
          <w:szCs w:val="20"/>
        </w:rPr>
        <w:t>）</w:t>
      </w:r>
      <w:r>
        <w:rPr>
          <w:bCs/>
          <w:sz w:val="24"/>
          <w:szCs w:val="20"/>
        </w:rPr>
        <w:fldChar w:fldCharType="begin"/>
      </w:r>
      <w:r>
        <w:rPr>
          <w:bCs/>
          <w:sz w:val="24"/>
          <w:szCs w:val="20"/>
        </w:rPr>
        <w:instrText xml:space="preserve"> ADDIN NE.Ref.{17384E65-C31E-4E94-B6B5-DFEDD38E8CD0}</w:instrText>
      </w:r>
      <w:r>
        <w:rPr>
          <w:bCs/>
          <w:sz w:val="24"/>
          <w:szCs w:val="20"/>
        </w:rPr>
        <w:fldChar w:fldCharType="separate"/>
      </w:r>
      <w:r>
        <w:rPr>
          <w:color w:val="080000"/>
          <w:kern w:val="0"/>
          <w:sz w:val="24"/>
          <w:szCs w:val="24"/>
          <w:vertAlign w:val="superscript"/>
        </w:rPr>
        <w:t>[10]</w:t>
      </w:r>
      <w:r>
        <w:rPr>
          <w:bCs/>
          <w:sz w:val="24"/>
          <w:szCs w:val="20"/>
        </w:rPr>
        <w:fldChar w:fldCharType="end"/>
      </w:r>
      <w:r>
        <w:rPr>
          <w:bCs/>
          <w:sz w:val="24"/>
          <w:szCs w:val="20"/>
        </w:rPr>
        <w:t>，岩溶发育程度与可溶性岩石密切相关，当隧道穿越岩溶发育区时，往往存在安全隐患，故应查明岩溶及地质灾害的形态与分布、岩溶发育规律等。岩溶越发育，储存的岩溶水越多，引发事故的可能性越大。</w:t>
      </w:r>
    </w:p>
    <w:p w:rsidR="0073700B" w:rsidRDefault="001A2FFC" w:rsidP="00F80BAC">
      <w:pPr>
        <w:spacing w:beforeLines="50" w:before="156" w:line="360" w:lineRule="auto"/>
        <w:ind w:firstLineChars="200" w:firstLine="480"/>
        <w:rPr>
          <w:bCs/>
          <w:sz w:val="24"/>
          <w:szCs w:val="20"/>
        </w:rPr>
      </w:pPr>
      <w:r>
        <w:rPr>
          <w:bCs/>
          <w:sz w:val="24"/>
          <w:szCs w:val="20"/>
        </w:rPr>
        <w:t>若隧道工况满足主控因素判识表中的某项指标，则可直接确定总体风险等级为</w:t>
      </w:r>
      <w:r>
        <w:rPr>
          <w:rFonts w:ascii="宋体" w:hAnsi="宋体" w:cs="宋体" w:hint="eastAsia"/>
        </w:rPr>
        <w:t>Ⅰ</w:t>
      </w:r>
      <w:r>
        <w:rPr>
          <w:bCs/>
          <w:sz w:val="24"/>
          <w:szCs w:val="20"/>
        </w:rPr>
        <w:t>级或</w:t>
      </w:r>
      <w:r>
        <w:rPr>
          <w:rFonts w:ascii="宋体" w:hAnsi="宋体" w:cs="宋体" w:hint="eastAsia"/>
        </w:rPr>
        <w:t>Ⅱ</w:t>
      </w:r>
      <w:r>
        <w:rPr>
          <w:bCs/>
          <w:sz w:val="24"/>
          <w:szCs w:val="20"/>
        </w:rPr>
        <w:t>级，不同主控因素的判识结果不一致时，采用就高原则确定风险等级；如不满足主控因素判识表或判识结果为</w:t>
      </w:r>
      <w:bookmarkStart w:id="19" w:name="_Hlk25601329"/>
      <w:r>
        <w:rPr>
          <w:rFonts w:ascii="宋体" w:hAnsi="宋体" w:cs="宋体" w:hint="eastAsia"/>
          <w:sz w:val="24"/>
          <w:szCs w:val="28"/>
        </w:rPr>
        <w:t>Ⅱ</w:t>
      </w:r>
      <w:bookmarkEnd w:id="19"/>
      <w:r>
        <w:rPr>
          <w:bCs/>
          <w:sz w:val="24"/>
          <w:szCs w:val="20"/>
        </w:rPr>
        <w:t>级，则进一步采用指标体系评估确定总体风险等级。当指标体系评估结果与主控因素判识结果不一致时，采用就高原则确定总体风险最终风险等级。</w:t>
      </w:r>
    </w:p>
    <w:p w:rsidR="0073700B" w:rsidRDefault="001A2FFC" w:rsidP="00F80BAC">
      <w:pPr>
        <w:spacing w:beforeLines="50" w:before="156" w:line="360" w:lineRule="auto"/>
        <w:ind w:firstLineChars="200" w:firstLine="480"/>
        <w:rPr>
          <w:bCs/>
          <w:sz w:val="24"/>
          <w:szCs w:val="20"/>
        </w:rPr>
      </w:pPr>
      <w:r>
        <w:rPr>
          <w:rFonts w:hint="eastAsia"/>
          <w:bCs/>
          <w:sz w:val="24"/>
          <w:szCs w:val="20"/>
        </w:rPr>
        <w:t>③</w:t>
      </w:r>
      <w:r>
        <w:rPr>
          <w:bCs/>
          <w:sz w:val="24"/>
          <w:szCs w:val="20"/>
        </w:rPr>
        <w:t>指标体系评估</w:t>
      </w:r>
    </w:p>
    <w:p w:rsidR="0073700B" w:rsidRDefault="001A2FFC" w:rsidP="00F80BAC">
      <w:pPr>
        <w:tabs>
          <w:tab w:val="left" w:pos="312"/>
        </w:tabs>
        <w:spacing w:beforeLines="50" w:before="156" w:line="360" w:lineRule="auto"/>
        <w:ind w:firstLineChars="200" w:firstLine="480"/>
        <w:rPr>
          <w:bCs/>
          <w:sz w:val="24"/>
        </w:rPr>
      </w:pPr>
      <w:r>
        <w:rPr>
          <w:bCs/>
          <w:sz w:val="24"/>
        </w:rPr>
        <w:t>影响隧</w:t>
      </w:r>
      <w:r>
        <w:rPr>
          <w:bCs/>
          <w:sz w:val="24"/>
        </w:rPr>
        <w:t>道工程施工安全风险的因素众多，考虑到隧道施工前相关单位已有的勘察信息，选取建设规模、地质条件、洞口特征、年均降水量、资料完整性</w:t>
      </w:r>
      <w:r>
        <w:rPr>
          <w:bCs/>
          <w:sz w:val="24"/>
        </w:rPr>
        <w:t>5</w:t>
      </w:r>
      <w:r>
        <w:rPr>
          <w:bCs/>
          <w:sz w:val="24"/>
        </w:rPr>
        <w:t>个项别建立评估指标体系。</w:t>
      </w:r>
      <w:r>
        <w:rPr>
          <w:rFonts w:hint="eastAsia"/>
          <w:bCs/>
          <w:sz w:val="24"/>
        </w:rPr>
        <w:t>本标准</w:t>
      </w:r>
      <w:r>
        <w:rPr>
          <w:bCs/>
          <w:sz w:val="24"/>
        </w:rPr>
        <w:t>给出</w:t>
      </w:r>
      <w:r>
        <w:rPr>
          <w:rFonts w:hint="eastAsia"/>
          <w:bCs/>
          <w:sz w:val="24"/>
        </w:rPr>
        <w:t>了</w:t>
      </w:r>
      <w:r>
        <w:rPr>
          <w:bCs/>
          <w:sz w:val="24"/>
        </w:rPr>
        <w:t>指标体系评估表，指标取值应针对单洞。</w:t>
      </w:r>
    </w:p>
    <w:p w:rsidR="0073700B" w:rsidRDefault="001A2FFC" w:rsidP="00F80BAC">
      <w:pPr>
        <w:tabs>
          <w:tab w:val="left" w:pos="312"/>
        </w:tabs>
        <w:spacing w:beforeLines="50" w:before="156" w:line="360" w:lineRule="auto"/>
        <w:ind w:firstLineChars="200" w:firstLine="480"/>
        <w:rPr>
          <w:bCs/>
          <w:sz w:val="24"/>
        </w:rPr>
      </w:pPr>
      <w:r>
        <w:rPr>
          <w:bCs/>
          <w:sz w:val="24"/>
        </w:rPr>
        <w:t>总体风险评估指标包括：建设规模、地质条件、洞口特征、年均降水量、</w:t>
      </w:r>
      <w:r>
        <w:rPr>
          <w:bCs/>
          <w:sz w:val="24"/>
        </w:rPr>
        <w:lastRenderedPageBreak/>
        <w:t>资料完整性等，各指标和风险大小的关系说明如下：</w:t>
      </w:r>
    </w:p>
    <w:p w:rsidR="0073700B" w:rsidRDefault="001A2FFC" w:rsidP="00F80BAC">
      <w:pPr>
        <w:tabs>
          <w:tab w:val="left" w:pos="312"/>
        </w:tabs>
        <w:spacing w:beforeLines="50" w:before="156" w:line="360" w:lineRule="auto"/>
        <w:ind w:firstLineChars="200" w:firstLine="480"/>
        <w:rPr>
          <w:bCs/>
          <w:sz w:val="24"/>
        </w:rPr>
      </w:pPr>
      <w:r>
        <w:rPr>
          <w:bCs/>
          <w:sz w:val="24"/>
        </w:rPr>
        <w:t>a</w:t>
      </w:r>
      <w:r>
        <w:rPr>
          <w:rFonts w:hint="eastAsia"/>
          <w:bCs/>
          <w:sz w:val="24"/>
        </w:rPr>
        <w:t>）</w:t>
      </w:r>
      <w:r>
        <w:rPr>
          <w:bCs/>
          <w:sz w:val="24"/>
        </w:rPr>
        <w:t>建设规模</w:t>
      </w:r>
      <w:r>
        <w:rPr>
          <w:bCs/>
          <w:i/>
          <w:iCs/>
          <w:sz w:val="24"/>
        </w:rPr>
        <w:t>B</w:t>
      </w:r>
      <w:r>
        <w:rPr>
          <w:bCs/>
          <w:sz w:val="24"/>
        </w:rPr>
        <w:t>，主要考虑隧道长度和开挖跨度。</w:t>
      </w:r>
    </w:p>
    <w:p w:rsidR="0073700B" w:rsidRDefault="001A2FFC" w:rsidP="00F80BAC">
      <w:pPr>
        <w:tabs>
          <w:tab w:val="left" w:pos="312"/>
        </w:tabs>
        <w:spacing w:beforeLines="50" w:before="156" w:line="360" w:lineRule="auto"/>
        <w:ind w:firstLineChars="200" w:firstLine="480"/>
        <w:rPr>
          <w:bCs/>
          <w:sz w:val="24"/>
        </w:rPr>
      </w:pPr>
      <w:r>
        <w:rPr>
          <w:bCs/>
          <w:sz w:val="24"/>
        </w:rPr>
        <w:t>隧道长度</w:t>
      </w:r>
      <w:r>
        <w:rPr>
          <w:bCs/>
          <w:i/>
          <w:iCs/>
          <w:sz w:val="24"/>
        </w:rPr>
        <w:t>B</w:t>
      </w:r>
      <w:r>
        <w:rPr>
          <w:bCs/>
          <w:sz w:val="24"/>
          <w:vertAlign w:val="subscript"/>
        </w:rPr>
        <w:t>1</w:t>
      </w:r>
      <w:r>
        <w:rPr>
          <w:bCs/>
          <w:sz w:val="24"/>
        </w:rPr>
        <w:t>见主控因素判识部分对该指标的说明。隧道开挖跨度</w:t>
      </w:r>
      <w:r>
        <w:rPr>
          <w:bCs/>
          <w:i/>
          <w:iCs/>
          <w:sz w:val="24"/>
        </w:rPr>
        <w:t>B</w:t>
      </w:r>
      <w:r>
        <w:rPr>
          <w:bCs/>
          <w:sz w:val="24"/>
          <w:vertAlign w:val="subscript"/>
        </w:rPr>
        <w:t>2</w:t>
      </w:r>
      <w:r>
        <w:rPr>
          <w:bCs/>
          <w:sz w:val="24"/>
        </w:rPr>
        <w:t>指隧道开挖横断面的水平最大宽度，《公路隧道施工技术细则》（</w:t>
      </w:r>
      <w:r>
        <w:rPr>
          <w:bCs/>
          <w:sz w:val="24"/>
        </w:rPr>
        <w:t>JTG/T F60-2009</w:t>
      </w:r>
      <w:r>
        <w:rPr>
          <w:bCs/>
          <w:sz w:val="24"/>
        </w:rPr>
        <w:t>）</w:t>
      </w:r>
      <w:r>
        <w:rPr>
          <w:bCs/>
          <w:sz w:val="24"/>
        </w:rPr>
        <w:fldChar w:fldCharType="begin"/>
      </w:r>
      <w:r>
        <w:rPr>
          <w:bCs/>
          <w:sz w:val="24"/>
        </w:rPr>
        <w:instrText xml:space="preserve"> </w:instrText>
      </w:r>
      <w:r>
        <w:rPr>
          <w:bCs/>
          <w:sz w:val="24"/>
        </w:rPr>
        <w:instrText>ADDIN NE.Ref.{CE08CCC7-9FB8-4BAD-842F-A69B3A8F6047}</w:instrText>
      </w:r>
      <w:r>
        <w:rPr>
          <w:bCs/>
          <w:sz w:val="24"/>
        </w:rPr>
        <w:fldChar w:fldCharType="separate"/>
      </w:r>
      <w:r>
        <w:rPr>
          <w:color w:val="080000"/>
          <w:kern w:val="0"/>
          <w:sz w:val="24"/>
          <w:szCs w:val="24"/>
          <w:vertAlign w:val="superscript"/>
        </w:rPr>
        <w:t>[14]</w:t>
      </w:r>
      <w:r>
        <w:rPr>
          <w:bCs/>
          <w:sz w:val="24"/>
        </w:rPr>
        <w:fldChar w:fldCharType="end"/>
      </w:r>
      <w:r>
        <w:rPr>
          <w:bCs/>
          <w:sz w:val="24"/>
        </w:rPr>
        <w:t>、《铁路隧道设计规范》（</w:t>
      </w:r>
      <w:r>
        <w:rPr>
          <w:bCs/>
          <w:sz w:val="24"/>
        </w:rPr>
        <w:t>TB 10003-2016</w:t>
      </w:r>
      <w:r>
        <w:rPr>
          <w:bCs/>
          <w:sz w:val="24"/>
        </w:rPr>
        <w:t>）</w:t>
      </w:r>
      <w:r>
        <w:rPr>
          <w:bCs/>
          <w:sz w:val="24"/>
        </w:rPr>
        <w:fldChar w:fldCharType="begin"/>
      </w:r>
      <w:r>
        <w:rPr>
          <w:bCs/>
          <w:sz w:val="24"/>
        </w:rPr>
        <w:instrText xml:space="preserve"> ADDIN NE.Ref.{F6C0D118-E850-4088-B0DF-8A144C7C5FFF}</w:instrText>
      </w:r>
      <w:r>
        <w:rPr>
          <w:bCs/>
          <w:sz w:val="24"/>
        </w:rPr>
        <w:fldChar w:fldCharType="separate"/>
      </w:r>
      <w:r>
        <w:rPr>
          <w:color w:val="080000"/>
          <w:kern w:val="0"/>
          <w:sz w:val="24"/>
          <w:szCs w:val="24"/>
          <w:vertAlign w:val="superscript"/>
        </w:rPr>
        <w:t>[15]</w:t>
      </w:r>
      <w:r>
        <w:rPr>
          <w:bCs/>
          <w:sz w:val="24"/>
        </w:rPr>
        <w:fldChar w:fldCharType="end"/>
      </w:r>
      <w:r>
        <w:rPr>
          <w:bCs/>
          <w:sz w:val="24"/>
        </w:rPr>
        <w:t>中隧道跨度分类规定，见</w:t>
      </w:r>
      <w:r>
        <w:fldChar w:fldCharType="begin"/>
      </w:r>
      <w:r>
        <w:instrText xml:space="preserve"> REF _Ref535832509 \h  \* MERGEFORMAT </w:instrText>
      </w:r>
      <w:r>
        <w:fldChar w:fldCharType="separate"/>
      </w:r>
      <w:r>
        <w:rPr>
          <w:bCs/>
          <w:sz w:val="24"/>
          <w:szCs w:val="24"/>
        </w:rPr>
        <w:t>表</w:t>
      </w:r>
      <w:r>
        <w:rPr>
          <w:bCs/>
          <w:sz w:val="24"/>
          <w:szCs w:val="24"/>
        </w:rPr>
        <w:t>5</w:t>
      </w:r>
      <w:r>
        <w:rPr>
          <w:bCs/>
          <w:sz w:val="24"/>
          <w:szCs w:val="24"/>
        </w:rPr>
        <w:noBreakHyphen/>
        <w:t>1</w:t>
      </w:r>
      <w:r>
        <w:rPr>
          <w:bCs/>
          <w:sz w:val="24"/>
          <w:szCs w:val="24"/>
        </w:rPr>
        <w:fldChar w:fldCharType="end"/>
      </w:r>
      <w:r>
        <w:rPr>
          <w:bCs/>
          <w:sz w:val="24"/>
        </w:rPr>
        <w:t>。</w:t>
      </w:r>
    </w:p>
    <w:p w:rsidR="0073700B" w:rsidRDefault="001A2FFC" w:rsidP="00F80BAC">
      <w:pPr>
        <w:pStyle w:val="a6"/>
        <w:spacing w:beforeLines="50" w:before="156"/>
        <w:rPr>
          <w:rFonts w:ascii="黑体" w:eastAsia="黑体" w:hAnsi="黑体"/>
          <w:b w:val="0"/>
          <w:bCs/>
        </w:rPr>
      </w:pPr>
      <w:bookmarkStart w:id="20" w:name="_Ref535832509"/>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5</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w:t>
      </w:r>
      <w:r>
        <w:rPr>
          <w:rFonts w:ascii="黑体" w:eastAsia="黑体" w:hAnsi="黑体"/>
          <w:b w:val="0"/>
          <w:bCs/>
        </w:rPr>
        <w:fldChar w:fldCharType="end"/>
      </w:r>
      <w:bookmarkEnd w:id="20"/>
      <w:r>
        <w:rPr>
          <w:rFonts w:ascii="黑体" w:eastAsia="黑体" w:hAnsi="黑体"/>
          <w:b w:val="0"/>
          <w:bCs/>
        </w:rPr>
        <w:t xml:space="preserve">  </w:t>
      </w:r>
      <w:r>
        <w:rPr>
          <w:rFonts w:ascii="黑体" w:eastAsia="黑体" w:hAnsi="黑体"/>
          <w:b w:val="0"/>
          <w:bCs/>
        </w:rPr>
        <w:t>参考规范的隧道分类</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988"/>
        <w:gridCol w:w="1134"/>
        <w:gridCol w:w="1134"/>
        <w:gridCol w:w="1276"/>
        <w:gridCol w:w="2484"/>
      </w:tblGrid>
      <w:tr w:rsidR="0073700B">
        <w:trPr>
          <w:jc w:val="center"/>
        </w:trPr>
        <w:tc>
          <w:tcPr>
            <w:tcW w:w="1270" w:type="dxa"/>
            <w:tcBorders>
              <w:top w:val="single" w:sz="8" w:space="0" w:color="auto"/>
              <w:left w:val="single" w:sz="8" w:space="0" w:color="auto"/>
              <w:bottom w:val="single" w:sz="8" w:space="0" w:color="auto"/>
            </w:tcBorders>
            <w:shd w:val="clear" w:color="auto" w:fill="auto"/>
            <w:vAlign w:val="center"/>
          </w:tcPr>
          <w:p w:rsidR="0073700B" w:rsidRDefault="001A2FFC">
            <w:pPr>
              <w:jc w:val="center"/>
              <w:rPr>
                <w:bCs/>
                <w:color w:val="000000"/>
                <w:szCs w:val="21"/>
              </w:rPr>
            </w:pPr>
            <w:r>
              <w:rPr>
                <w:bCs/>
                <w:color w:val="000000"/>
                <w:szCs w:val="21"/>
              </w:rPr>
              <w:t>隧道分类</w:t>
            </w:r>
          </w:p>
        </w:tc>
        <w:tc>
          <w:tcPr>
            <w:tcW w:w="988" w:type="dxa"/>
            <w:tcBorders>
              <w:top w:val="single" w:sz="8" w:space="0" w:color="auto"/>
              <w:bottom w:val="single" w:sz="8" w:space="0" w:color="auto"/>
            </w:tcBorders>
            <w:shd w:val="clear" w:color="auto" w:fill="auto"/>
            <w:vAlign w:val="center"/>
          </w:tcPr>
          <w:p w:rsidR="0073700B" w:rsidRDefault="001A2FFC">
            <w:pPr>
              <w:jc w:val="center"/>
              <w:rPr>
                <w:bCs/>
                <w:color w:val="000000"/>
                <w:szCs w:val="21"/>
              </w:rPr>
            </w:pPr>
            <w:r>
              <w:rPr>
                <w:bCs/>
                <w:color w:val="000000"/>
                <w:szCs w:val="21"/>
              </w:rPr>
              <w:t>特大跨度隧道</w:t>
            </w:r>
          </w:p>
        </w:tc>
        <w:tc>
          <w:tcPr>
            <w:tcW w:w="1134" w:type="dxa"/>
            <w:tcBorders>
              <w:top w:val="single" w:sz="8" w:space="0" w:color="auto"/>
              <w:bottom w:val="single" w:sz="8" w:space="0" w:color="auto"/>
            </w:tcBorders>
            <w:shd w:val="clear" w:color="auto" w:fill="auto"/>
            <w:vAlign w:val="center"/>
          </w:tcPr>
          <w:p w:rsidR="0073700B" w:rsidRDefault="001A2FFC">
            <w:pPr>
              <w:jc w:val="center"/>
              <w:rPr>
                <w:bCs/>
                <w:color w:val="000000"/>
                <w:szCs w:val="21"/>
              </w:rPr>
            </w:pPr>
            <w:r>
              <w:rPr>
                <w:bCs/>
                <w:color w:val="000000"/>
                <w:szCs w:val="21"/>
              </w:rPr>
              <w:t>大跨度隧道</w:t>
            </w:r>
          </w:p>
        </w:tc>
        <w:tc>
          <w:tcPr>
            <w:tcW w:w="1134" w:type="dxa"/>
            <w:tcBorders>
              <w:top w:val="single" w:sz="8" w:space="0" w:color="auto"/>
              <w:bottom w:val="single" w:sz="8" w:space="0" w:color="auto"/>
            </w:tcBorders>
            <w:shd w:val="clear" w:color="auto" w:fill="auto"/>
            <w:vAlign w:val="center"/>
          </w:tcPr>
          <w:p w:rsidR="0073700B" w:rsidRDefault="001A2FFC">
            <w:pPr>
              <w:jc w:val="center"/>
              <w:rPr>
                <w:bCs/>
                <w:color w:val="000000"/>
                <w:szCs w:val="21"/>
              </w:rPr>
            </w:pPr>
            <w:r>
              <w:rPr>
                <w:bCs/>
                <w:color w:val="000000"/>
                <w:szCs w:val="21"/>
              </w:rPr>
              <w:t>中等跨度隧道</w:t>
            </w:r>
          </w:p>
        </w:tc>
        <w:tc>
          <w:tcPr>
            <w:tcW w:w="1276" w:type="dxa"/>
            <w:tcBorders>
              <w:top w:val="single" w:sz="8" w:space="0" w:color="auto"/>
              <w:bottom w:val="single" w:sz="8" w:space="0" w:color="auto"/>
            </w:tcBorders>
            <w:shd w:val="clear" w:color="auto" w:fill="auto"/>
            <w:vAlign w:val="center"/>
          </w:tcPr>
          <w:p w:rsidR="0073700B" w:rsidRDefault="001A2FFC">
            <w:pPr>
              <w:jc w:val="center"/>
              <w:rPr>
                <w:bCs/>
                <w:color w:val="000000"/>
                <w:szCs w:val="21"/>
              </w:rPr>
            </w:pPr>
            <w:r>
              <w:rPr>
                <w:bCs/>
                <w:color w:val="000000"/>
                <w:szCs w:val="21"/>
              </w:rPr>
              <w:t>小跨度隧道</w:t>
            </w:r>
          </w:p>
        </w:tc>
        <w:tc>
          <w:tcPr>
            <w:tcW w:w="2484" w:type="dxa"/>
            <w:tcBorders>
              <w:top w:val="single" w:sz="8" w:space="0" w:color="auto"/>
              <w:bottom w:val="single" w:sz="8" w:space="0" w:color="auto"/>
              <w:right w:val="single" w:sz="8" w:space="0" w:color="auto"/>
            </w:tcBorders>
            <w:shd w:val="clear" w:color="auto" w:fill="auto"/>
            <w:vAlign w:val="center"/>
          </w:tcPr>
          <w:p w:rsidR="0073700B" w:rsidRDefault="001A2FFC">
            <w:pPr>
              <w:jc w:val="center"/>
              <w:rPr>
                <w:bCs/>
                <w:color w:val="000000"/>
                <w:szCs w:val="21"/>
              </w:rPr>
            </w:pPr>
            <w:r>
              <w:rPr>
                <w:bCs/>
                <w:color w:val="000000"/>
                <w:szCs w:val="21"/>
              </w:rPr>
              <w:t>参考规范</w:t>
            </w:r>
          </w:p>
        </w:tc>
      </w:tr>
      <w:tr w:rsidR="0073700B">
        <w:trPr>
          <w:jc w:val="center"/>
        </w:trPr>
        <w:tc>
          <w:tcPr>
            <w:tcW w:w="1270" w:type="dxa"/>
            <w:vMerge w:val="restart"/>
            <w:tcBorders>
              <w:top w:val="single" w:sz="8" w:space="0" w:color="auto"/>
              <w:left w:val="single" w:sz="8" w:space="0" w:color="auto"/>
            </w:tcBorders>
            <w:shd w:val="clear" w:color="auto" w:fill="auto"/>
            <w:vAlign w:val="center"/>
          </w:tcPr>
          <w:p w:rsidR="0073700B" w:rsidRDefault="001A2FFC">
            <w:pPr>
              <w:jc w:val="center"/>
              <w:rPr>
                <w:bCs/>
                <w:color w:val="000000"/>
                <w:szCs w:val="21"/>
              </w:rPr>
            </w:pPr>
            <w:r>
              <w:rPr>
                <w:bCs/>
                <w:color w:val="000000"/>
                <w:szCs w:val="21"/>
              </w:rPr>
              <w:t>隧道跨度</w:t>
            </w:r>
            <w:r>
              <w:rPr>
                <w:bCs/>
                <w:color w:val="000000"/>
                <w:szCs w:val="21"/>
              </w:rPr>
              <w:t>(</w:t>
            </w:r>
            <w:r>
              <w:rPr>
                <w:bCs/>
                <w:color w:val="000000"/>
                <w:szCs w:val="21"/>
              </w:rPr>
              <w:t>宽度</w:t>
            </w:r>
            <w:r>
              <w:rPr>
                <w:bCs/>
                <w:color w:val="000000"/>
                <w:szCs w:val="21"/>
              </w:rPr>
              <w:t>)</w:t>
            </w:r>
            <w:r>
              <w:rPr>
                <w:bCs/>
                <w:i/>
                <w:iCs/>
                <w:color w:val="000000"/>
                <w:szCs w:val="21"/>
              </w:rPr>
              <w:t>B</w:t>
            </w:r>
            <w:r>
              <w:rPr>
                <w:bCs/>
                <w:color w:val="000000"/>
                <w:szCs w:val="21"/>
              </w:rPr>
              <w:t>(m)</w:t>
            </w:r>
          </w:p>
        </w:tc>
        <w:tc>
          <w:tcPr>
            <w:tcW w:w="988" w:type="dxa"/>
            <w:tcBorders>
              <w:top w:val="single" w:sz="8" w:space="0" w:color="auto"/>
            </w:tcBorders>
            <w:shd w:val="clear" w:color="auto" w:fill="auto"/>
            <w:vAlign w:val="center"/>
          </w:tcPr>
          <w:p w:rsidR="0073700B" w:rsidRDefault="001A2FFC">
            <w:pPr>
              <w:jc w:val="center"/>
              <w:rPr>
                <w:bCs/>
                <w:color w:val="000000"/>
                <w:szCs w:val="21"/>
              </w:rPr>
            </w:pPr>
            <w:r>
              <w:rPr>
                <w:bCs/>
                <w:i/>
                <w:iCs/>
                <w:color w:val="000000"/>
                <w:szCs w:val="21"/>
              </w:rPr>
              <w:t>B</w:t>
            </w:r>
            <w:r>
              <w:rPr>
                <w:bCs/>
                <w:color w:val="000000"/>
                <w:szCs w:val="21"/>
              </w:rPr>
              <w:t>≥14</w:t>
            </w:r>
          </w:p>
        </w:tc>
        <w:tc>
          <w:tcPr>
            <w:tcW w:w="1134" w:type="dxa"/>
            <w:tcBorders>
              <w:top w:val="single" w:sz="8" w:space="0" w:color="auto"/>
            </w:tcBorders>
            <w:shd w:val="clear" w:color="auto" w:fill="auto"/>
            <w:vAlign w:val="center"/>
          </w:tcPr>
          <w:p w:rsidR="0073700B" w:rsidRDefault="001A2FFC">
            <w:pPr>
              <w:jc w:val="center"/>
              <w:rPr>
                <w:bCs/>
                <w:color w:val="000000"/>
                <w:szCs w:val="21"/>
              </w:rPr>
            </w:pPr>
            <w:r>
              <w:rPr>
                <w:bCs/>
                <w:color w:val="000000"/>
                <w:szCs w:val="21"/>
              </w:rPr>
              <w:t>14&gt;</w:t>
            </w:r>
            <w:r>
              <w:rPr>
                <w:bCs/>
                <w:i/>
                <w:iCs/>
                <w:color w:val="000000"/>
                <w:szCs w:val="21"/>
              </w:rPr>
              <w:t>B</w:t>
            </w:r>
            <w:r>
              <w:rPr>
                <w:bCs/>
                <w:color w:val="000000"/>
                <w:szCs w:val="21"/>
              </w:rPr>
              <w:t>≥12</w:t>
            </w:r>
          </w:p>
        </w:tc>
        <w:tc>
          <w:tcPr>
            <w:tcW w:w="1134" w:type="dxa"/>
            <w:tcBorders>
              <w:top w:val="single" w:sz="8" w:space="0" w:color="auto"/>
            </w:tcBorders>
            <w:shd w:val="clear" w:color="auto" w:fill="auto"/>
            <w:vAlign w:val="center"/>
          </w:tcPr>
          <w:p w:rsidR="0073700B" w:rsidRDefault="001A2FFC">
            <w:pPr>
              <w:jc w:val="center"/>
              <w:rPr>
                <w:bCs/>
                <w:color w:val="000000"/>
                <w:szCs w:val="21"/>
              </w:rPr>
            </w:pPr>
            <w:r>
              <w:rPr>
                <w:bCs/>
                <w:color w:val="000000"/>
                <w:szCs w:val="21"/>
              </w:rPr>
              <w:t>12&gt;</w:t>
            </w:r>
            <w:r>
              <w:rPr>
                <w:bCs/>
                <w:i/>
                <w:iCs/>
                <w:color w:val="000000"/>
                <w:szCs w:val="21"/>
              </w:rPr>
              <w:t>B</w:t>
            </w:r>
            <w:r>
              <w:rPr>
                <w:bCs/>
                <w:color w:val="000000"/>
                <w:szCs w:val="21"/>
              </w:rPr>
              <w:t>≥8.5</w:t>
            </w:r>
          </w:p>
        </w:tc>
        <w:tc>
          <w:tcPr>
            <w:tcW w:w="1276" w:type="dxa"/>
            <w:tcBorders>
              <w:top w:val="single" w:sz="8" w:space="0" w:color="auto"/>
            </w:tcBorders>
            <w:shd w:val="clear" w:color="auto" w:fill="auto"/>
            <w:vAlign w:val="center"/>
          </w:tcPr>
          <w:p w:rsidR="0073700B" w:rsidRDefault="001A2FFC">
            <w:pPr>
              <w:jc w:val="center"/>
              <w:rPr>
                <w:bCs/>
                <w:color w:val="000000"/>
                <w:szCs w:val="21"/>
              </w:rPr>
            </w:pPr>
            <w:r>
              <w:rPr>
                <w:bCs/>
                <w:color w:val="000000"/>
                <w:szCs w:val="21"/>
              </w:rPr>
              <w:t>8.5&gt;</w:t>
            </w:r>
            <w:r>
              <w:rPr>
                <w:bCs/>
                <w:i/>
                <w:iCs/>
                <w:color w:val="000000"/>
                <w:szCs w:val="21"/>
              </w:rPr>
              <w:t>B</w:t>
            </w:r>
            <w:r>
              <w:rPr>
                <w:bCs/>
                <w:color w:val="000000"/>
                <w:szCs w:val="21"/>
              </w:rPr>
              <w:t>≥5</w:t>
            </w:r>
          </w:p>
        </w:tc>
        <w:tc>
          <w:tcPr>
            <w:tcW w:w="2484" w:type="dxa"/>
            <w:tcBorders>
              <w:top w:val="single" w:sz="8" w:space="0" w:color="auto"/>
              <w:right w:val="single" w:sz="8" w:space="0" w:color="auto"/>
            </w:tcBorders>
            <w:shd w:val="clear" w:color="auto" w:fill="auto"/>
            <w:vAlign w:val="center"/>
          </w:tcPr>
          <w:p w:rsidR="0073700B" w:rsidRDefault="001A2FFC">
            <w:pPr>
              <w:rPr>
                <w:bCs/>
                <w:color w:val="000000"/>
                <w:szCs w:val="21"/>
              </w:rPr>
            </w:pPr>
            <w:r>
              <w:rPr>
                <w:bCs/>
                <w:color w:val="000000"/>
                <w:szCs w:val="21"/>
              </w:rPr>
              <w:t>《铁路隧道设计规范》</w:t>
            </w:r>
          </w:p>
          <w:p w:rsidR="0073700B" w:rsidRDefault="001A2FFC">
            <w:pPr>
              <w:jc w:val="center"/>
              <w:rPr>
                <w:bCs/>
                <w:color w:val="000000"/>
                <w:szCs w:val="21"/>
              </w:rPr>
            </w:pPr>
            <w:r>
              <w:rPr>
                <w:bCs/>
                <w:color w:val="000000"/>
                <w:szCs w:val="21"/>
              </w:rPr>
              <w:t>(TB 10003-2016)</w:t>
            </w:r>
          </w:p>
        </w:tc>
      </w:tr>
      <w:tr w:rsidR="0073700B">
        <w:trPr>
          <w:jc w:val="center"/>
        </w:trPr>
        <w:tc>
          <w:tcPr>
            <w:tcW w:w="1270" w:type="dxa"/>
            <w:vMerge/>
            <w:tcBorders>
              <w:left w:val="single" w:sz="8" w:space="0" w:color="auto"/>
              <w:bottom w:val="single" w:sz="8" w:space="0" w:color="auto"/>
            </w:tcBorders>
            <w:shd w:val="clear" w:color="auto" w:fill="auto"/>
            <w:vAlign w:val="center"/>
          </w:tcPr>
          <w:p w:rsidR="0073700B" w:rsidRDefault="0073700B">
            <w:pPr>
              <w:jc w:val="center"/>
              <w:rPr>
                <w:bCs/>
                <w:color w:val="000000"/>
                <w:szCs w:val="21"/>
              </w:rPr>
            </w:pPr>
          </w:p>
        </w:tc>
        <w:tc>
          <w:tcPr>
            <w:tcW w:w="988" w:type="dxa"/>
            <w:tcBorders>
              <w:bottom w:val="single" w:sz="8" w:space="0" w:color="auto"/>
            </w:tcBorders>
            <w:shd w:val="clear" w:color="auto" w:fill="auto"/>
            <w:vAlign w:val="center"/>
          </w:tcPr>
          <w:p w:rsidR="0073700B" w:rsidRDefault="001A2FFC">
            <w:pPr>
              <w:jc w:val="center"/>
              <w:rPr>
                <w:bCs/>
                <w:color w:val="000000"/>
                <w:szCs w:val="21"/>
              </w:rPr>
            </w:pPr>
            <w:r>
              <w:rPr>
                <w:bCs/>
                <w:i/>
                <w:iCs/>
                <w:color w:val="000000"/>
                <w:szCs w:val="21"/>
              </w:rPr>
              <w:t>B</w:t>
            </w:r>
            <w:r>
              <w:rPr>
                <w:bCs/>
                <w:color w:val="000000"/>
                <w:szCs w:val="21"/>
              </w:rPr>
              <w:t>≥18</w:t>
            </w:r>
          </w:p>
        </w:tc>
        <w:tc>
          <w:tcPr>
            <w:tcW w:w="1134" w:type="dxa"/>
            <w:tcBorders>
              <w:bottom w:val="single" w:sz="8" w:space="0" w:color="auto"/>
            </w:tcBorders>
            <w:shd w:val="clear" w:color="auto" w:fill="auto"/>
            <w:vAlign w:val="center"/>
          </w:tcPr>
          <w:p w:rsidR="0073700B" w:rsidRDefault="001A2FFC">
            <w:pPr>
              <w:jc w:val="center"/>
              <w:rPr>
                <w:bCs/>
                <w:color w:val="000000"/>
                <w:szCs w:val="21"/>
              </w:rPr>
            </w:pPr>
            <w:r>
              <w:rPr>
                <w:bCs/>
                <w:color w:val="000000"/>
                <w:szCs w:val="21"/>
              </w:rPr>
              <w:t>18&gt;</w:t>
            </w:r>
            <w:r>
              <w:rPr>
                <w:bCs/>
                <w:i/>
                <w:iCs/>
                <w:color w:val="000000"/>
                <w:szCs w:val="21"/>
              </w:rPr>
              <w:t>B</w:t>
            </w:r>
            <w:r>
              <w:rPr>
                <w:bCs/>
                <w:color w:val="000000"/>
                <w:szCs w:val="21"/>
              </w:rPr>
              <w:t>≥14</w:t>
            </w:r>
          </w:p>
        </w:tc>
        <w:tc>
          <w:tcPr>
            <w:tcW w:w="1134" w:type="dxa"/>
            <w:tcBorders>
              <w:bottom w:val="single" w:sz="8" w:space="0" w:color="auto"/>
            </w:tcBorders>
            <w:shd w:val="clear" w:color="auto" w:fill="auto"/>
            <w:vAlign w:val="center"/>
          </w:tcPr>
          <w:p w:rsidR="0073700B" w:rsidRDefault="001A2FFC">
            <w:pPr>
              <w:jc w:val="center"/>
              <w:rPr>
                <w:bCs/>
                <w:color w:val="000000"/>
                <w:szCs w:val="21"/>
              </w:rPr>
            </w:pPr>
            <w:r>
              <w:rPr>
                <w:bCs/>
                <w:color w:val="000000"/>
                <w:szCs w:val="21"/>
              </w:rPr>
              <w:t>14&gt;</w:t>
            </w:r>
            <w:r>
              <w:rPr>
                <w:bCs/>
                <w:i/>
                <w:iCs/>
                <w:color w:val="000000"/>
                <w:szCs w:val="21"/>
              </w:rPr>
              <w:t>B</w:t>
            </w:r>
            <w:r>
              <w:rPr>
                <w:bCs/>
                <w:color w:val="000000"/>
                <w:szCs w:val="21"/>
              </w:rPr>
              <w:t>≥9</w:t>
            </w:r>
          </w:p>
        </w:tc>
        <w:tc>
          <w:tcPr>
            <w:tcW w:w="1276" w:type="dxa"/>
            <w:tcBorders>
              <w:bottom w:val="single" w:sz="8" w:space="0" w:color="auto"/>
            </w:tcBorders>
            <w:shd w:val="clear" w:color="auto" w:fill="auto"/>
            <w:vAlign w:val="center"/>
          </w:tcPr>
          <w:p w:rsidR="0073700B" w:rsidRDefault="001A2FFC">
            <w:pPr>
              <w:jc w:val="center"/>
              <w:rPr>
                <w:bCs/>
                <w:color w:val="000000"/>
                <w:szCs w:val="21"/>
              </w:rPr>
            </w:pPr>
            <w:r>
              <w:rPr>
                <w:bCs/>
                <w:i/>
                <w:iCs/>
                <w:color w:val="000000"/>
                <w:szCs w:val="21"/>
              </w:rPr>
              <w:t>B</w:t>
            </w:r>
            <w:r>
              <w:rPr>
                <w:bCs/>
                <w:color w:val="000000"/>
                <w:szCs w:val="21"/>
              </w:rPr>
              <w:t>&lt;9</w:t>
            </w:r>
          </w:p>
        </w:tc>
        <w:tc>
          <w:tcPr>
            <w:tcW w:w="2484" w:type="dxa"/>
            <w:tcBorders>
              <w:bottom w:val="single" w:sz="8" w:space="0" w:color="auto"/>
              <w:right w:val="single" w:sz="8" w:space="0" w:color="auto"/>
            </w:tcBorders>
            <w:shd w:val="clear" w:color="auto" w:fill="auto"/>
            <w:vAlign w:val="center"/>
          </w:tcPr>
          <w:p w:rsidR="0073700B" w:rsidRDefault="001A2FFC">
            <w:pPr>
              <w:rPr>
                <w:bCs/>
                <w:color w:val="000000"/>
                <w:szCs w:val="21"/>
              </w:rPr>
            </w:pPr>
            <w:r>
              <w:rPr>
                <w:bCs/>
                <w:color w:val="000000"/>
                <w:szCs w:val="21"/>
              </w:rPr>
              <w:t>《公路隧道施工技术细则》</w:t>
            </w:r>
            <w:r>
              <w:rPr>
                <w:bCs/>
                <w:color w:val="000000"/>
                <w:szCs w:val="21"/>
              </w:rPr>
              <w:t>(JTG/T F60-2009)</w:t>
            </w:r>
          </w:p>
        </w:tc>
      </w:tr>
    </w:tbl>
    <w:p w:rsidR="0073700B" w:rsidRDefault="001A2FFC" w:rsidP="00F80BAC">
      <w:pPr>
        <w:tabs>
          <w:tab w:val="left" w:pos="312"/>
        </w:tabs>
        <w:spacing w:beforeLines="50" w:before="156" w:line="360" w:lineRule="auto"/>
        <w:ind w:firstLineChars="200" w:firstLine="480"/>
        <w:rPr>
          <w:bCs/>
          <w:sz w:val="24"/>
        </w:rPr>
      </w:pPr>
      <w:r>
        <w:rPr>
          <w:bCs/>
          <w:sz w:val="24"/>
        </w:rPr>
        <w:t>开挖跨度</w:t>
      </w:r>
      <w:r>
        <w:rPr>
          <w:bCs/>
          <w:i/>
          <w:iCs/>
          <w:sz w:val="24"/>
        </w:rPr>
        <w:t>B</w:t>
      </w:r>
      <w:r>
        <w:rPr>
          <w:bCs/>
          <w:sz w:val="24"/>
          <w:vertAlign w:val="subscript"/>
        </w:rPr>
        <w:t>2</w:t>
      </w:r>
      <w:r>
        <w:rPr>
          <w:bCs/>
          <w:sz w:val="24"/>
        </w:rPr>
        <w:t>越大，隧道断面开挖持续时间越长，支护结构难以快速封闭成环，安全稳定性问题越突出，风险也越大。考虑到公路隧道实际工程，本标准参考《公路隧道施工技术细则》</w:t>
      </w:r>
      <w:r>
        <w:rPr>
          <w:bCs/>
          <w:sz w:val="24"/>
        </w:rPr>
        <w:t>(JTG/T F60-2009)</w:t>
      </w:r>
      <w:r>
        <w:rPr>
          <w:bCs/>
          <w:sz w:val="24"/>
        </w:rPr>
        <w:fldChar w:fldCharType="begin"/>
      </w:r>
      <w:r>
        <w:rPr>
          <w:bCs/>
          <w:sz w:val="24"/>
        </w:rPr>
        <w:instrText xml:space="preserve"> ADDIN NE.Ref.{BA9E0449-74E2-4EB5-8E0B-85424E00CF94}</w:instrText>
      </w:r>
      <w:r>
        <w:rPr>
          <w:bCs/>
          <w:sz w:val="24"/>
        </w:rPr>
        <w:fldChar w:fldCharType="separate"/>
      </w:r>
      <w:r>
        <w:rPr>
          <w:color w:val="080000"/>
          <w:kern w:val="0"/>
          <w:sz w:val="24"/>
          <w:szCs w:val="24"/>
          <w:vertAlign w:val="superscript"/>
        </w:rPr>
        <w:t>[14]</w:t>
      </w:r>
      <w:r>
        <w:rPr>
          <w:bCs/>
          <w:sz w:val="24"/>
        </w:rPr>
        <w:fldChar w:fldCharType="end"/>
      </w:r>
      <w:r>
        <w:rPr>
          <w:bCs/>
          <w:sz w:val="24"/>
        </w:rPr>
        <w:t>中隧道开挖跨度分类规定。</w:t>
      </w:r>
    </w:p>
    <w:p w:rsidR="0073700B" w:rsidRDefault="001A2FFC" w:rsidP="00F80BAC">
      <w:pPr>
        <w:tabs>
          <w:tab w:val="left" w:pos="312"/>
        </w:tabs>
        <w:spacing w:beforeLines="50" w:before="156" w:line="360" w:lineRule="auto"/>
        <w:ind w:firstLineChars="200" w:firstLine="480"/>
        <w:rPr>
          <w:bCs/>
          <w:sz w:val="24"/>
        </w:rPr>
      </w:pPr>
      <w:r>
        <w:rPr>
          <w:bCs/>
          <w:sz w:val="24"/>
        </w:rPr>
        <w:t>b</w:t>
      </w:r>
      <w:r>
        <w:rPr>
          <w:rFonts w:hint="eastAsia"/>
          <w:bCs/>
          <w:sz w:val="24"/>
        </w:rPr>
        <w:t>）</w:t>
      </w:r>
      <w:r>
        <w:rPr>
          <w:bCs/>
          <w:sz w:val="24"/>
        </w:rPr>
        <w:t>地质条件</w:t>
      </w:r>
      <w:r>
        <w:rPr>
          <w:bCs/>
          <w:i/>
          <w:iCs/>
          <w:sz w:val="24"/>
        </w:rPr>
        <w:t>G</w:t>
      </w:r>
      <w:r>
        <w:rPr>
          <w:bCs/>
          <w:sz w:val="24"/>
        </w:rPr>
        <w:t>，主要考虑围岩情况、预测瓦斯涌出量、预测涌水量、断层破碎带宽度、硬岩强度应力比、岩溶发育程度，这些因素是隧道发生塌方、涌水突泥、瓦斯爆炸、岩爆等风险事件的主要客观条件。</w:t>
      </w:r>
    </w:p>
    <w:p w:rsidR="0073700B" w:rsidRDefault="001A2FFC" w:rsidP="00F80BAC">
      <w:pPr>
        <w:tabs>
          <w:tab w:val="left" w:pos="312"/>
        </w:tabs>
        <w:spacing w:beforeLines="50" w:before="156" w:line="360" w:lineRule="auto"/>
        <w:ind w:firstLineChars="200" w:firstLine="480"/>
        <w:rPr>
          <w:bCs/>
          <w:sz w:val="24"/>
          <w:szCs w:val="24"/>
        </w:rPr>
      </w:pPr>
      <w:r>
        <w:rPr>
          <w:bCs/>
          <w:sz w:val="24"/>
          <w:szCs w:val="24"/>
        </w:rPr>
        <w:t>围</w:t>
      </w:r>
      <w:r>
        <w:rPr>
          <w:bCs/>
          <w:sz w:val="24"/>
          <w:szCs w:val="24"/>
        </w:rPr>
        <w:t>岩情况</w:t>
      </w:r>
      <w:r>
        <w:rPr>
          <w:bCs/>
          <w:i/>
          <w:iCs/>
          <w:sz w:val="24"/>
          <w:szCs w:val="24"/>
        </w:rPr>
        <w:t>G</w:t>
      </w:r>
      <w:r>
        <w:rPr>
          <w:bCs/>
          <w:sz w:val="24"/>
          <w:szCs w:val="24"/>
          <w:vertAlign w:val="subscript"/>
        </w:rPr>
        <w:t>1</w:t>
      </w:r>
      <w:r>
        <w:rPr>
          <w:bCs/>
          <w:sz w:val="24"/>
          <w:szCs w:val="24"/>
        </w:rPr>
        <w:t>，参考《公路工程地质勘察规范》（</w:t>
      </w:r>
      <w:r>
        <w:rPr>
          <w:bCs/>
          <w:sz w:val="24"/>
          <w:szCs w:val="24"/>
        </w:rPr>
        <w:t>JTG C20-2011</w:t>
      </w:r>
      <w:r>
        <w:rPr>
          <w:bCs/>
          <w:sz w:val="24"/>
          <w:szCs w:val="24"/>
        </w:rPr>
        <w:t>）</w:t>
      </w:r>
      <w:r>
        <w:rPr>
          <w:bCs/>
          <w:sz w:val="24"/>
          <w:szCs w:val="24"/>
        </w:rPr>
        <w:fldChar w:fldCharType="begin"/>
      </w:r>
      <w:r>
        <w:rPr>
          <w:bCs/>
          <w:sz w:val="24"/>
          <w:szCs w:val="24"/>
        </w:rPr>
        <w:instrText xml:space="preserve"> ADDIN NE.Ref.{BBF41EA4-103F-4727-B74F-BC1C0A2ACB2E}</w:instrText>
      </w:r>
      <w:r>
        <w:rPr>
          <w:bCs/>
          <w:sz w:val="24"/>
          <w:szCs w:val="24"/>
        </w:rPr>
        <w:fldChar w:fldCharType="separate"/>
      </w:r>
      <w:r>
        <w:rPr>
          <w:color w:val="080000"/>
          <w:kern w:val="0"/>
          <w:sz w:val="24"/>
          <w:szCs w:val="24"/>
          <w:vertAlign w:val="superscript"/>
        </w:rPr>
        <w:t>[10]</w:t>
      </w:r>
      <w:r>
        <w:rPr>
          <w:bCs/>
          <w:sz w:val="24"/>
          <w:szCs w:val="24"/>
        </w:rPr>
        <w:fldChar w:fldCharType="end"/>
      </w:r>
      <w:r>
        <w:rPr>
          <w:bCs/>
          <w:sz w:val="24"/>
          <w:szCs w:val="24"/>
        </w:rPr>
        <w:t>，隧道的</w:t>
      </w:r>
      <w:bookmarkStart w:id="21" w:name="_Hlk536173235"/>
      <w:r>
        <w:rPr>
          <w:bCs/>
          <w:sz w:val="24"/>
          <w:szCs w:val="24"/>
        </w:rPr>
        <w:t>围岩等级</w:t>
      </w:r>
      <w:bookmarkEnd w:id="21"/>
      <w:r>
        <w:rPr>
          <w:bCs/>
          <w:sz w:val="24"/>
          <w:szCs w:val="24"/>
        </w:rPr>
        <w:t>是工程地质勘察的重要内容，是影响隧道围岩稳定性的关键性指标。一般来说，围岩等级越低，围岩稳定性越差，对应的施工风险越高。大量工程经验表明，整条隧道中</w:t>
      </w:r>
      <w:r>
        <w:rPr>
          <w:bCs/>
          <w:sz w:val="24"/>
          <w:szCs w:val="24"/>
        </w:rPr>
        <w:t>V</w:t>
      </w:r>
      <w:r>
        <w:rPr>
          <w:bCs/>
          <w:sz w:val="24"/>
          <w:szCs w:val="24"/>
        </w:rPr>
        <w:t>级围岩施工难度大，容易诱发坍塌事故，本标准将</w:t>
      </w:r>
      <w:r>
        <w:rPr>
          <w:rFonts w:ascii="宋体" w:hAnsi="宋体" w:cs="宋体" w:hint="eastAsia"/>
          <w:bCs/>
          <w:sz w:val="24"/>
          <w:szCs w:val="24"/>
        </w:rPr>
        <w:t>Ⅴ</w:t>
      </w:r>
      <w:r>
        <w:rPr>
          <w:bCs/>
          <w:sz w:val="24"/>
          <w:szCs w:val="24"/>
        </w:rPr>
        <w:t>级围岩连续长度占隧道长度的比例作为评估指标，并将该指标比例大小分别定为</w:t>
      </w:r>
      <w:r>
        <w:rPr>
          <w:bCs/>
          <w:sz w:val="24"/>
          <w:szCs w:val="24"/>
        </w:rPr>
        <w:t>70%</w:t>
      </w:r>
      <w:r>
        <w:rPr>
          <w:bCs/>
          <w:sz w:val="24"/>
          <w:szCs w:val="24"/>
        </w:rPr>
        <w:t>以下、</w:t>
      </w:r>
      <w:r>
        <w:rPr>
          <w:bCs/>
          <w:sz w:val="24"/>
          <w:szCs w:val="24"/>
        </w:rPr>
        <w:t>40%~70%</w:t>
      </w:r>
      <w:r>
        <w:rPr>
          <w:bCs/>
          <w:sz w:val="24"/>
          <w:szCs w:val="24"/>
        </w:rPr>
        <w:t>、</w:t>
      </w:r>
      <w:r>
        <w:rPr>
          <w:bCs/>
          <w:sz w:val="24"/>
          <w:szCs w:val="24"/>
        </w:rPr>
        <w:t>20%~40%</w:t>
      </w:r>
      <w:r>
        <w:rPr>
          <w:bCs/>
          <w:sz w:val="24"/>
          <w:szCs w:val="24"/>
        </w:rPr>
        <w:t>和</w:t>
      </w:r>
      <w:r>
        <w:rPr>
          <w:bCs/>
          <w:sz w:val="24"/>
          <w:szCs w:val="24"/>
        </w:rPr>
        <w:t>20%</w:t>
      </w:r>
      <w:r>
        <w:rPr>
          <w:bCs/>
          <w:sz w:val="24"/>
          <w:szCs w:val="24"/>
        </w:rPr>
        <w:t>以上四档评分，它是能够反映隧道工程总体施工风险的一个主要因素。</w:t>
      </w:r>
    </w:p>
    <w:p w:rsidR="0073700B" w:rsidRDefault="001A2FFC" w:rsidP="00F80BAC">
      <w:pPr>
        <w:tabs>
          <w:tab w:val="left" w:pos="312"/>
        </w:tabs>
        <w:spacing w:beforeLines="50" w:before="156" w:line="360" w:lineRule="auto"/>
        <w:ind w:firstLineChars="200" w:firstLine="480"/>
        <w:rPr>
          <w:bCs/>
          <w:sz w:val="24"/>
          <w:szCs w:val="21"/>
        </w:rPr>
      </w:pPr>
      <w:r>
        <w:rPr>
          <w:bCs/>
          <w:sz w:val="24"/>
          <w:szCs w:val="21"/>
        </w:rPr>
        <w:t>预测瓦斯涌出量</w:t>
      </w:r>
      <w:r>
        <w:rPr>
          <w:bCs/>
          <w:i/>
          <w:iCs/>
          <w:sz w:val="24"/>
          <w:szCs w:val="21"/>
        </w:rPr>
        <w:t>G</w:t>
      </w:r>
      <w:r>
        <w:rPr>
          <w:bCs/>
          <w:sz w:val="24"/>
          <w:szCs w:val="21"/>
          <w:vertAlign w:val="subscript"/>
        </w:rPr>
        <w:t>2</w:t>
      </w:r>
      <w:r>
        <w:rPr>
          <w:bCs/>
          <w:sz w:val="24"/>
          <w:szCs w:val="21"/>
        </w:rPr>
        <w:t>，指单位时间内涌出的瓦斯量。</w:t>
      </w:r>
      <w:r>
        <w:rPr>
          <w:bCs/>
          <w:color w:val="000000"/>
          <w:sz w:val="24"/>
          <w:szCs w:val="21"/>
        </w:rPr>
        <w:t>本标准参考《铁路隧道设计规范》（</w:t>
      </w:r>
      <w:r>
        <w:rPr>
          <w:bCs/>
          <w:color w:val="000000"/>
          <w:sz w:val="24"/>
          <w:szCs w:val="21"/>
        </w:rPr>
        <w:t>TB 10003-</w:t>
      </w:r>
      <w:r>
        <w:rPr>
          <w:bCs/>
          <w:sz w:val="24"/>
        </w:rPr>
        <w:t>2016</w:t>
      </w:r>
      <w:r>
        <w:rPr>
          <w:bCs/>
          <w:color w:val="000000"/>
          <w:sz w:val="24"/>
          <w:szCs w:val="21"/>
        </w:rPr>
        <w:t>）</w:t>
      </w:r>
      <w:r>
        <w:rPr>
          <w:bCs/>
          <w:color w:val="000000"/>
          <w:sz w:val="24"/>
          <w:szCs w:val="21"/>
        </w:rPr>
        <w:fldChar w:fldCharType="begin"/>
      </w:r>
      <w:r>
        <w:rPr>
          <w:bCs/>
          <w:color w:val="000000"/>
          <w:sz w:val="24"/>
          <w:szCs w:val="21"/>
        </w:rPr>
        <w:instrText xml:space="preserve"> ADDIN NE.Ref.{734F1C72-CD73-48E4-A715-1394E729E460}</w:instrText>
      </w:r>
      <w:r>
        <w:rPr>
          <w:bCs/>
          <w:color w:val="000000"/>
          <w:sz w:val="24"/>
          <w:szCs w:val="21"/>
        </w:rPr>
        <w:fldChar w:fldCharType="separate"/>
      </w:r>
      <w:r>
        <w:rPr>
          <w:color w:val="080000"/>
          <w:kern w:val="0"/>
          <w:sz w:val="24"/>
          <w:szCs w:val="24"/>
          <w:vertAlign w:val="superscript"/>
        </w:rPr>
        <w:t>[15]</w:t>
      </w:r>
      <w:r>
        <w:rPr>
          <w:bCs/>
          <w:color w:val="000000"/>
          <w:sz w:val="24"/>
          <w:szCs w:val="21"/>
        </w:rPr>
        <w:fldChar w:fldCharType="end"/>
      </w:r>
      <w:r>
        <w:rPr>
          <w:bCs/>
          <w:color w:val="000000"/>
          <w:sz w:val="24"/>
          <w:szCs w:val="21"/>
        </w:rPr>
        <w:t>，将瓦斯涌出量划分为</w:t>
      </w:r>
      <w:r>
        <w:rPr>
          <w:bCs/>
          <w:sz w:val="24"/>
          <w:szCs w:val="21"/>
        </w:rPr>
        <w:t>大于</w:t>
      </w:r>
      <w:r>
        <w:rPr>
          <w:bCs/>
          <w:sz w:val="24"/>
          <w:szCs w:val="21"/>
        </w:rPr>
        <w:t>1m</w:t>
      </w:r>
      <w:r>
        <w:rPr>
          <w:bCs/>
          <w:sz w:val="24"/>
          <w:szCs w:val="21"/>
          <w:vertAlign w:val="superscript"/>
        </w:rPr>
        <w:t>3</w:t>
      </w:r>
      <w:r>
        <w:rPr>
          <w:bCs/>
          <w:sz w:val="24"/>
          <w:szCs w:val="21"/>
        </w:rPr>
        <w:t>/min</w:t>
      </w:r>
      <w:r>
        <w:rPr>
          <w:bCs/>
          <w:sz w:val="24"/>
          <w:szCs w:val="21"/>
        </w:rPr>
        <w:t>、</w:t>
      </w:r>
      <w:r>
        <w:rPr>
          <w:bCs/>
          <w:sz w:val="24"/>
          <w:szCs w:val="21"/>
        </w:rPr>
        <w:t>0.5 m</w:t>
      </w:r>
      <w:r>
        <w:rPr>
          <w:bCs/>
          <w:sz w:val="24"/>
          <w:szCs w:val="21"/>
          <w:vertAlign w:val="superscript"/>
        </w:rPr>
        <w:t>3</w:t>
      </w:r>
      <w:r>
        <w:rPr>
          <w:bCs/>
          <w:sz w:val="24"/>
          <w:szCs w:val="21"/>
        </w:rPr>
        <w:t>/min ~1m</w:t>
      </w:r>
      <w:r>
        <w:rPr>
          <w:bCs/>
          <w:sz w:val="24"/>
          <w:szCs w:val="21"/>
          <w:vertAlign w:val="superscript"/>
        </w:rPr>
        <w:t>3</w:t>
      </w:r>
      <w:r>
        <w:rPr>
          <w:bCs/>
          <w:sz w:val="24"/>
          <w:szCs w:val="21"/>
        </w:rPr>
        <w:t>/min</w:t>
      </w:r>
      <w:r>
        <w:rPr>
          <w:bCs/>
          <w:sz w:val="24"/>
          <w:szCs w:val="21"/>
        </w:rPr>
        <w:t>、</w:t>
      </w:r>
      <w:r>
        <w:rPr>
          <w:bCs/>
          <w:sz w:val="24"/>
          <w:szCs w:val="21"/>
        </w:rPr>
        <w:t>0.5m</w:t>
      </w:r>
      <w:r>
        <w:rPr>
          <w:bCs/>
          <w:sz w:val="24"/>
          <w:szCs w:val="21"/>
          <w:vertAlign w:val="superscript"/>
        </w:rPr>
        <w:t>3</w:t>
      </w:r>
      <w:r>
        <w:rPr>
          <w:bCs/>
          <w:sz w:val="24"/>
          <w:szCs w:val="21"/>
        </w:rPr>
        <w:t>/min</w:t>
      </w:r>
      <w:r>
        <w:rPr>
          <w:bCs/>
          <w:sz w:val="24"/>
          <w:szCs w:val="21"/>
        </w:rPr>
        <w:t>以下和不存在瓦斯四个等级。</w:t>
      </w:r>
    </w:p>
    <w:p w:rsidR="0073700B" w:rsidRDefault="001A2FFC" w:rsidP="00F80BAC">
      <w:pPr>
        <w:tabs>
          <w:tab w:val="left" w:pos="312"/>
        </w:tabs>
        <w:spacing w:beforeLines="50" w:before="156" w:line="360" w:lineRule="auto"/>
        <w:ind w:firstLineChars="200" w:firstLine="480"/>
        <w:rPr>
          <w:bCs/>
          <w:sz w:val="24"/>
          <w:szCs w:val="21"/>
        </w:rPr>
      </w:pPr>
      <w:r>
        <w:rPr>
          <w:bCs/>
          <w:sz w:val="24"/>
          <w:szCs w:val="21"/>
        </w:rPr>
        <w:lastRenderedPageBreak/>
        <w:t>预测涌水量</w:t>
      </w:r>
      <w:r>
        <w:rPr>
          <w:bCs/>
          <w:i/>
          <w:iCs/>
          <w:sz w:val="24"/>
          <w:szCs w:val="21"/>
        </w:rPr>
        <w:t>G</w:t>
      </w:r>
      <w:r>
        <w:rPr>
          <w:bCs/>
          <w:sz w:val="24"/>
          <w:szCs w:val="21"/>
          <w:vertAlign w:val="subscript"/>
        </w:rPr>
        <w:t>3</w:t>
      </w:r>
      <w:r>
        <w:rPr>
          <w:bCs/>
          <w:sz w:val="24"/>
          <w:szCs w:val="20"/>
        </w:rPr>
        <w:fldChar w:fldCharType="begin"/>
      </w:r>
      <w:r>
        <w:rPr>
          <w:bCs/>
          <w:sz w:val="24"/>
          <w:szCs w:val="20"/>
        </w:rPr>
        <w:instrText xml:space="preserve"> ADDIN NE.Ref.{E60F49A6-60A9-4D6E-88BB-9A37A43F8B36}</w:instrText>
      </w:r>
      <w:r>
        <w:rPr>
          <w:bCs/>
          <w:sz w:val="24"/>
          <w:szCs w:val="20"/>
        </w:rPr>
        <w:fldChar w:fldCharType="separate"/>
      </w:r>
      <w:r>
        <w:rPr>
          <w:color w:val="080000"/>
          <w:kern w:val="0"/>
          <w:sz w:val="24"/>
          <w:szCs w:val="24"/>
          <w:vertAlign w:val="superscript"/>
        </w:rPr>
        <w:t>[9]</w:t>
      </w:r>
      <w:r>
        <w:rPr>
          <w:bCs/>
          <w:sz w:val="24"/>
          <w:szCs w:val="20"/>
        </w:rPr>
        <w:fldChar w:fldCharType="end"/>
      </w:r>
      <w:r>
        <w:rPr>
          <w:bCs/>
          <w:sz w:val="24"/>
          <w:szCs w:val="21"/>
        </w:rPr>
        <w:t>，参考《公路工程地质勘察规范》（</w:t>
      </w:r>
      <w:r>
        <w:rPr>
          <w:bCs/>
          <w:sz w:val="24"/>
          <w:szCs w:val="21"/>
        </w:rPr>
        <w:t>JTG C20-2011</w:t>
      </w:r>
      <w:r>
        <w:rPr>
          <w:bCs/>
          <w:sz w:val="24"/>
          <w:szCs w:val="21"/>
        </w:rPr>
        <w:t>）</w:t>
      </w:r>
      <w:r>
        <w:rPr>
          <w:bCs/>
          <w:sz w:val="24"/>
          <w:szCs w:val="21"/>
        </w:rPr>
        <w:fldChar w:fldCharType="begin"/>
      </w:r>
      <w:r>
        <w:rPr>
          <w:bCs/>
          <w:sz w:val="24"/>
          <w:szCs w:val="21"/>
        </w:rPr>
        <w:instrText xml:space="preserve"> ADDIN NE.Ref.{E4C42DAF-2880-4107-8E1B-EAE0C83C96B5}</w:instrText>
      </w:r>
      <w:r>
        <w:rPr>
          <w:bCs/>
          <w:sz w:val="24"/>
          <w:szCs w:val="21"/>
        </w:rPr>
        <w:fldChar w:fldCharType="separate"/>
      </w:r>
      <w:r>
        <w:rPr>
          <w:color w:val="080000"/>
          <w:kern w:val="0"/>
          <w:sz w:val="24"/>
          <w:szCs w:val="24"/>
          <w:vertAlign w:val="superscript"/>
        </w:rPr>
        <w:t>[10]</w:t>
      </w:r>
      <w:r>
        <w:rPr>
          <w:bCs/>
          <w:sz w:val="24"/>
          <w:szCs w:val="21"/>
        </w:rPr>
        <w:fldChar w:fldCharType="end"/>
      </w:r>
      <w:r>
        <w:rPr>
          <w:bCs/>
          <w:sz w:val="24"/>
          <w:szCs w:val="21"/>
        </w:rPr>
        <w:t>，隧道涌水量是影响隧道涌水突泥风险的关键因素，可以根据前期地勘资料和超前地质预报资料对涌水量进行定量估计，隧道预测涌水量越大，隧道发生涌水突泥的风险越大。</w:t>
      </w:r>
    </w:p>
    <w:p w:rsidR="0073700B" w:rsidRDefault="001A2FFC" w:rsidP="00F80BAC">
      <w:pPr>
        <w:tabs>
          <w:tab w:val="left" w:pos="312"/>
        </w:tabs>
        <w:spacing w:beforeLines="50" w:before="156" w:line="360" w:lineRule="auto"/>
        <w:ind w:firstLineChars="200" w:firstLine="480"/>
        <w:rPr>
          <w:bCs/>
          <w:sz w:val="24"/>
          <w:szCs w:val="21"/>
        </w:rPr>
      </w:pPr>
      <w:r>
        <w:rPr>
          <w:bCs/>
          <w:sz w:val="24"/>
          <w:szCs w:val="21"/>
        </w:rPr>
        <w:t>断层破碎带宽度</w:t>
      </w:r>
      <w:r>
        <w:rPr>
          <w:bCs/>
          <w:i/>
          <w:iCs/>
          <w:sz w:val="24"/>
          <w:szCs w:val="21"/>
        </w:rPr>
        <w:t>G</w:t>
      </w:r>
      <w:r>
        <w:rPr>
          <w:bCs/>
          <w:sz w:val="24"/>
          <w:szCs w:val="21"/>
          <w:vertAlign w:val="subscript"/>
        </w:rPr>
        <w:t>4</w:t>
      </w:r>
      <w:r>
        <w:rPr>
          <w:bCs/>
          <w:sz w:val="24"/>
          <w:szCs w:val="21"/>
        </w:rPr>
        <w:t>，参考《工程岩体分级标准》（</w:t>
      </w:r>
      <w:r>
        <w:rPr>
          <w:bCs/>
          <w:sz w:val="24"/>
          <w:szCs w:val="21"/>
        </w:rPr>
        <w:t>GB/T 5021</w:t>
      </w:r>
      <w:r>
        <w:rPr>
          <w:bCs/>
          <w:sz w:val="24"/>
          <w:szCs w:val="21"/>
        </w:rPr>
        <w:t>8-2014</w:t>
      </w:r>
      <w:r>
        <w:rPr>
          <w:bCs/>
          <w:sz w:val="24"/>
          <w:szCs w:val="21"/>
        </w:rPr>
        <w:t>）</w:t>
      </w:r>
      <w:r>
        <w:rPr>
          <w:bCs/>
          <w:sz w:val="24"/>
          <w:szCs w:val="21"/>
        </w:rPr>
        <w:fldChar w:fldCharType="begin"/>
      </w:r>
      <w:r>
        <w:rPr>
          <w:bCs/>
          <w:sz w:val="24"/>
          <w:szCs w:val="21"/>
        </w:rPr>
        <w:instrText xml:space="preserve"> ADDIN NE.Ref.{44AC78F9-1BBB-420C-8212-B52DA094850C}</w:instrText>
      </w:r>
      <w:r>
        <w:rPr>
          <w:bCs/>
          <w:sz w:val="24"/>
          <w:szCs w:val="21"/>
        </w:rPr>
        <w:fldChar w:fldCharType="separate"/>
      </w:r>
      <w:r>
        <w:rPr>
          <w:color w:val="080000"/>
          <w:kern w:val="0"/>
          <w:sz w:val="24"/>
          <w:szCs w:val="24"/>
          <w:vertAlign w:val="superscript"/>
        </w:rPr>
        <w:t>[11]</w:t>
      </w:r>
      <w:r>
        <w:rPr>
          <w:bCs/>
          <w:sz w:val="24"/>
          <w:szCs w:val="21"/>
        </w:rPr>
        <w:fldChar w:fldCharType="end"/>
      </w:r>
      <w:r>
        <w:rPr>
          <w:bCs/>
          <w:sz w:val="24"/>
          <w:szCs w:val="21"/>
        </w:rPr>
        <w:t>，一般而言，断层及其影响带内，岩体应力较低，近影响带岩体局部可能存在应力集中现象，易引起塌方、岩爆等事故。此外，断层破碎带往往岩石较为破碎，围岩等级较高，是地表水、地下水流动的天然通道，是引发坍塌、大变形等灾害的主要因素。本标准根据</w:t>
      </w:r>
      <w:bookmarkStart w:id="22" w:name="_Hlk536175351"/>
      <w:r>
        <w:rPr>
          <w:bCs/>
          <w:sz w:val="24"/>
          <w:szCs w:val="21"/>
        </w:rPr>
        <w:t>断层破碎带</w:t>
      </w:r>
      <w:bookmarkEnd w:id="22"/>
      <w:r>
        <w:rPr>
          <w:bCs/>
          <w:sz w:val="24"/>
          <w:szCs w:val="21"/>
        </w:rPr>
        <w:t>的宽度分类，宽度分级沿袭现行指南，宽度越大，则在断层破碎带及其影响带中的施工周期越长，施工风险越高。</w:t>
      </w:r>
    </w:p>
    <w:p w:rsidR="0073700B" w:rsidRDefault="001A2FFC" w:rsidP="00F80BAC">
      <w:pPr>
        <w:tabs>
          <w:tab w:val="left" w:pos="312"/>
        </w:tabs>
        <w:spacing w:beforeLines="50" w:before="156" w:line="360" w:lineRule="auto"/>
        <w:ind w:firstLineChars="200" w:firstLine="480"/>
        <w:rPr>
          <w:bCs/>
          <w:sz w:val="24"/>
          <w:szCs w:val="21"/>
        </w:rPr>
      </w:pPr>
      <w:bookmarkStart w:id="23" w:name="_Hlk536181907"/>
      <w:r>
        <w:rPr>
          <w:bCs/>
          <w:sz w:val="24"/>
          <w:szCs w:val="21"/>
        </w:rPr>
        <w:t>硬岩强度应力比</w:t>
      </w:r>
      <w:r>
        <w:rPr>
          <w:bCs/>
          <w:i/>
          <w:iCs/>
          <w:sz w:val="24"/>
          <w:szCs w:val="21"/>
        </w:rPr>
        <w:t>G</w:t>
      </w:r>
      <w:r>
        <w:rPr>
          <w:bCs/>
          <w:sz w:val="24"/>
          <w:szCs w:val="21"/>
          <w:vertAlign w:val="subscript"/>
        </w:rPr>
        <w:t>5</w:t>
      </w:r>
      <w:r>
        <w:rPr>
          <w:bCs/>
          <w:sz w:val="24"/>
          <w:szCs w:val="21"/>
        </w:rPr>
        <w:t>，</w:t>
      </w:r>
      <w:r>
        <w:rPr>
          <w:bCs/>
          <w:sz w:val="24"/>
        </w:rPr>
        <w:t>为岩石饱和单轴抗</w:t>
      </w:r>
      <w:r>
        <w:rPr>
          <w:bCs/>
          <w:sz w:val="24"/>
        </w:rPr>
        <w:t>压强度与垂直洞轴线方向的最大初始应力之比，是判断岩爆倾向性的常用指标。</w:t>
      </w:r>
      <w:r>
        <w:rPr>
          <w:bCs/>
          <w:sz w:val="24"/>
          <w:szCs w:val="21"/>
        </w:rPr>
        <w:t>参照《水力发电工程地质勘察规范》（</w:t>
      </w:r>
      <w:r>
        <w:rPr>
          <w:bCs/>
          <w:sz w:val="24"/>
          <w:szCs w:val="21"/>
        </w:rPr>
        <w:t>GB 50287-2016</w:t>
      </w:r>
      <w:r>
        <w:rPr>
          <w:bCs/>
          <w:sz w:val="24"/>
          <w:szCs w:val="21"/>
        </w:rPr>
        <w:t>）</w:t>
      </w:r>
      <w:r>
        <w:rPr>
          <w:bCs/>
          <w:sz w:val="24"/>
          <w:szCs w:val="21"/>
        </w:rPr>
        <w:fldChar w:fldCharType="begin"/>
      </w:r>
      <w:r>
        <w:rPr>
          <w:bCs/>
          <w:sz w:val="24"/>
          <w:szCs w:val="21"/>
        </w:rPr>
        <w:instrText xml:space="preserve"> ADDIN NE.Ref.{F5DD70CA-6624-4948-B3B5-5F09AD64F0EF}</w:instrText>
      </w:r>
      <w:r>
        <w:rPr>
          <w:bCs/>
          <w:sz w:val="24"/>
          <w:szCs w:val="21"/>
        </w:rPr>
        <w:fldChar w:fldCharType="separate"/>
      </w:r>
      <w:r>
        <w:rPr>
          <w:color w:val="080000"/>
          <w:kern w:val="0"/>
          <w:sz w:val="24"/>
          <w:szCs w:val="24"/>
          <w:vertAlign w:val="superscript"/>
        </w:rPr>
        <w:t>[12]</w:t>
      </w:r>
      <w:r>
        <w:rPr>
          <w:bCs/>
          <w:sz w:val="24"/>
          <w:szCs w:val="21"/>
        </w:rPr>
        <w:fldChar w:fldCharType="end"/>
      </w:r>
      <w:r>
        <w:rPr>
          <w:bCs/>
          <w:sz w:val="24"/>
          <w:szCs w:val="21"/>
        </w:rPr>
        <w:t>中岩体初始地应力的分级</w:t>
      </w:r>
      <w:r>
        <w:rPr>
          <w:bCs/>
          <w:sz w:val="24"/>
          <w:szCs w:val="21"/>
        </w:rPr>
        <w:t>(</w:t>
      </w:r>
      <w:r>
        <w:rPr>
          <w:bCs/>
          <w:sz w:val="24"/>
          <w:szCs w:val="21"/>
        </w:rPr>
        <w:t>见</w:t>
      </w:r>
      <w:r>
        <w:fldChar w:fldCharType="begin"/>
      </w:r>
      <w:r>
        <w:instrText xml:space="preserve"> REF _Ref25578798 \h  \* MERGEFORMAT </w:instrText>
      </w:r>
      <w:r>
        <w:fldChar w:fldCharType="separate"/>
      </w:r>
      <w:r>
        <w:rPr>
          <w:bCs/>
          <w:sz w:val="24"/>
          <w:szCs w:val="24"/>
        </w:rPr>
        <w:t>表</w:t>
      </w:r>
      <w:r>
        <w:rPr>
          <w:bCs/>
          <w:sz w:val="24"/>
          <w:szCs w:val="24"/>
        </w:rPr>
        <w:t>5</w:t>
      </w:r>
      <w:r>
        <w:rPr>
          <w:bCs/>
          <w:sz w:val="24"/>
          <w:szCs w:val="24"/>
        </w:rPr>
        <w:noBreakHyphen/>
        <w:t>2</w:t>
      </w:r>
      <w:r>
        <w:rPr>
          <w:bCs/>
          <w:sz w:val="24"/>
          <w:szCs w:val="24"/>
        </w:rPr>
        <w:fldChar w:fldCharType="end"/>
      </w:r>
      <w:r>
        <w:rPr>
          <w:bCs/>
          <w:sz w:val="24"/>
          <w:szCs w:val="21"/>
        </w:rPr>
        <w:t>)</w:t>
      </w:r>
      <w:r>
        <w:rPr>
          <w:bCs/>
          <w:sz w:val="24"/>
          <w:szCs w:val="21"/>
        </w:rPr>
        <w:t>，将强度应力比分为四</w:t>
      </w:r>
      <w:r>
        <w:rPr>
          <w:bCs/>
          <w:sz w:val="24"/>
          <w:szCs w:val="21"/>
        </w:rPr>
        <w:t>个等级，强度应力比值越小，</w:t>
      </w:r>
      <w:r>
        <w:rPr>
          <w:bCs/>
          <w:sz w:val="24"/>
        </w:rPr>
        <w:t>发生岩爆的风险越高</w:t>
      </w:r>
      <w:r>
        <w:rPr>
          <w:bCs/>
          <w:sz w:val="24"/>
          <w:szCs w:val="21"/>
        </w:rPr>
        <w:t>。</w:t>
      </w:r>
      <w:bookmarkEnd w:id="23"/>
    </w:p>
    <w:p w:rsidR="0073700B" w:rsidRDefault="001A2FFC">
      <w:pPr>
        <w:pStyle w:val="a6"/>
        <w:rPr>
          <w:rFonts w:ascii="黑体" w:eastAsia="黑体" w:hAnsi="黑体"/>
          <w:b w:val="0"/>
          <w:bCs/>
        </w:rPr>
      </w:pPr>
      <w:bookmarkStart w:id="24" w:name="_Ref25578798"/>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5</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2</w:t>
      </w:r>
      <w:r>
        <w:rPr>
          <w:rFonts w:ascii="黑体" w:eastAsia="黑体" w:hAnsi="黑体"/>
          <w:b w:val="0"/>
          <w:bCs/>
        </w:rPr>
        <w:fldChar w:fldCharType="end"/>
      </w:r>
      <w:bookmarkEnd w:id="24"/>
      <w:r>
        <w:rPr>
          <w:rFonts w:ascii="黑体" w:eastAsia="黑体" w:hAnsi="黑体"/>
          <w:b w:val="0"/>
          <w:bCs/>
        </w:rPr>
        <w:t xml:space="preserve">  </w:t>
      </w:r>
      <w:bookmarkStart w:id="25" w:name="_Hlk21357866"/>
      <w:r>
        <w:rPr>
          <w:rFonts w:ascii="黑体" w:eastAsia="黑体" w:hAnsi="黑体"/>
          <w:b w:val="0"/>
          <w:bCs/>
        </w:rPr>
        <w:t>岩体初始地应力的分级</w:t>
      </w:r>
      <w:bookmarkEnd w:id="25"/>
    </w:p>
    <w:tbl>
      <w:tblPr>
        <w:tblStyle w:val="af1"/>
        <w:tblW w:w="8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09"/>
        <w:gridCol w:w="2933"/>
        <w:gridCol w:w="4044"/>
      </w:tblGrid>
      <w:tr w:rsidR="0073700B">
        <w:trPr>
          <w:trHeight w:val="592"/>
          <w:jc w:val="center"/>
        </w:trPr>
        <w:tc>
          <w:tcPr>
            <w:tcW w:w="1309" w:type="dxa"/>
            <w:tcBorders>
              <w:top w:val="single" w:sz="8" w:space="0" w:color="auto"/>
              <w:left w:val="single" w:sz="8" w:space="0" w:color="auto"/>
              <w:bottom w:val="single" w:sz="8" w:space="0" w:color="auto"/>
              <w:right w:val="single" w:sz="2" w:space="0" w:color="auto"/>
            </w:tcBorders>
            <w:vAlign w:val="center"/>
          </w:tcPr>
          <w:p w:rsidR="0073700B" w:rsidRDefault="001A2FFC">
            <w:pPr>
              <w:tabs>
                <w:tab w:val="left" w:pos="312"/>
              </w:tabs>
              <w:jc w:val="center"/>
              <w:rPr>
                <w:bCs/>
                <w:szCs w:val="21"/>
              </w:rPr>
            </w:pPr>
            <w:r>
              <w:rPr>
                <w:bCs/>
                <w:szCs w:val="21"/>
              </w:rPr>
              <w:t>应力分级</w:t>
            </w:r>
          </w:p>
        </w:tc>
        <w:tc>
          <w:tcPr>
            <w:tcW w:w="2933" w:type="dxa"/>
            <w:tcBorders>
              <w:top w:val="single" w:sz="8" w:space="0" w:color="auto"/>
              <w:left w:val="single" w:sz="2" w:space="0" w:color="auto"/>
              <w:bottom w:val="single" w:sz="8" w:space="0" w:color="auto"/>
              <w:right w:val="single" w:sz="2" w:space="0" w:color="auto"/>
            </w:tcBorders>
            <w:vAlign w:val="center"/>
          </w:tcPr>
          <w:p w:rsidR="0073700B" w:rsidRDefault="001A2FFC">
            <w:pPr>
              <w:tabs>
                <w:tab w:val="left" w:pos="312"/>
              </w:tabs>
              <w:jc w:val="center"/>
              <w:rPr>
                <w:bCs/>
                <w:szCs w:val="21"/>
              </w:rPr>
            </w:pPr>
            <w:r>
              <w:rPr>
                <w:bCs/>
                <w:szCs w:val="21"/>
              </w:rPr>
              <w:t>最大主应力量级</w:t>
            </w:r>
            <w:r>
              <w:rPr>
                <w:bCs/>
                <w:position w:val="-10"/>
                <w:szCs w:val="21"/>
              </w:rPr>
              <w:object w:dxaOrig="299" w:dyaOrig="299">
                <v:shape id="_x0000_i1027" type="#_x0000_t75" style="width:15.15pt;height:15.15pt" o:ole="">
                  <v:imagedata r:id="rId15" o:title=""/>
                </v:shape>
                <o:OLEObject Type="Embed" ProgID="Equation.DSMT4" ShapeID="_x0000_i1027" DrawAspect="Content" ObjectID="_1645534663" r:id="rId16"/>
              </w:object>
            </w:r>
            <w:r>
              <w:rPr>
                <w:bCs/>
                <w:szCs w:val="21"/>
              </w:rPr>
              <w:t>（</w:t>
            </w:r>
            <w:r>
              <w:rPr>
                <w:bCs/>
                <w:szCs w:val="21"/>
              </w:rPr>
              <w:t>MPa</w:t>
            </w:r>
            <w:r>
              <w:rPr>
                <w:bCs/>
                <w:szCs w:val="21"/>
              </w:rPr>
              <w:t>）</w:t>
            </w:r>
          </w:p>
        </w:tc>
        <w:tc>
          <w:tcPr>
            <w:tcW w:w="4044" w:type="dxa"/>
            <w:tcBorders>
              <w:top w:val="single" w:sz="8" w:space="0" w:color="auto"/>
              <w:left w:val="single" w:sz="2" w:space="0" w:color="auto"/>
              <w:bottom w:val="single" w:sz="8" w:space="0" w:color="auto"/>
            </w:tcBorders>
            <w:vAlign w:val="center"/>
          </w:tcPr>
          <w:p w:rsidR="0073700B" w:rsidRDefault="001A2FFC">
            <w:pPr>
              <w:tabs>
                <w:tab w:val="left" w:pos="312"/>
              </w:tabs>
              <w:jc w:val="center"/>
              <w:rPr>
                <w:bCs/>
                <w:szCs w:val="21"/>
              </w:rPr>
            </w:pPr>
            <w:r>
              <w:rPr>
                <w:bCs/>
                <w:position w:val="-10"/>
                <w:szCs w:val="21"/>
              </w:rPr>
              <w:object w:dxaOrig="673" w:dyaOrig="299">
                <v:shape id="_x0000_i1028" type="#_x0000_t75" style="width:33.4pt;height:15.15pt" o:ole="">
                  <v:imagedata r:id="rId17" o:title=""/>
                </v:shape>
                <o:OLEObject Type="Embed" ProgID="Equation.DSMT4" ShapeID="_x0000_i1028" DrawAspect="Content" ObjectID="_1645534664" r:id="rId18"/>
              </w:object>
            </w:r>
          </w:p>
        </w:tc>
      </w:tr>
      <w:tr w:rsidR="0073700B">
        <w:trPr>
          <w:jc w:val="center"/>
        </w:trPr>
        <w:tc>
          <w:tcPr>
            <w:tcW w:w="1309" w:type="dxa"/>
            <w:tcBorders>
              <w:top w:val="single" w:sz="8" w:space="0" w:color="auto"/>
              <w:left w:val="single" w:sz="8" w:space="0" w:color="auto"/>
              <w:bottom w:val="single" w:sz="2" w:space="0" w:color="auto"/>
              <w:right w:val="single" w:sz="2" w:space="0" w:color="auto"/>
            </w:tcBorders>
            <w:vAlign w:val="center"/>
          </w:tcPr>
          <w:p w:rsidR="0073700B" w:rsidRDefault="001A2FFC">
            <w:pPr>
              <w:tabs>
                <w:tab w:val="left" w:pos="312"/>
              </w:tabs>
              <w:jc w:val="center"/>
              <w:rPr>
                <w:bCs/>
                <w:szCs w:val="21"/>
              </w:rPr>
            </w:pPr>
            <w:r>
              <w:rPr>
                <w:bCs/>
                <w:szCs w:val="21"/>
              </w:rPr>
              <w:t>极高地应力</w:t>
            </w:r>
          </w:p>
        </w:tc>
        <w:tc>
          <w:tcPr>
            <w:tcW w:w="2933" w:type="dxa"/>
            <w:tcBorders>
              <w:top w:val="single" w:sz="8" w:space="0" w:color="auto"/>
              <w:left w:val="single" w:sz="2" w:space="0" w:color="auto"/>
              <w:bottom w:val="single" w:sz="2" w:space="0" w:color="auto"/>
              <w:right w:val="single" w:sz="2" w:space="0" w:color="auto"/>
            </w:tcBorders>
            <w:vAlign w:val="center"/>
          </w:tcPr>
          <w:p w:rsidR="0073700B" w:rsidRDefault="001A2FFC">
            <w:pPr>
              <w:tabs>
                <w:tab w:val="left" w:pos="312"/>
              </w:tabs>
              <w:jc w:val="center"/>
              <w:rPr>
                <w:bCs/>
                <w:szCs w:val="21"/>
              </w:rPr>
            </w:pPr>
            <w:r>
              <w:rPr>
                <w:bCs/>
                <w:position w:val="-10"/>
                <w:szCs w:val="21"/>
              </w:rPr>
              <w:object w:dxaOrig="299" w:dyaOrig="299">
                <v:shape id="_x0000_i1029" type="#_x0000_t75" style="width:15.15pt;height:15.15pt" o:ole="">
                  <v:imagedata r:id="rId15" o:title=""/>
                </v:shape>
                <o:OLEObject Type="Embed" ProgID="Equation.DSMT4" ShapeID="_x0000_i1029" DrawAspect="Content" ObjectID="_1645534665" r:id="rId19"/>
              </w:object>
            </w:r>
            <w:r>
              <w:rPr>
                <w:bCs/>
                <w:szCs w:val="21"/>
              </w:rPr>
              <w:t>≥40</w:t>
            </w:r>
          </w:p>
        </w:tc>
        <w:tc>
          <w:tcPr>
            <w:tcW w:w="4044" w:type="dxa"/>
            <w:tcBorders>
              <w:top w:val="single" w:sz="8" w:space="0" w:color="auto"/>
              <w:left w:val="single" w:sz="2" w:space="0" w:color="auto"/>
              <w:bottom w:val="single" w:sz="2" w:space="0" w:color="auto"/>
            </w:tcBorders>
            <w:vAlign w:val="center"/>
          </w:tcPr>
          <w:p w:rsidR="0073700B" w:rsidRDefault="001A2FFC">
            <w:pPr>
              <w:tabs>
                <w:tab w:val="left" w:pos="312"/>
              </w:tabs>
              <w:jc w:val="center"/>
              <w:rPr>
                <w:bCs/>
                <w:szCs w:val="21"/>
              </w:rPr>
            </w:pPr>
            <w:r>
              <w:rPr>
                <w:bCs/>
                <w:color w:val="000000"/>
                <w:szCs w:val="21"/>
              </w:rPr>
              <w:t>&lt;</w:t>
            </w:r>
            <w:r>
              <w:rPr>
                <w:bCs/>
                <w:szCs w:val="21"/>
              </w:rPr>
              <w:t>2</w:t>
            </w:r>
          </w:p>
        </w:tc>
      </w:tr>
      <w:tr w:rsidR="0073700B">
        <w:trPr>
          <w:jc w:val="center"/>
        </w:trPr>
        <w:tc>
          <w:tcPr>
            <w:tcW w:w="1309" w:type="dxa"/>
            <w:tcBorders>
              <w:top w:val="single" w:sz="2" w:space="0" w:color="auto"/>
              <w:bottom w:val="single" w:sz="2" w:space="0" w:color="auto"/>
              <w:right w:val="single" w:sz="2" w:space="0" w:color="auto"/>
            </w:tcBorders>
            <w:vAlign w:val="center"/>
          </w:tcPr>
          <w:p w:rsidR="0073700B" w:rsidRDefault="001A2FFC">
            <w:pPr>
              <w:tabs>
                <w:tab w:val="left" w:pos="312"/>
              </w:tabs>
              <w:jc w:val="center"/>
              <w:rPr>
                <w:bCs/>
                <w:szCs w:val="21"/>
              </w:rPr>
            </w:pPr>
            <w:r>
              <w:rPr>
                <w:bCs/>
                <w:szCs w:val="21"/>
              </w:rPr>
              <w:t>高地应力</w:t>
            </w:r>
          </w:p>
        </w:tc>
        <w:tc>
          <w:tcPr>
            <w:tcW w:w="2933" w:type="dxa"/>
            <w:tcBorders>
              <w:top w:val="single" w:sz="2" w:space="0" w:color="auto"/>
              <w:left w:val="single" w:sz="2" w:space="0" w:color="auto"/>
              <w:bottom w:val="single" w:sz="2" w:space="0" w:color="auto"/>
              <w:right w:val="single" w:sz="2" w:space="0" w:color="auto"/>
            </w:tcBorders>
            <w:vAlign w:val="center"/>
          </w:tcPr>
          <w:p w:rsidR="0073700B" w:rsidRDefault="001A2FFC">
            <w:pPr>
              <w:tabs>
                <w:tab w:val="left" w:pos="312"/>
              </w:tabs>
              <w:jc w:val="center"/>
              <w:rPr>
                <w:bCs/>
                <w:szCs w:val="21"/>
              </w:rPr>
            </w:pPr>
            <w:r>
              <w:rPr>
                <w:bCs/>
                <w:szCs w:val="21"/>
              </w:rPr>
              <w:t>20≤</w:t>
            </w:r>
            <w:r>
              <w:rPr>
                <w:bCs/>
                <w:position w:val="-10"/>
                <w:szCs w:val="21"/>
              </w:rPr>
              <w:object w:dxaOrig="299" w:dyaOrig="299">
                <v:shape id="_x0000_i1030" type="#_x0000_t75" style="width:15.15pt;height:15.15pt" o:ole="">
                  <v:imagedata r:id="rId15" o:title=""/>
                </v:shape>
                <o:OLEObject Type="Embed" ProgID="Equation.DSMT4" ShapeID="_x0000_i1030" DrawAspect="Content" ObjectID="_1645534666" r:id="rId20"/>
              </w:object>
            </w:r>
            <w:r>
              <w:rPr>
                <w:bCs/>
                <w:color w:val="000000"/>
                <w:szCs w:val="21"/>
              </w:rPr>
              <w:t>&lt;</w:t>
            </w:r>
            <w:r>
              <w:rPr>
                <w:bCs/>
                <w:szCs w:val="21"/>
              </w:rPr>
              <w:t>40</w:t>
            </w:r>
          </w:p>
        </w:tc>
        <w:tc>
          <w:tcPr>
            <w:tcW w:w="4044" w:type="dxa"/>
            <w:tcBorders>
              <w:top w:val="single" w:sz="2" w:space="0" w:color="auto"/>
              <w:left w:val="single" w:sz="2" w:space="0" w:color="auto"/>
              <w:bottom w:val="single" w:sz="2" w:space="0" w:color="auto"/>
            </w:tcBorders>
            <w:vAlign w:val="center"/>
          </w:tcPr>
          <w:p w:rsidR="0073700B" w:rsidRDefault="001A2FFC">
            <w:pPr>
              <w:tabs>
                <w:tab w:val="left" w:pos="312"/>
              </w:tabs>
              <w:jc w:val="center"/>
              <w:rPr>
                <w:bCs/>
                <w:szCs w:val="21"/>
              </w:rPr>
            </w:pPr>
            <w:r>
              <w:rPr>
                <w:bCs/>
                <w:szCs w:val="21"/>
              </w:rPr>
              <w:t>2~4</w:t>
            </w:r>
          </w:p>
        </w:tc>
      </w:tr>
      <w:tr w:rsidR="0073700B">
        <w:trPr>
          <w:jc w:val="center"/>
        </w:trPr>
        <w:tc>
          <w:tcPr>
            <w:tcW w:w="1309" w:type="dxa"/>
            <w:tcBorders>
              <w:top w:val="single" w:sz="2" w:space="0" w:color="auto"/>
              <w:bottom w:val="single" w:sz="2" w:space="0" w:color="auto"/>
              <w:right w:val="single" w:sz="2" w:space="0" w:color="auto"/>
            </w:tcBorders>
            <w:vAlign w:val="center"/>
          </w:tcPr>
          <w:p w:rsidR="0073700B" w:rsidRDefault="001A2FFC">
            <w:pPr>
              <w:tabs>
                <w:tab w:val="left" w:pos="312"/>
              </w:tabs>
              <w:jc w:val="center"/>
              <w:rPr>
                <w:bCs/>
                <w:szCs w:val="21"/>
              </w:rPr>
            </w:pPr>
            <w:r>
              <w:rPr>
                <w:bCs/>
                <w:szCs w:val="21"/>
              </w:rPr>
              <w:t>中等地应力</w:t>
            </w:r>
          </w:p>
        </w:tc>
        <w:tc>
          <w:tcPr>
            <w:tcW w:w="2933" w:type="dxa"/>
            <w:tcBorders>
              <w:top w:val="single" w:sz="2" w:space="0" w:color="auto"/>
              <w:left w:val="single" w:sz="2" w:space="0" w:color="auto"/>
              <w:bottom w:val="single" w:sz="2" w:space="0" w:color="auto"/>
              <w:right w:val="single" w:sz="2" w:space="0" w:color="auto"/>
            </w:tcBorders>
            <w:vAlign w:val="center"/>
          </w:tcPr>
          <w:p w:rsidR="0073700B" w:rsidRDefault="001A2FFC">
            <w:pPr>
              <w:tabs>
                <w:tab w:val="left" w:pos="312"/>
              </w:tabs>
              <w:jc w:val="center"/>
              <w:rPr>
                <w:bCs/>
                <w:szCs w:val="21"/>
              </w:rPr>
            </w:pPr>
            <w:r>
              <w:rPr>
                <w:bCs/>
                <w:szCs w:val="21"/>
              </w:rPr>
              <w:t>10≤</w:t>
            </w:r>
            <w:r>
              <w:rPr>
                <w:bCs/>
                <w:position w:val="-10"/>
                <w:szCs w:val="21"/>
              </w:rPr>
              <w:object w:dxaOrig="299" w:dyaOrig="299">
                <v:shape id="_x0000_i1031" type="#_x0000_t75" style="width:15.15pt;height:15.15pt" o:ole="">
                  <v:imagedata r:id="rId15" o:title=""/>
                </v:shape>
                <o:OLEObject Type="Embed" ProgID="Equation.DSMT4" ShapeID="_x0000_i1031" DrawAspect="Content" ObjectID="_1645534667" r:id="rId21"/>
              </w:object>
            </w:r>
            <w:r>
              <w:rPr>
                <w:bCs/>
                <w:color w:val="000000"/>
                <w:szCs w:val="21"/>
              </w:rPr>
              <w:t>&lt;</w:t>
            </w:r>
            <w:r>
              <w:rPr>
                <w:bCs/>
                <w:szCs w:val="21"/>
              </w:rPr>
              <w:t>20</w:t>
            </w:r>
          </w:p>
        </w:tc>
        <w:tc>
          <w:tcPr>
            <w:tcW w:w="4044" w:type="dxa"/>
            <w:tcBorders>
              <w:top w:val="single" w:sz="2" w:space="0" w:color="auto"/>
              <w:left w:val="single" w:sz="2" w:space="0" w:color="auto"/>
              <w:bottom w:val="single" w:sz="2" w:space="0" w:color="auto"/>
            </w:tcBorders>
            <w:vAlign w:val="center"/>
          </w:tcPr>
          <w:p w:rsidR="0073700B" w:rsidRDefault="001A2FFC">
            <w:pPr>
              <w:tabs>
                <w:tab w:val="left" w:pos="312"/>
              </w:tabs>
              <w:jc w:val="center"/>
              <w:rPr>
                <w:bCs/>
                <w:szCs w:val="21"/>
              </w:rPr>
            </w:pPr>
            <w:r>
              <w:rPr>
                <w:bCs/>
                <w:szCs w:val="21"/>
              </w:rPr>
              <w:t>4~7</w:t>
            </w:r>
          </w:p>
        </w:tc>
      </w:tr>
      <w:tr w:rsidR="0073700B">
        <w:trPr>
          <w:jc w:val="center"/>
        </w:trPr>
        <w:tc>
          <w:tcPr>
            <w:tcW w:w="1309" w:type="dxa"/>
            <w:tcBorders>
              <w:top w:val="single" w:sz="2" w:space="0" w:color="auto"/>
              <w:right w:val="single" w:sz="2" w:space="0" w:color="auto"/>
            </w:tcBorders>
            <w:vAlign w:val="center"/>
          </w:tcPr>
          <w:p w:rsidR="0073700B" w:rsidRDefault="001A2FFC">
            <w:pPr>
              <w:tabs>
                <w:tab w:val="left" w:pos="312"/>
              </w:tabs>
              <w:jc w:val="center"/>
              <w:rPr>
                <w:bCs/>
                <w:szCs w:val="21"/>
              </w:rPr>
            </w:pPr>
            <w:r>
              <w:rPr>
                <w:bCs/>
                <w:szCs w:val="21"/>
              </w:rPr>
              <w:t>低地应力</w:t>
            </w:r>
          </w:p>
        </w:tc>
        <w:tc>
          <w:tcPr>
            <w:tcW w:w="2933" w:type="dxa"/>
            <w:tcBorders>
              <w:top w:val="single" w:sz="2" w:space="0" w:color="auto"/>
              <w:left w:val="single" w:sz="2" w:space="0" w:color="auto"/>
              <w:right w:val="single" w:sz="2" w:space="0" w:color="auto"/>
            </w:tcBorders>
            <w:vAlign w:val="center"/>
          </w:tcPr>
          <w:p w:rsidR="0073700B" w:rsidRDefault="001A2FFC">
            <w:pPr>
              <w:tabs>
                <w:tab w:val="left" w:pos="312"/>
              </w:tabs>
              <w:jc w:val="center"/>
              <w:rPr>
                <w:bCs/>
                <w:szCs w:val="21"/>
              </w:rPr>
            </w:pPr>
            <w:r>
              <w:rPr>
                <w:bCs/>
                <w:position w:val="-10"/>
                <w:szCs w:val="21"/>
              </w:rPr>
              <w:object w:dxaOrig="299" w:dyaOrig="299">
                <v:shape id="_x0000_i1032" type="#_x0000_t75" style="width:15.15pt;height:15.15pt" o:ole="">
                  <v:imagedata r:id="rId15" o:title=""/>
                </v:shape>
                <o:OLEObject Type="Embed" ProgID="Equation.DSMT4" ShapeID="_x0000_i1032" DrawAspect="Content" ObjectID="_1645534668" r:id="rId22"/>
              </w:object>
            </w:r>
            <w:r>
              <w:rPr>
                <w:bCs/>
                <w:color w:val="000000"/>
                <w:szCs w:val="21"/>
              </w:rPr>
              <w:t>&lt;</w:t>
            </w:r>
            <w:r>
              <w:rPr>
                <w:bCs/>
                <w:szCs w:val="21"/>
              </w:rPr>
              <w:t>10</w:t>
            </w:r>
          </w:p>
        </w:tc>
        <w:tc>
          <w:tcPr>
            <w:tcW w:w="4044" w:type="dxa"/>
            <w:tcBorders>
              <w:top w:val="single" w:sz="2" w:space="0" w:color="auto"/>
              <w:left w:val="single" w:sz="2" w:space="0" w:color="auto"/>
            </w:tcBorders>
            <w:vAlign w:val="center"/>
          </w:tcPr>
          <w:p w:rsidR="0073700B" w:rsidRDefault="001A2FFC">
            <w:pPr>
              <w:tabs>
                <w:tab w:val="left" w:pos="312"/>
              </w:tabs>
              <w:jc w:val="center"/>
              <w:rPr>
                <w:bCs/>
                <w:szCs w:val="21"/>
              </w:rPr>
            </w:pPr>
            <w:r>
              <w:rPr>
                <w:bCs/>
                <w:color w:val="000000"/>
                <w:szCs w:val="21"/>
              </w:rPr>
              <w:t>&gt;</w:t>
            </w:r>
            <w:r>
              <w:rPr>
                <w:bCs/>
                <w:szCs w:val="21"/>
              </w:rPr>
              <w:t>7</w:t>
            </w:r>
          </w:p>
        </w:tc>
      </w:tr>
    </w:tbl>
    <w:p w:rsidR="0073700B" w:rsidRDefault="001A2FFC" w:rsidP="00F80BAC">
      <w:pPr>
        <w:tabs>
          <w:tab w:val="left" w:pos="312"/>
        </w:tabs>
        <w:spacing w:beforeLines="50" w:before="156" w:line="360" w:lineRule="auto"/>
        <w:ind w:firstLineChars="200" w:firstLine="420"/>
        <w:rPr>
          <w:bCs/>
          <w:szCs w:val="21"/>
        </w:rPr>
      </w:pPr>
      <w:r>
        <w:rPr>
          <w:bCs/>
          <w:szCs w:val="21"/>
        </w:rPr>
        <w:t>注：表中</w:t>
      </w:r>
      <w:proofErr w:type="spellStart"/>
      <w:r>
        <w:rPr>
          <w:bCs/>
          <w:i/>
          <w:iCs/>
          <w:szCs w:val="21"/>
        </w:rPr>
        <w:t>R</w:t>
      </w:r>
      <w:r>
        <w:rPr>
          <w:bCs/>
          <w:i/>
          <w:iCs/>
          <w:szCs w:val="21"/>
          <w:vertAlign w:val="subscript"/>
        </w:rPr>
        <w:t>b</w:t>
      </w:r>
      <w:proofErr w:type="spellEnd"/>
      <w:r>
        <w:rPr>
          <w:bCs/>
          <w:szCs w:val="21"/>
        </w:rPr>
        <w:t>表示岩石饱和单轴抗压强度（</w:t>
      </w:r>
      <w:r>
        <w:rPr>
          <w:bCs/>
          <w:szCs w:val="21"/>
        </w:rPr>
        <w:t>MPa</w:t>
      </w:r>
      <w:r>
        <w:rPr>
          <w:bCs/>
          <w:szCs w:val="21"/>
        </w:rPr>
        <w:t>），</w:t>
      </w:r>
      <w:r>
        <w:rPr>
          <w:bCs/>
          <w:position w:val="-10"/>
          <w:szCs w:val="21"/>
        </w:rPr>
        <w:object w:dxaOrig="299" w:dyaOrig="299">
          <v:shape id="_x0000_i1033" type="#_x0000_t75" style="width:15.15pt;height:15.15pt" o:ole="">
            <v:imagedata r:id="rId15" o:title=""/>
          </v:shape>
          <o:OLEObject Type="Embed" ProgID="Equation.DSMT4" ShapeID="_x0000_i1033" DrawAspect="Content" ObjectID="_1645534669" r:id="rId23"/>
        </w:object>
      </w:r>
      <w:r>
        <w:rPr>
          <w:bCs/>
          <w:szCs w:val="21"/>
        </w:rPr>
        <w:t>表示最大主应力（</w:t>
      </w:r>
      <w:r>
        <w:rPr>
          <w:bCs/>
          <w:szCs w:val="21"/>
        </w:rPr>
        <w:t>MPa</w:t>
      </w:r>
      <w:r>
        <w:rPr>
          <w:bCs/>
          <w:szCs w:val="21"/>
        </w:rPr>
        <w:t>）。</w:t>
      </w:r>
    </w:p>
    <w:p w:rsidR="0073700B" w:rsidRDefault="001A2FFC" w:rsidP="00F80BAC">
      <w:pPr>
        <w:tabs>
          <w:tab w:val="left" w:pos="312"/>
        </w:tabs>
        <w:spacing w:beforeLines="50" w:before="156" w:line="360" w:lineRule="auto"/>
        <w:ind w:firstLineChars="200" w:firstLine="480"/>
        <w:rPr>
          <w:bCs/>
          <w:sz w:val="24"/>
          <w:szCs w:val="21"/>
        </w:rPr>
      </w:pPr>
      <w:r>
        <w:rPr>
          <w:bCs/>
          <w:sz w:val="24"/>
        </w:rPr>
        <w:t>当岩石抗压强度和地应力实测数据不足时，可以参照</w:t>
      </w:r>
      <w:r>
        <w:rPr>
          <w:bCs/>
          <w:sz w:val="24"/>
          <w:szCs w:val="21"/>
        </w:rPr>
        <w:t>《工程岩体分级标准》（</w:t>
      </w:r>
      <w:r>
        <w:rPr>
          <w:bCs/>
          <w:sz w:val="24"/>
          <w:szCs w:val="21"/>
        </w:rPr>
        <w:t>GB/T 50218-2014</w:t>
      </w:r>
      <w:r>
        <w:rPr>
          <w:bCs/>
          <w:sz w:val="24"/>
          <w:szCs w:val="21"/>
        </w:rPr>
        <w:t>）</w:t>
      </w:r>
      <w:r>
        <w:rPr>
          <w:bCs/>
          <w:sz w:val="24"/>
          <w:szCs w:val="21"/>
        </w:rPr>
        <w:fldChar w:fldCharType="begin"/>
      </w:r>
      <w:r>
        <w:rPr>
          <w:bCs/>
          <w:sz w:val="24"/>
          <w:szCs w:val="21"/>
        </w:rPr>
        <w:instrText xml:space="preserve"> ADDIN NE.Ref.{6BE01198-B0FE-4B18-ADB3-CB178CC2C357}</w:instrText>
      </w:r>
      <w:r>
        <w:rPr>
          <w:bCs/>
          <w:sz w:val="24"/>
          <w:szCs w:val="21"/>
        </w:rPr>
        <w:fldChar w:fldCharType="separate"/>
      </w:r>
      <w:r>
        <w:rPr>
          <w:color w:val="080000"/>
          <w:kern w:val="0"/>
          <w:sz w:val="24"/>
          <w:szCs w:val="24"/>
          <w:vertAlign w:val="superscript"/>
        </w:rPr>
        <w:t>[11]</w:t>
      </w:r>
      <w:r>
        <w:rPr>
          <w:bCs/>
          <w:sz w:val="24"/>
          <w:szCs w:val="21"/>
        </w:rPr>
        <w:fldChar w:fldCharType="end"/>
      </w:r>
      <w:r>
        <w:rPr>
          <w:bCs/>
          <w:sz w:val="24"/>
          <w:szCs w:val="21"/>
        </w:rPr>
        <w:t>（见</w:t>
      </w:r>
      <w:r>
        <w:fldChar w:fldCharType="begin"/>
      </w:r>
      <w:r>
        <w:instrText xml:space="preserve"> REF _Ref25579940 \h  \* MERGEFORMAT </w:instrText>
      </w:r>
      <w:r>
        <w:fldChar w:fldCharType="separate"/>
      </w:r>
      <w:r>
        <w:rPr>
          <w:bCs/>
          <w:sz w:val="24"/>
          <w:szCs w:val="24"/>
        </w:rPr>
        <w:t>表</w:t>
      </w:r>
      <w:r>
        <w:rPr>
          <w:bCs/>
          <w:sz w:val="24"/>
          <w:szCs w:val="24"/>
        </w:rPr>
        <w:t>5</w:t>
      </w:r>
      <w:r>
        <w:rPr>
          <w:bCs/>
          <w:sz w:val="24"/>
          <w:szCs w:val="24"/>
        </w:rPr>
        <w:noBreakHyphen/>
        <w:t>3</w:t>
      </w:r>
      <w:r>
        <w:rPr>
          <w:bCs/>
          <w:sz w:val="24"/>
          <w:szCs w:val="24"/>
        </w:rPr>
        <w:fldChar w:fldCharType="end"/>
      </w:r>
      <w:r>
        <w:rPr>
          <w:bCs/>
          <w:sz w:val="24"/>
          <w:szCs w:val="21"/>
        </w:rPr>
        <w:t>）评估隧道工程岩体所对应的强度应力比范围值。</w:t>
      </w:r>
    </w:p>
    <w:p w:rsidR="0073700B" w:rsidRDefault="001A2FFC">
      <w:pPr>
        <w:tabs>
          <w:tab w:val="left" w:pos="312"/>
        </w:tabs>
        <w:spacing w:line="360" w:lineRule="auto"/>
        <w:jc w:val="center"/>
        <w:rPr>
          <w:rFonts w:ascii="黑体" w:eastAsia="黑体" w:hAnsi="黑体"/>
          <w:bCs/>
          <w:sz w:val="24"/>
          <w:szCs w:val="24"/>
        </w:rPr>
      </w:pPr>
      <w:bookmarkStart w:id="26" w:name="_Ref25579940"/>
      <w:r>
        <w:rPr>
          <w:rFonts w:ascii="黑体" w:eastAsia="黑体" w:hAnsi="黑体"/>
          <w:bCs/>
          <w:sz w:val="24"/>
          <w:szCs w:val="24"/>
        </w:rPr>
        <w:t>表</w:t>
      </w:r>
      <w:r>
        <w:rPr>
          <w:rFonts w:ascii="黑体" w:eastAsia="黑体" w:hAnsi="黑体"/>
          <w:bCs/>
          <w:sz w:val="24"/>
          <w:szCs w:val="24"/>
        </w:rPr>
        <w:fldChar w:fldCharType="begin"/>
      </w:r>
      <w:r>
        <w:rPr>
          <w:rFonts w:ascii="黑体" w:eastAsia="黑体" w:hAnsi="黑体"/>
          <w:bCs/>
          <w:sz w:val="24"/>
          <w:szCs w:val="24"/>
        </w:rPr>
        <w:instrText xml:space="preserve"> STYLEREF 3 \s </w:instrText>
      </w:r>
      <w:r>
        <w:rPr>
          <w:rFonts w:ascii="黑体" w:eastAsia="黑体" w:hAnsi="黑体"/>
          <w:bCs/>
          <w:sz w:val="24"/>
          <w:szCs w:val="24"/>
        </w:rPr>
        <w:fldChar w:fldCharType="separate"/>
      </w:r>
      <w:r>
        <w:rPr>
          <w:rFonts w:ascii="黑体" w:eastAsia="黑体" w:hAnsi="黑体"/>
          <w:bCs/>
          <w:sz w:val="24"/>
          <w:szCs w:val="24"/>
        </w:rPr>
        <w:t>5</w:t>
      </w:r>
      <w:r>
        <w:rPr>
          <w:rFonts w:ascii="黑体" w:eastAsia="黑体" w:hAnsi="黑体"/>
          <w:bCs/>
          <w:sz w:val="24"/>
          <w:szCs w:val="24"/>
        </w:rPr>
        <w:fldChar w:fldCharType="end"/>
      </w:r>
      <w:r>
        <w:rPr>
          <w:rFonts w:ascii="黑体" w:eastAsia="黑体" w:hAnsi="黑体"/>
          <w:bCs/>
          <w:sz w:val="24"/>
          <w:szCs w:val="24"/>
        </w:rPr>
        <w:noBreakHyphen/>
      </w:r>
      <w:r>
        <w:rPr>
          <w:rFonts w:ascii="黑体" w:eastAsia="黑体" w:hAnsi="黑体"/>
          <w:bCs/>
          <w:sz w:val="24"/>
          <w:szCs w:val="24"/>
        </w:rPr>
        <w:fldChar w:fldCharType="begin"/>
      </w:r>
      <w:r>
        <w:rPr>
          <w:rFonts w:ascii="黑体" w:eastAsia="黑体" w:hAnsi="黑体"/>
          <w:bCs/>
          <w:sz w:val="24"/>
          <w:szCs w:val="24"/>
        </w:rPr>
        <w:instrText xml:space="preserve"> SEQ </w:instrText>
      </w:r>
      <w:r>
        <w:rPr>
          <w:rFonts w:ascii="黑体" w:eastAsia="黑体" w:hAnsi="黑体"/>
          <w:bCs/>
          <w:sz w:val="24"/>
          <w:szCs w:val="24"/>
        </w:rPr>
        <w:instrText>表</w:instrText>
      </w:r>
      <w:r>
        <w:rPr>
          <w:rFonts w:ascii="黑体" w:eastAsia="黑体" w:hAnsi="黑体"/>
          <w:bCs/>
          <w:sz w:val="24"/>
          <w:szCs w:val="24"/>
        </w:rPr>
        <w:instrText xml:space="preserve"> \* ARABIC \s 3 </w:instrText>
      </w:r>
      <w:r>
        <w:rPr>
          <w:rFonts w:ascii="黑体" w:eastAsia="黑体" w:hAnsi="黑体"/>
          <w:bCs/>
          <w:sz w:val="24"/>
          <w:szCs w:val="24"/>
        </w:rPr>
        <w:fldChar w:fldCharType="separate"/>
      </w:r>
      <w:r>
        <w:rPr>
          <w:rFonts w:ascii="黑体" w:eastAsia="黑体" w:hAnsi="黑体"/>
          <w:bCs/>
          <w:sz w:val="24"/>
          <w:szCs w:val="24"/>
        </w:rPr>
        <w:t>3</w:t>
      </w:r>
      <w:r>
        <w:rPr>
          <w:rFonts w:ascii="黑体" w:eastAsia="黑体" w:hAnsi="黑体"/>
          <w:bCs/>
          <w:sz w:val="24"/>
          <w:szCs w:val="24"/>
        </w:rPr>
        <w:fldChar w:fldCharType="end"/>
      </w:r>
      <w:bookmarkEnd w:id="26"/>
      <w:r>
        <w:rPr>
          <w:rFonts w:ascii="黑体" w:eastAsia="黑体" w:hAnsi="黑体"/>
          <w:bCs/>
          <w:sz w:val="24"/>
          <w:szCs w:val="24"/>
        </w:rPr>
        <w:t xml:space="preserve">  </w:t>
      </w:r>
      <w:r>
        <w:rPr>
          <w:rFonts w:ascii="黑体" w:eastAsia="黑体" w:hAnsi="黑体"/>
          <w:bCs/>
          <w:sz w:val="24"/>
          <w:szCs w:val="24"/>
        </w:rPr>
        <w:t>隧道工程岩体强度应力比评估</w:t>
      </w:r>
    </w:p>
    <w:tbl>
      <w:tblPr>
        <w:tblStyle w:val="af1"/>
        <w:tblW w:w="0" w:type="auto"/>
        <w:tblLook w:val="04A0" w:firstRow="1" w:lastRow="0" w:firstColumn="1" w:lastColumn="0" w:noHBand="0" w:noVBand="1"/>
      </w:tblPr>
      <w:tblGrid>
        <w:gridCol w:w="7225"/>
        <w:gridCol w:w="1071"/>
      </w:tblGrid>
      <w:tr w:rsidR="0073700B">
        <w:tc>
          <w:tcPr>
            <w:tcW w:w="7225" w:type="dxa"/>
            <w:tcBorders>
              <w:top w:val="single" w:sz="8" w:space="0" w:color="auto"/>
              <w:left w:val="single" w:sz="8" w:space="0" w:color="auto"/>
              <w:bottom w:val="single" w:sz="8" w:space="0" w:color="auto"/>
              <w:right w:val="single" w:sz="2" w:space="0" w:color="auto"/>
            </w:tcBorders>
            <w:vAlign w:val="center"/>
          </w:tcPr>
          <w:p w:rsidR="0073700B" w:rsidRDefault="001A2FFC">
            <w:pPr>
              <w:tabs>
                <w:tab w:val="left" w:pos="312"/>
              </w:tabs>
              <w:jc w:val="center"/>
              <w:rPr>
                <w:bCs/>
                <w:szCs w:val="21"/>
              </w:rPr>
            </w:pPr>
            <w:r>
              <w:rPr>
                <w:bCs/>
                <w:szCs w:val="21"/>
              </w:rPr>
              <w:t>高地应力条件下的主要工程现象</w:t>
            </w:r>
          </w:p>
        </w:tc>
        <w:tc>
          <w:tcPr>
            <w:tcW w:w="1071" w:type="dxa"/>
            <w:tcBorders>
              <w:top w:val="single" w:sz="8" w:space="0" w:color="auto"/>
              <w:left w:val="single" w:sz="2" w:space="0" w:color="auto"/>
              <w:bottom w:val="single" w:sz="8" w:space="0" w:color="auto"/>
              <w:right w:val="single" w:sz="8" w:space="0" w:color="auto"/>
            </w:tcBorders>
            <w:vAlign w:val="center"/>
          </w:tcPr>
          <w:p w:rsidR="0073700B" w:rsidRDefault="001A2FFC">
            <w:pPr>
              <w:tabs>
                <w:tab w:val="left" w:pos="312"/>
              </w:tabs>
              <w:jc w:val="center"/>
              <w:rPr>
                <w:bCs/>
                <w:szCs w:val="21"/>
              </w:rPr>
            </w:pPr>
            <w:r>
              <w:rPr>
                <w:bCs/>
                <w:position w:val="-10"/>
                <w:szCs w:val="21"/>
              </w:rPr>
              <w:object w:dxaOrig="636" w:dyaOrig="299">
                <v:shape id="_x0000_i1034" type="#_x0000_t75" style="width:31.85pt;height:15.15pt" o:ole="">
                  <v:imagedata r:id="rId17" o:title=""/>
                </v:shape>
                <o:OLEObject Type="Embed" ProgID="Equation.DSMT4" ShapeID="_x0000_i1034" DrawAspect="Content" ObjectID="_1645534670" r:id="rId24"/>
              </w:object>
            </w:r>
          </w:p>
        </w:tc>
      </w:tr>
      <w:tr w:rsidR="0073700B">
        <w:tc>
          <w:tcPr>
            <w:tcW w:w="7225" w:type="dxa"/>
            <w:tcBorders>
              <w:top w:val="single" w:sz="8" w:space="0" w:color="auto"/>
              <w:left w:val="single" w:sz="8" w:space="0" w:color="auto"/>
              <w:bottom w:val="single" w:sz="2" w:space="0" w:color="auto"/>
              <w:right w:val="single" w:sz="2" w:space="0" w:color="auto"/>
            </w:tcBorders>
            <w:vAlign w:val="center"/>
          </w:tcPr>
          <w:p w:rsidR="0073700B" w:rsidRDefault="001A2FFC">
            <w:pPr>
              <w:tabs>
                <w:tab w:val="left" w:pos="312"/>
              </w:tabs>
              <w:jc w:val="left"/>
              <w:rPr>
                <w:bCs/>
                <w:szCs w:val="21"/>
              </w:rPr>
            </w:pPr>
            <w:r>
              <w:rPr>
                <w:bCs/>
                <w:szCs w:val="21"/>
              </w:rPr>
              <w:t>1.</w:t>
            </w:r>
            <w:r>
              <w:rPr>
                <w:bCs/>
                <w:szCs w:val="21"/>
              </w:rPr>
              <w:t>硬质岩：岩芯常有饼化现象；开挖过程中时有岩爆发生，有岩块弹出，洞壁岩体发生剥离，新生裂缝多，围岩易失稳。</w:t>
            </w:r>
            <w:r>
              <w:rPr>
                <w:bCs/>
                <w:szCs w:val="21"/>
              </w:rPr>
              <w:t xml:space="preserve"> </w:t>
            </w:r>
          </w:p>
          <w:p w:rsidR="0073700B" w:rsidRDefault="001A2FFC">
            <w:pPr>
              <w:tabs>
                <w:tab w:val="left" w:pos="312"/>
              </w:tabs>
              <w:jc w:val="left"/>
              <w:rPr>
                <w:bCs/>
                <w:szCs w:val="21"/>
              </w:rPr>
            </w:pPr>
            <w:r>
              <w:rPr>
                <w:bCs/>
                <w:szCs w:val="21"/>
              </w:rPr>
              <w:t xml:space="preserve">2 </w:t>
            </w:r>
            <w:r>
              <w:rPr>
                <w:bCs/>
                <w:szCs w:val="21"/>
              </w:rPr>
              <w:t>软质岩：开挖过程中洞壁岩体有剥离，位移极为显著，甚至发生大位移，持续时间长，不易成洞。</w:t>
            </w:r>
          </w:p>
        </w:tc>
        <w:tc>
          <w:tcPr>
            <w:tcW w:w="1071" w:type="dxa"/>
            <w:tcBorders>
              <w:top w:val="single" w:sz="8" w:space="0" w:color="auto"/>
              <w:left w:val="single" w:sz="2" w:space="0" w:color="auto"/>
              <w:right w:val="single" w:sz="8" w:space="0" w:color="auto"/>
            </w:tcBorders>
            <w:vAlign w:val="center"/>
          </w:tcPr>
          <w:p w:rsidR="0073700B" w:rsidRDefault="001A2FFC">
            <w:pPr>
              <w:tabs>
                <w:tab w:val="left" w:pos="312"/>
              </w:tabs>
              <w:jc w:val="center"/>
              <w:rPr>
                <w:bCs/>
                <w:szCs w:val="21"/>
              </w:rPr>
            </w:pPr>
            <w:r>
              <w:rPr>
                <w:bCs/>
                <w:color w:val="000000"/>
                <w:szCs w:val="21"/>
              </w:rPr>
              <w:t>&lt;4</w:t>
            </w:r>
          </w:p>
        </w:tc>
      </w:tr>
      <w:tr w:rsidR="0073700B">
        <w:tc>
          <w:tcPr>
            <w:tcW w:w="7225" w:type="dxa"/>
            <w:tcBorders>
              <w:top w:val="single" w:sz="2" w:space="0" w:color="auto"/>
              <w:left w:val="single" w:sz="8" w:space="0" w:color="auto"/>
              <w:bottom w:val="single" w:sz="8" w:space="0" w:color="auto"/>
              <w:right w:val="single" w:sz="2" w:space="0" w:color="auto"/>
            </w:tcBorders>
            <w:vAlign w:val="center"/>
          </w:tcPr>
          <w:p w:rsidR="0073700B" w:rsidRDefault="001A2FFC">
            <w:pPr>
              <w:tabs>
                <w:tab w:val="left" w:pos="312"/>
              </w:tabs>
              <w:jc w:val="left"/>
              <w:rPr>
                <w:bCs/>
                <w:szCs w:val="21"/>
              </w:rPr>
            </w:pPr>
            <w:r>
              <w:rPr>
                <w:bCs/>
                <w:szCs w:val="21"/>
              </w:rPr>
              <w:lastRenderedPageBreak/>
              <w:t>1.</w:t>
            </w:r>
            <w:r>
              <w:rPr>
                <w:bCs/>
                <w:szCs w:val="21"/>
              </w:rPr>
              <w:t>硬质岩：岩芯时有饼化现象；开挖过程中偶有岩爆发生，洞壁岩体有剥离和掉块现象，新生裂缝较多。</w:t>
            </w:r>
          </w:p>
          <w:p w:rsidR="0073700B" w:rsidRDefault="001A2FFC">
            <w:pPr>
              <w:tabs>
                <w:tab w:val="left" w:pos="312"/>
              </w:tabs>
              <w:jc w:val="left"/>
              <w:rPr>
                <w:bCs/>
                <w:szCs w:val="21"/>
              </w:rPr>
            </w:pPr>
            <w:r>
              <w:rPr>
                <w:bCs/>
                <w:szCs w:val="21"/>
              </w:rPr>
              <w:t>2.</w:t>
            </w:r>
            <w:r>
              <w:rPr>
                <w:bCs/>
                <w:szCs w:val="21"/>
              </w:rPr>
              <w:t>软质岩：开挖过程中洞壁岩体位移显著，持续时间较长，围岩易失稳。</w:t>
            </w:r>
          </w:p>
        </w:tc>
        <w:tc>
          <w:tcPr>
            <w:tcW w:w="1071" w:type="dxa"/>
            <w:tcBorders>
              <w:top w:val="single" w:sz="2" w:space="0" w:color="auto"/>
              <w:left w:val="single" w:sz="2" w:space="0" w:color="auto"/>
              <w:bottom w:val="single" w:sz="8" w:space="0" w:color="auto"/>
              <w:right w:val="single" w:sz="8" w:space="0" w:color="auto"/>
            </w:tcBorders>
            <w:vAlign w:val="center"/>
          </w:tcPr>
          <w:p w:rsidR="0073700B" w:rsidRDefault="001A2FFC">
            <w:pPr>
              <w:tabs>
                <w:tab w:val="left" w:pos="312"/>
              </w:tabs>
              <w:jc w:val="center"/>
              <w:rPr>
                <w:bCs/>
                <w:szCs w:val="21"/>
              </w:rPr>
            </w:pPr>
            <w:r>
              <w:rPr>
                <w:bCs/>
                <w:szCs w:val="21"/>
              </w:rPr>
              <w:t>4~7</w:t>
            </w:r>
          </w:p>
        </w:tc>
      </w:tr>
    </w:tbl>
    <w:p w:rsidR="0073700B" w:rsidRDefault="001A2FFC" w:rsidP="00F80BAC">
      <w:pPr>
        <w:tabs>
          <w:tab w:val="left" w:pos="312"/>
        </w:tabs>
        <w:spacing w:beforeLines="50" w:before="156" w:line="360" w:lineRule="auto"/>
        <w:ind w:firstLineChars="200" w:firstLine="480"/>
        <w:rPr>
          <w:bCs/>
          <w:sz w:val="24"/>
        </w:rPr>
      </w:pPr>
      <w:r>
        <w:rPr>
          <w:bCs/>
          <w:sz w:val="24"/>
        </w:rPr>
        <w:t>岩溶发育程度</w:t>
      </w:r>
      <w:r>
        <w:rPr>
          <w:bCs/>
          <w:i/>
          <w:iCs/>
          <w:sz w:val="24"/>
        </w:rPr>
        <w:t>G</w:t>
      </w:r>
      <w:r>
        <w:rPr>
          <w:bCs/>
          <w:sz w:val="24"/>
          <w:vertAlign w:val="subscript"/>
        </w:rPr>
        <w:t>6</w:t>
      </w:r>
      <w:r>
        <w:rPr>
          <w:bCs/>
          <w:sz w:val="24"/>
          <w:szCs w:val="20"/>
        </w:rPr>
        <w:fldChar w:fldCharType="begin"/>
      </w:r>
      <w:r>
        <w:rPr>
          <w:bCs/>
          <w:sz w:val="24"/>
          <w:szCs w:val="20"/>
        </w:rPr>
        <w:instrText xml:space="preserve"> ADDIN NE.Ref.{AB4941B8-B977-44AE-9C55-9F9D78DF2645}</w:instrText>
      </w:r>
      <w:r>
        <w:rPr>
          <w:bCs/>
          <w:sz w:val="24"/>
          <w:szCs w:val="20"/>
        </w:rPr>
        <w:fldChar w:fldCharType="separate"/>
      </w:r>
      <w:r>
        <w:rPr>
          <w:color w:val="080000"/>
          <w:kern w:val="0"/>
          <w:sz w:val="24"/>
          <w:szCs w:val="24"/>
          <w:vertAlign w:val="superscript"/>
        </w:rPr>
        <w:t>[13]</w:t>
      </w:r>
      <w:r>
        <w:rPr>
          <w:bCs/>
          <w:sz w:val="24"/>
          <w:szCs w:val="20"/>
        </w:rPr>
        <w:fldChar w:fldCharType="end"/>
      </w:r>
      <w:r>
        <w:rPr>
          <w:bCs/>
          <w:sz w:val="24"/>
        </w:rPr>
        <w:t>，</w:t>
      </w:r>
      <w:r>
        <w:rPr>
          <w:bCs/>
          <w:sz w:val="24"/>
          <w:szCs w:val="20"/>
        </w:rPr>
        <w:t>参考《公路工程地质勘察规范》（</w:t>
      </w:r>
      <w:r>
        <w:rPr>
          <w:bCs/>
          <w:sz w:val="24"/>
          <w:szCs w:val="20"/>
        </w:rPr>
        <w:t>JTG C20-2011</w:t>
      </w:r>
      <w:r>
        <w:rPr>
          <w:bCs/>
          <w:sz w:val="24"/>
          <w:szCs w:val="20"/>
        </w:rPr>
        <w:t>）</w:t>
      </w:r>
      <w:r>
        <w:rPr>
          <w:bCs/>
          <w:sz w:val="24"/>
          <w:szCs w:val="20"/>
        </w:rPr>
        <w:fldChar w:fldCharType="begin"/>
      </w:r>
      <w:r>
        <w:rPr>
          <w:bCs/>
          <w:sz w:val="24"/>
          <w:szCs w:val="20"/>
        </w:rPr>
        <w:instrText xml:space="preserve"> ADDIN NE.Ref.{D0F896FE-3AD8-40CE-A48A-EB9324B0AD1C}</w:instrText>
      </w:r>
      <w:r>
        <w:rPr>
          <w:bCs/>
          <w:sz w:val="24"/>
          <w:szCs w:val="20"/>
        </w:rPr>
        <w:fldChar w:fldCharType="separate"/>
      </w:r>
      <w:r>
        <w:rPr>
          <w:color w:val="080000"/>
          <w:kern w:val="0"/>
          <w:sz w:val="24"/>
          <w:szCs w:val="24"/>
          <w:vertAlign w:val="superscript"/>
        </w:rPr>
        <w:t>[10]</w:t>
      </w:r>
      <w:r>
        <w:rPr>
          <w:bCs/>
          <w:sz w:val="24"/>
          <w:szCs w:val="20"/>
        </w:rPr>
        <w:fldChar w:fldCharType="end"/>
      </w:r>
      <w:r>
        <w:rPr>
          <w:bCs/>
          <w:sz w:val="24"/>
          <w:szCs w:val="20"/>
        </w:rPr>
        <w:t>，岩溶发育程度与可溶性岩石密切相关，当隧道穿越岩溶发育区时，往往存在安全隐患，故应查明岩溶及地质灾害的形态与分布、岩溶发育规律等。岩溶越发育，储存的岩溶水越多，引发事故的可能性越大。</w:t>
      </w:r>
    </w:p>
    <w:p w:rsidR="0073700B" w:rsidRDefault="001A2FFC" w:rsidP="00F80BAC">
      <w:pPr>
        <w:tabs>
          <w:tab w:val="left" w:pos="312"/>
        </w:tabs>
        <w:spacing w:beforeLines="50" w:before="156" w:line="360" w:lineRule="auto"/>
        <w:ind w:firstLineChars="200" w:firstLine="480"/>
        <w:rPr>
          <w:bCs/>
          <w:sz w:val="24"/>
        </w:rPr>
      </w:pPr>
      <w:r>
        <w:rPr>
          <w:bCs/>
          <w:sz w:val="24"/>
        </w:rPr>
        <w:t>c</w:t>
      </w:r>
      <w:r>
        <w:rPr>
          <w:rFonts w:hint="eastAsia"/>
          <w:bCs/>
          <w:sz w:val="24"/>
        </w:rPr>
        <w:t>）</w:t>
      </w:r>
      <w:r>
        <w:rPr>
          <w:bCs/>
          <w:sz w:val="24"/>
        </w:rPr>
        <w:t>洞口特征</w:t>
      </w:r>
      <w:r>
        <w:rPr>
          <w:bCs/>
          <w:i/>
          <w:iCs/>
          <w:sz w:val="24"/>
        </w:rPr>
        <w:t>C</w:t>
      </w:r>
      <w:r>
        <w:rPr>
          <w:bCs/>
          <w:sz w:val="24"/>
        </w:rPr>
        <w:t>，主要考虑地质特征、洞口偏压角度、进洞施工难易程度。</w:t>
      </w:r>
    </w:p>
    <w:p w:rsidR="0073700B" w:rsidRDefault="001A2FFC" w:rsidP="00F80BAC">
      <w:pPr>
        <w:tabs>
          <w:tab w:val="left" w:pos="312"/>
        </w:tabs>
        <w:spacing w:beforeLines="50" w:before="156" w:line="360" w:lineRule="auto"/>
        <w:ind w:firstLineChars="200" w:firstLine="480"/>
        <w:rPr>
          <w:bCs/>
          <w:sz w:val="24"/>
        </w:rPr>
      </w:pPr>
      <w:r>
        <w:rPr>
          <w:bCs/>
          <w:sz w:val="24"/>
        </w:rPr>
        <w:t>地质特征</w:t>
      </w:r>
      <w:r>
        <w:rPr>
          <w:bCs/>
          <w:i/>
          <w:iCs/>
          <w:sz w:val="24"/>
        </w:rPr>
        <w:t>C</w:t>
      </w:r>
      <w:r>
        <w:rPr>
          <w:bCs/>
          <w:sz w:val="24"/>
          <w:vertAlign w:val="subscript"/>
        </w:rPr>
        <w:t>1</w:t>
      </w:r>
      <w:r>
        <w:rPr>
          <w:bCs/>
          <w:sz w:val="24"/>
        </w:rPr>
        <w:t>主要考虑隧道洞口岩土体的抗滑能力，古滑坡体或堆积体、破碎的边仰坡、比较稳定的边仰坡三者抗滑能力依次增加，施工风险依次减弱，考虑比较稳定的边仰坡有足够的抗滑能力，赋分值为</w:t>
      </w:r>
      <w:r>
        <w:rPr>
          <w:bCs/>
          <w:sz w:val="24"/>
        </w:rPr>
        <w:t>0</w:t>
      </w:r>
      <w:r>
        <w:rPr>
          <w:bCs/>
          <w:sz w:val="24"/>
        </w:rPr>
        <w:t>。</w:t>
      </w:r>
    </w:p>
    <w:p w:rsidR="0073700B" w:rsidRDefault="001A2FFC" w:rsidP="00F80BAC">
      <w:pPr>
        <w:tabs>
          <w:tab w:val="left" w:pos="312"/>
        </w:tabs>
        <w:spacing w:beforeLines="50" w:before="156" w:line="360" w:lineRule="auto"/>
        <w:ind w:firstLineChars="200" w:firstLine="480"/>
        <w:rPr>
          <w:bCs/>
          <w:sz w:val="24"/>
        </w:rPr>
      </w:pPr>
      <w:r>
        <w:rPr>
          <w:bCs/>
          <w:sz w:val="24"/>
        </w:rPr>
        <w:t>洞口偏压角度</w:t>
      </w:r>
      <w:r>
        <w:rPr>
          <w:bCs/>
          <w:i/>
          <w:iCs/>
          <w:sz w:val="24"/>
        </w:rPr>
        <w:t>C</w:t>
      </w:r>
      <w:r>
        <w:rPr>
          <w:bCs/>
          <w:sz w:val="24"/>
          <w:vertAlign w:val="subscript"/>
        </w:rPr>
        <w:t>2</w:t>
      </w:r>
      <w:r>
        <w:rPr>
          <w:bCs/>
          <w:sz w:val="24"/>
        </w:rPr>
        <w:t>，指垂直于隧道洞口的横剖面与地面的交线，该交线与水平面的夹角。参考《铁路隧道设计规范》（</w:t>
      </w:r>
      <w:r>
        <w:rPr>
          <w:bCs/>
          <w:sz w:val="24"/>
        </w:rPr>
        <w:t>JB 10003-2016</w:t>
      </w:r>
      <w:r>
        <w:rPr>
          <w:bCs/>
          <w:sz w:val="24"/>
        </w:rPr>
        <w:t>）</w:t>
      </w:r>
      <w:r>
        <w:rPr>
          <w:bCs/>
          <w:sz w:val="24"/>
        </w:rPr>
        <w:fldChar w:fldCharType="begin"/>
      </w:r>
      <w:r>
        <w:rPr>
          <w:bCs/>
          <w:sz w:val="24"/>
        </w:rPr>
        <w:instrText xml:space="preserve"> ADDIN NE.Ref.{EF04C7A3-38CC-4492-BC94-047A90A63421}</w:instrText>
      </w:r>
      <w:r>
        <w:rPr>
          <w:bCs/>
          <w:sz w:val="24"/>
        </w:rPr>
        <w:fldChar w:fldCharType="separate"/>
      </w:r>
      <w:r>
        <w:rPr>
          <w:color w:val="080000"/>
          <w:kern w:val="0"/>
          <w:sz w:val="24"/>
          <w:szCs w:val="24"/>
          <w:vertAlign w:val="superscript"/>
        </w:rPr>
        <w:t>[15]</w:t>
      </w:r>
      <w:r>
        <w:rPr>
          <w:bCs/>
          <w:sz w:val="24"/>
        </w:rPr>
        <w:fldChar w:fldCharType="end"/>
      </w:r>
      <w:r>
        <w:rPr>
          <w:bCs/>
          <w:sz w:val="24"/>
        </w:rPr>
        <w:t>，大多数偏压隧道处于洞口段与浅埋段，地形因素造成的偏压对隧道洞口浅埋段的稳定性影响很大，</w:t>
      </w:r>
      <w:r>
        <w:rPr>
          <w:bCs/>
          <w:sz w:val="24"/>
        </w:rPr>
        <w:t>本标准以岩层倾角表示偏压情况，倾角越大，则发生洞口失稳、塌方等事故的可能性就越大。参考已有研究成果</w:t>
      </w:r>
      <w:r>
        <w:rPr>
          <w:bCs/>
          <w:sz w:val="24"/>
        </w:rPr>
        <w:fldChar w:fldCharType="begin"/>
      </w:r>
      <w:r>
        <w:rPr>
          <w:bCs/>
          <w:sz w:val="24"/>
        </w:rPr>
        <w:instrText xml:space="preserve"> ADDIN NE.Ref.{CC177035-A23E-48FB-9526-6E3870687506}</w:instrText>
      </w:r>
      <w:r>
        <w:rPr>
          <w:bCs/>
          <w:sz w:val="24"/>
        </w:rPr>
        <w:fldChar w:fldCharType="separate"/>
      </w:r>
      <w:r>
        <w:rPr>
          <w:color w:val="080000"/>
          <w:kern w:val="0"/>
          <w:sz w:val="24"/>
          <w:szCs w:val="24"/>
          <w:vertAlign w:val="superscript"/>
        </w:rPr>
        <w:t>[16]</w:t>
      </w:r>
      <w:r>
        <w:rPr>
          <w:bCs/>
          <w:sz w:val="24"/>
        </w:rPr>
        <w:fldChar w:fldCharType="end"/>
      </w:r>
      <w:r>
        <w:rPr>
          <w:bCs/>
          <w:sz w:val="24"/>
        </w:rPr>
        <w:t>，本标准将洞口偏压角度分为大于</w:t>
      </w:r>
      <w:r>
        <w:rPr>
          <w:bCs/>
          <w:sz w:val="24"/>
        </w:rPr>
        <w:t>45°</w:t>
      </w:r>
      <w:r>
        <w:rPr>
          <w:bCs/>
          <w:sz w:val="24"/>
        </w:rPr>
        <w:t>、</w:t>
      </w:r>
      <w:r>
        <w:rPr>
          <w:bCs/>
          <w:sz w:val="24"/>
        </w:rPr>
        <w:t>30°~45°</w:t>
      </w:r>
      <w:r>
        <w:rPr>
          <w:bCs/>
          <w:sz w:val="24"/>
        </w:rPr>
        <w:t>、</w:t>
      </w:r>
      <w:r>
        <w:rPr>
          <w:bCs/>
          <w:sz w:val="24"/>
        </w:rPr>
        <w:t>15°~30°</w:t>
      </w:r>
      <w:r>
        <w:rPr>
          <w:bCs/>
          <w:sz w:val="24"/>
        </w:rPr>
        <w:t>、</w:t>
      </w:r>
      <w:r>
        <w:rPr>
          <w:bCs/>
          <w:sz w:val="24"/>
        </w:rPr>
        <w:t>15°</w:t>
      </w:r>
      <w:r>
        <w:rPr>
          <w:bCs/>
          <w:sz w:val="24"/>
        </w:rPr>
        <w:t>以下四个等级进行评价。</w:t>
      </w:r>
    </w:p>
    <w:p w:rsidR="0073700B" w:rsidRDefault="001A2FFC" w:rsidP="00F80BAC">
      <w:pPr>
        <w:tabs>
          <w:tab w:val="left" w:pos="312"/>
        </w:tabs>
        <w:spacing w:beforeLines="50" w:before="156" w:line="360" w:lineRule="auto"/>
        <w:ind w:firstLineChars="200" w:firstLine="480"/>
        <w:rPr>
          <w:bCs/>
          <w:sz w:val="24"/>
        </w:rPr>
      </w:pPr>
      <w:r>
        <w:rPr>
          <w:bCs/>
          <w:sz w:val="24"/>
        </w:rPr>
        <w:t>进洞施工难易程度</w:t>
      </w:r>
      <w:r>
        <w:rPr>
          <w:bCs/>
          <w:i/>
          <w:iCs/>
          <w:sz w:val="24"/>
        </w:rPr>
        <w:t>C</w:t>
      </w:r>
      <w:r>
        <w:rPr>
          <w:bCs/>
          <w:sz w:val="24"/>
          <w:vertAlign w:val="subscript"/>
        </w:rPr>
        <w:t>3</w:t>
      </w:r>
      <w:r>
        <w:rPr>
          <w:bCs/>
          <w:sz w:val="24"/>
        </w:rPr>
        <w:t>，参考《公路隧道施工技术规范》（</w:t>
      </w:r>
      <w:r>
        <w:rPr>
          <w:bCs/>
          <w:sz w:val="24"/>
        </w:rPr>
        <w:t>JTG F60-2009</w:t>
      </w:r>
      <w:r>
        <w:rPr>
          <w:bCs/>
          <w:sz w:val="24"/>
        </w:rPr>
        <w:t>）</w:t>
      </w:r>
      <w:bookmarkStart w:id="27" w:name="_Hlk29202127"/>
      <w:r>
        <w:rPr>
          <w:bCs/>
          <w:sz w:val="24"/>
        </w:rPr>
        <w:fldChar w:fldCharType="begin"/>
      </w:r>
      <w:r>
        <w:rPr>
          <w:bCs/>
          <w:sz w:val="24"/>
        </w:rPr>
        <w:instrText xml:space="preserve"> ADDIN NE.Ref.{4E1DDE9A-FEB5-41E1-B949-BB5C0E690364}</w:instrText>
      </w:r>
      <w:r>
        <w:rPr>
          <w:bCs/>
          <w:sz w:val="24"/>
        </w:rPr>
        <w:fldChar w:fldCharType="separate"/>
      </w:r>
      <w:r>
        <w:rPr>
          <w:color w:val="080000"/>
          <w:kern w:val="0"/>
          <w:sz w:val="24"/>
          <w:szCs w:val="24"/>
          <w:vertAlign w:val="superscript"/>
        </w:rPr>
        <w:t>[17]</w:t>
      </w:r>
      <w:r>
        <w:rPr>
          <w:bCs/>
          <w:sz w:val="24"/>
        </w:rPr>
        <w:fldChar w:fldCharType="end"/>
      </w:r>
      <w:bookmarkEnd w:id="27"/>
      <w:r>
        <w:rPr>
          <w:bCs/>
          <w:sz w:val="24"/>
        </w:rPr>
        <w:t>，洞口的不良地质条件、临近的建（构）筑物、公路、桥涵以及雨期、融雪期、严寒季节等均会加大进洞施工难度。以进洞施工难易程度为考量指标，进洞施工越困难，则施工风险越大。</w:t>
      </w:r>
    </w:p>
    <w:p w:rsidR="0073700B" w:rsidRDefault="001A2FFC" w:rsidP="00F80BAC">
      <w:pPr>
        <w:tabs>
          <w:tab w:val="left" w:pos="312"/>
        </w:tabs>
        <w:spacing w:beforeLines="50" w:before="156" w:line="360" w:lineRule="auto"/>
        <w:ind w:firstLineChars="200" w:firstLine="480"/>
        <w:rPr>
          <w:bCs/>
          <w:sz w:val="24"/>
        </w:rPr>
      </w:pPr>
      <w:r>
        <w:rPr>
          <w:bCs/>
          <w:sz w:val="24"/>
        </w:rPr>
        <w:t>d</w:t>
      </w:r>
      <w:r>
        <w:rPr>
          <w:rFonts w:hint="eastAsia"/>
          <w:bCs/>
          <w:sz w:val="24"/>
        </w:rPr>
        <w:t>）</w:t>
      </w:r>
      <w:r>
        <w:rPr>
          <w:bCs/>
          <w:sz w:val="24"/>
        </w:rPr>
        <w:t>年均降水量</w:t>
      </w:r>
      <w:r>
        <w:rPr>
          <w:bCs/>
          <w:i/>
          <w:iCs/>
          <w:sz w:val="24"/>
        </w:rPr>
        <w:t>W</w:t>
      </w:r>
      <w:r>
        <w:rPr>
          <w:bCs/>
          <w:sz w:val="24"/>
        </w:rPr>
        <w:t>，降水量过大，特别是持续的强降水，影响洞口工程施工；如果地表的排水、截水设施不完善，大量的地表水将会渗入地层，此外在隧道浅埋段降水易渗入隧道围岩，软化岩体并降低围岩强度，影响隧道围岩稳定性。故降水量越大，则总体施工安全风险越大。</w:t>
      </w:r>
    </w:p>
    <w:p w:rsidR="0073700B" w:rsidRDefault="001A2FFC" w:rsidP="00F80BAC">
      <w:pPr>
        <w:tabs>
          <w:tab w:val="left" w:pos="312"/>
        </w:tabs>
        <w:spacing w:beforeLines="50" w:before="156" w:line="360" w:lineRule="auto"/>
        <w:ind w:firstLineChars="200" w:firstLine="480"/>
        <w:rPr>
          <w:bCs/>
          <w:sz w:val="24"/>
        </w:rPr>
      </w:pPr>
      <w:r>
        <w:rPr>
          <w:rFonts w:hint="eastAsia"/>
          <w:bCs/>
          <w:sz w:val="24"/>
        </w:rPr>
        <w:t>e</w:t>
      </w:r>
      <w:r>
        <w:rPr>
          <w:rFonts w:hint="eastAsia"/>
          <w:bCs/>
          <w:sz w:val="24"/>
        </w:rPr>
        <w:t>）</w:t>
      </w:r>
      <w:r>
        <w:rPr>
          <w:bCs/>
          <w:sz w:val="24"/>
        </w:rPr>
        <w:t>资料完整性</w:t>
      </w:r>
      <w:r>
        <w:rPr>
          <w:bCs/>
          <w:i/>
          <w:iCs/>
          <w:sz w:val="24"/>
        </w:rPr>
        <w:t>D</w:t>
      </w:r>
      <w:r>
        <w:rPr>
          <w:bCs/>
          <w:sz w:val="24"/>
        </w:rPr>
        <w:t>，主要考虑地质、水文、气象资料完整性对地质条件的影响，资料越完整，可获取的隧道地质信</w:t>
      </w:r>
      <w:r>
        <w:rPr>
          <w:bCs/>
          <w:sz w:val="24"/>
        </w:rPr>
        <w:t>息越多，对应地质条件</w:t>
      </w:r>
      <w:r>
        <w:rPr>
          <w:bCs/>
          <w:i/>
          <w:iCs/>
          <w:sz w:val="24"/>
        </w:rPr>
        <w:t>G</w:t>
      </w:r>
      <w:r>
        <w:rPr>
          <w:bCs/>
          <w:sz w:val="24"/>
        </w:rPr>
        <w:t>的二级指标值</w:t>
      </w:r>
      <w:r>
        <w:rPr>
          <w:bCs/>
          <w:sz w:val="24"/>
        </w:rPr>
        <w:lastRenderedPageBreak/>
        <w:t>也越准确，对应的修正系数越小。</w:t>
      </w:r>
    </w:p>
    <w:p w:rsidR="0073700B" w:rsidRDefault="001A2FFC" w:rsidP="00F80BAC">
      <w:pPr>
        <w:tabs>
          <w:tab w:val="left" w:pos="312"/>
        </w:tabs>
        <w:spacing w:beforeLines="50" w:before="156" w:line="360" w:lineRule="auto"/>
        <w:ind w:firstLineChars="200" w:firstLine="480"/>
        <w:contextualSpacing/>
        <w:rPr>
          <w:bCs/>
          <w:sz w:val="24"/>
        </w:rPr>
      </w:pPr>
      <w:r>
        <w:rPr>
          <w:rFonts w:hint="eastAsia"/>
          <w:bCs/>
          <w:sz w:val="24"/>
        </w:rPr>
        <w:t>同时，本标准</w:t>
      </w:r>
      <w:r>
        <w:rPr>
          <w:bCs/>
          <w:sz w:val="24"/>
        </w:rPr>
        <w:t>给出了隧道施工安全总体风险分值计算公式</w:t>
      </w:r>
      <w:r>
        <w:rPr>
          <w:rFonts w:hint="eastAsia"/>
          <w:bCs/>
          <w:sz w:val="24"/>
        </w:rPr>
        <w:t>。</w:t>
      </w:r>
      <w:r>
        <w:rPr>
          <w:bCs/>
          <w:sz w:val="24"/>
        </w:rPr>
        <w:t>总体原则为同一项别下的二级指标评估分值相加，资料完整性对地质条件的影响、降水量对洞口特征的影响分别作为系数处理。</w:t>
      </w:r>
    </w:p>
    <w:p w:rsidR="0073700B" w:rsidRDefault="001A2FFC" w:rsidP="00F80BAC">
      <w:pPr>
        <w:tabs>
          <w:tab w:val="left" w:pos="312"/>
        </w:tabs>
        <w:spacing w:beforeLines="50" w:before="156" w:line="360" w:lineRule="auto"/>
        <w:ind w:firstLineChars="200" w:firstLine="480"/>
        <w:contextualSpacing/>
        <w:rPr>
          <w:bCs/>
          <w:sz w:val="24"/>
          <w:szCs w:val="21"/>
        </w:rPr>
      </w:pPr>
      <w:r>
        <w:rPr>
          <w:rFonts w:hint="eastAsia"/>
          <w:bCs/>
          <w:sz w:val="24"/>
        </w:rPr>
        <w:t>④</w:t>
      </w:r>
      <w:r>
        <w:rPr>
          <w:bCs/>
          <w:sz w:val="24"/>
        </w:rPr>
        <w:t>给出了</w:t>
      </w:r>
      <w:r>
        <w:rPr>
          <w:bCs/>
          <w:sz w:val="24"/>
          <w:szCs w:val="21"/>
        </w:rPr>
        <w:t>隧道工程总体风险分级标准，对照此</w:t>
      </w:r>
      <w:r>
        <w:rPr>
          <w:bCs/>
          <w:sz w:val="24"/>
        </w:rPr>
        <w:t>分级</w:t>
      </w:r>
      <w:r>
        <w:rPr>
          <w:bCs/>
          <w:sz w:val="24"/>
          <w:szCs w:val="21"/>
        </w:rPr>
        <w:t>标准即可得出总体风险等级。</w:t>
      </w:r>
    </w:p>
    <w:p w:rsidR="0073700B" w:rsidRDefault="001A2FFC" w:rsidP="00F80BAC">
      <w:pPr>
        <w:tabs>
          <w:tab w:val="left" w:pos="312"/>
        </w:tabs>
        <w:spacing w:beforeLines="50" w:before="156" w:line="360" w:lineRule="auto"/>
        <w:ind w:firstLineChars="200" w:firstLine="480"/>
        <w:contextualSpacing/>
        <w:rPr>
          <w:bCs/>
          <w:sz w:val="24"/>
        </w:rPr>
      </w:pPr>
      <w:r>
        <w:rPr>
          <w:bCs/>
          <w:sz w:val="24"/>
          <w:szCs w:val="21"/>
        </w:rPr>
        <w:t>总体风险分级标准的区间界限是由统计分析并估算求得。通过查阅文献，汇总近</w:t>
      </w:r>
      <w:r>
        <w:rPr>
          <w:bCs/>
          <w:sz w:val="24"/>
          <w:szCs w:val="21"/>
        </w:rPr>
        <w:t>100</w:t>
      </w:r>
      <w:r>
        <w:rPr>
          <w:bCs/>
          <w:sz w:val="24"/>
          <w:szCs w:val="21"/>
        </w:rPr>
        <w:t>个隧道工程资料，按照指标体系评估，</w:t>
      </w:r>
      <w:r>
        <w:rPr>
          <w:bCs/>
          <w:sz w:val="24"/>
        </w:rPr>
        <w:t>分别对其进行风险评估分值试算，计算其正态分布，采用</w:t>
      </w:r>
      <w:r>
        <w:rPr>
          <w:bCs/>
          <w:sz w:val="24"/>
        </w:rPr>
        <w:t>2</w:t>
      </w:r>
      <w:r>
        <w:rPr>
          <w:bCs/>
          <w:i/>
          <w:iCs/>
          <w:sz w:val="24"/>
        </w:rPr>
        <w:t>σ</w:t>
      </w:r>
      <w:r>
        <w:rPr>
          <w:bCs/>
          <w:sz w:val="24"/>
        </w:rPr>
        <w:t>原理确定</w:t>
      </w:r>
      <w:r>
        <w:rPr>
          <w:rFonts w:ascii="宋体" w:hAnsi="宋体" w:cs="宋体" w:hint="eastAsia"/>
          <w:bCs/>
          <w:sz w:val="24"/>
        </w:rPr>
        <w:t>Ⅲ</w:t>
      </w:r>
      <w:r>
        <w:rPr>
          <w:bCs/>
          <w:sz w:val="24"/>
        </w:rPr>
        <w:t>级、</w:t>
      </w:r>
      <w:r>
        <w:rPr>
          <w:rFonts w:ascii="宋体" w:hAnsi="宋体" w:cs="宋体" w:hint="eastAsia"/>
          <w:bCs/>
          <w:sz w:val="24"/>
        </w:rPr>
        <w:t>Ⅱ</w:t>
      </w:r>
      <w:r>
        <w:rPr>
          <w:bCs/>
          <w:sz w:val="24"/>
        </w:rPr>
        <w:t>级、</w:t>
      </w:r>
      <w:r>
        <w:rPr>
          <w:rFonts w:ascii="宋体" w:hAnsi="宋体" w:cs="宋体" w:hint="eastAsia"/>
          <w:sz w:val="24"/>
          <w:szCs w:val="28"/>
        </w:rPr>
        <w:t>Ⅰ</w:t>
      </w:r>
      <w:r>
        <w:rPr>
          <w:bCs/>
          <w:sz w:val="24"/>
        </w:rPr>
        <w:t>级风险区间，结果如下：</w:t>
      </w:r>
    </w:p>
    <w:p w:rsidR="0073700B" w:rsidRDefault="001A2FFC" w:rsidP="00F80BAC">
      <w:pPr>
        <w:tabs>
          <w:tab w:val="left" w:pos="312"/>
        </w:tabs>
        <w:spacing w:beforeLines="50" w:before="156" w:line="360" w:lineRule="auto"/>
        <w:ind w:firstLineChars="200" w:firstLine="480"/>
        <w:contextualSpacing/>
        <w:rPr>
          <w:bCs/>
          <w:sz w:val="24"/>
        </w:rPr>
      </w:pPr>
      <w:r>
        <w:rPr>
          <w:bCs/>
          <w:sz w:val="24"/>
        </w:rPr>
        <w:t>由试算结果得到</w:t>
      </w:r>
      <w:r>
        <w:rPr>
          <w:rFonts w:ascii="宋体" w:hAnsi="宋体" w:cs="宋体" w:hint="eastAsia"/>
          <w:bCs/>
          <w:sz w:val="24"/>
        </w:rPr>
        <w:t>Ⅲ</w:t>
      </w:r>
      <w:r>
        <w:rPr>
          <w:bCs/>
          <w:sz w:val="24"/>
        </w:rPr>
        <w:t>级风险区间为</w:t>
      </w:r>
      <w:r>
        <w:rPr>
          <w:bCs/>
          <w:sz w:val="24"/>
        </w:rPr>
        <w:t>(18.46</w:t>
      </w:r>
      <w:r>
        <w:rPr>
          <w:bCs/>
          <w:sz w:val="24"/>
        </w:rPr>
        <w:t>，</w:t>
      </w:r>
      <w:r>
        <w:rPr>
          <w:bCs/>
          <w:sz w:val="24"/>
        </w:rPr>
        <w:t>34.25)</w:t>
      </w:r>
      <w:r>
        <w:rPr>
          <w:bCs/>
          <w:sz w:val="24"/>
        </w:rPr>
        <w:t>，平均值为</w:t>
      </w:r>
      <w:r>
        <w:rPr>
          <w:bCs/>
          <w:sz w:val="24"/>
        </w:rPr>
        <w:t>26.48</w:t>
      </w:r>
      <w:r>
        <w:rPr>
          <w:bCs/>
          <w:sz w:val="24"/>
        </w:rPr>
        <w:t>，标准方差为</w:t>
      </w:r>
      <w:r>
        <w:rPr>
          <w:bCs/>
          <w:sz w:val="24"/>
        </w:rPr>
        <w:t>16.08</w:t>
      </w:r>
      <w:r>
        <w:rPr>
          <w:bCs/>
          <w:sz w:val="24"/>
        </w:rPr>
        <w:t>；</w:t>
      </w:r>
      <w:r>
        <w:rPr>
          <w:rFonts w:ascii="宋体" w:hAnsi="宋体" w:cs="宋体" w:hint="eastAsia"/>
          <w:bCs/>
          <w:sz w:val="24"/>
        </w:rPr>
        <w:t>Ⅱ</w:t>
      </w:r>
      <w:r>
        <w:rPr>
          <w:bCs/>
          <w:sz w:val="24"/>
        </w:rPr>
        <w:t>级风险区间为</w:t>
      </w:r>
      <w:r>
        <w:rPr>
          <w:bCs/>
          <w:sz w:val="24"/>
        </w:rPr>
        <w:t>(25.38</w:t>
      </w:r>
      <w:r>
        <w:rPr>
          <w:bCs/>
          <w:sz w:val="24"/>
        </w:rPr>
        <w:t>，</w:t>
      </w:r>
      <w:r>
        <w:rPr>
          <w:bCs/>
          <w:sz w:val="24"/>
        </w:rPr>
        <w:t>39.47)</w:t>
      </w:r>
      <w:r>
        <w:rPr>
          <w:bCs/>
          <w:sz w:val="24"/>
        </w:rPr>
        <w:t>，平均值为</w:t>
      </w:r>
      <w:r>
        <w:rPr>
          <w:bCs/>
          <w:sz w:val="24"/>
        </w:rPr>
        <w:t>32.43</w:t>
      </w:r>
      <w:r>
        <w:rPr>
          <w:bCs/>
          <w:sz w:val="24"/>
        </w:rPr>
        <w:t>，标准方差为</w:t>
      </w:r>
      <w:r>
        <w:rPr>
          <w:bCs/>
          <w:sz w:val="24"/>
        </w:rPr>
        <w:t>12.42</w:t>
      </w:r>
      <w:r>
        <w:rPr>
          <w:bCs/>
          <w:sz w:val="24"/>
        </w:rPr>
        <w:t>；</w:t>
      </w:r>
      <w:r>
        <w:rPr>
          <w:rFonts w:ascii="宋体" w:hAnsi="宋体" w:cs="宋体" w:hint="eastAsia"/>
          <w:bCs/>
          <w:sz w:val="24"/>
        </w:rPr>
        <w:t>Ⅰ</w:t>
      </w:r>
      <w:r>
        <w:rPr>
          <w:bCs/>
          <w:sz w:val="24"/>
        </w:rPr>
        <w:t>级风险区间为</w:t>
      </w:r>
      <w:r>
        <w:rPr>
          <w:bCs/>
          <w:sz w:val="24"/>
        </w:rPr>
        <w:t>(35.21</w:t>
      </w:r>
      <w:r>
        <w:rPr>
          <w:bCs/>
          <w:sz w:val="24"/>
        </w:rPr>
        <w:t>，</w:t>
      </w:r>
      <w:r>
        <w:rPr>
          <w:bCs/>
          <w:sz w:val="24"/>
        </w:rPr>
        <w:t>52.17)</w:t>
      </w:r>
      <w:r>
        <w:rPr>
          <w:bCs/>
          <w:sz w:val="24"/>
        </w:rPr>
        <w:t>，平均值为</w:t>
      </w:r>
      <w:r>
        <w:rPr>
          <w:bCs/>
          <w:sz w:val="24"/>
        </w:rPr>
        <w:t>45.56</w:t>
      </w:r>
      <w:r>
        <w:rPr>
          <w:bCs/>
          <w:sz w:val="24"/>
        </w:rPr>
        <w:t>，标准方差为</w:t>
      </w:r>
      <w:r>
        <w:rPr>
          <w:bCs/>
          <w:sz w:val="24"/>
        </w:rPr>
        <w:t>14.69</w:t>
      </w:r>
      <w:r>
        <w:rPr>
          <w:bCs/>
          <w:sz w:val="24"/>
        </w:rPr>
        <w:t>。</w:t>
      </w:r>
    </w:p>
    <w:p w:rsidR="0073700B" w:rsidRDefault="001A2FFC" w:rsidP="00F80BAC">
      <w:pPr>
        <w:tabs>
          <w:tab w:val="left" w:pos="312"/>
        </w:tabs>
        <w:spacing w:beforeLines="50" w:before="156" w:line="360" w:lineRule="auto"/>
        <w:ind w:firstLineChars="200" w:firstLine="480"/>
        <w:contextualSpacing/>
        <w:rPr>
          <w:bCs/>
          <w:sz w:val="24"/>
        </w:rPr>
      </w:pPr>
      <w:r>
        <w:rPr>
          <w:bCs/>
          <w:sz w:val="24"/>
        </w:rPr>
        <w:t>为减少离散数据对试算结果的影响，删除试算结果较大值和较小值后得到的</w:t>
      </w:r>
      <w:r>
        <w:rPr>
          <w:rFonts w:ascii="宋体" w:hAnsi="宋体" w:cs="宋体" w:hint="eastAsia"/>
          <w:sz w:val="24"/>
          <w:szCs w:val="28"/>
        </w:rPr>
        <w:t>Ⅲ</w:t>
      </w:r>
      <w:r>
        <w:rPr>
          <w:bCs/>
          <w:sz w:val="24"/>
        </w:rPr>
        <w:t>级风险区间为</w:t>
      </w:r>
      <w:r>
        <w:rPr>
          <w:bCs/>
          <w:sz w:val="24"/>
        </w:rPr>
        <w:t>(18.19</w:t>
      </w:r>
      <w:r>
        <w:rPr>
          <w:bCs/>
          <w:sz w:val="24"/>
        </w:rPr>
        <w:t>，</w:t>
      </w:r>
      <w:r>
        <w:rPr>
          <w:bCs/>
          <w:sz w:val="24"/>
        </w:rPr>
        <w:t>31.7)</w:t>
      </w:r>
      <w:r>
        <w:rPr>
          <w:bCs/>
          <w:sz w:val="24"/>
        </w:rPr>
        <w:t>，平均值为</w:t>
      </w:r>
      <w:r>
        <w:rPr>
          <w:bCs/>
          <w:sz w:val="24"/>
        </w:rPr>
        <w:t>24.95</w:t>
      </w:r>
      <w:r>
        <w:rPr>
          <w:bCs/>
          <w:sz w:val="24"/>
        </w:rPr>
        <w:t>，标准方差为</w:t>
      </w:r>
      <w:r>
        <w:rPr>
          <w:bCs/>
          <w:sz w:val="24"/>
        </w:rPr>
        <w:t>11.41</w:t>
      </w:r>
      <w:r>
        <w:rPr>
          <w:bCs/>
          <w:sz w:val="24"/>
        </w:rPr>
        <w:t>；</w:t>
      </w:r>
      <w:r>
        <w:rPr>
          <w:rFonts w:ascii="宋体" w:hAnsi="宋体" w:cs="宋体" w:hint="eastAsia"/>
          <w:bCs/>
          <w:sz w:val="24"/>
        </w:rPr>
        <w:t>Ⅱ</w:t>
      </w:r>
      <w:r>
        <w:rPr>
          <w:bCs/>
          <w:sz w:val="24"/>
        </w:rPr>
        <w:t>级风险区间为</w:t>
      </w:r>
      <w:r>
        <w:rPr>
          <w:bCs/>
          <w:sz w:val="24"/>
        </w:rPr>
        <w:t>(25.35</w:t>
      </w:r>
      <w:r>
        <w:rPr>
          <w:bCs/>
          <w:sz w:val="24"/>
        </w:rPr>
        <w:t>，</w:t>
      </w:r>
      <w:r>
        <w:rPr>
          <w:bCs/>
          <w:sz w:val="24"/>
        </w:rPr>
        <w:t>37.53)</w:t>
      </w:r>
      <w:r>
        <w:rPr>
          <w:bCs/>
          <w:sz w:val="24"/>
        </w:rPr>
        <w:t>，平均值为</w:t>
      </w:r>
      <w:r>
        <w:rPr>
          <w:bCs/>
          <w:sz w:val="24"/>
        </w:rPr>
        <w:t>31.44</w:t>
      </w:r>
      <w:r>
        <w:rPr>
          <w:bCs/>
          <w:sz w:val="24"/>
        </w:rPr>
        <w:t>，标准方差为</w:t>
      </w:r>
      <w:r>
        <w:rPr>
          <w:bCs/>
          <w:sz w:val="24"/>
        </w:rPr>
        <w:t>9.266</w:t>
      </w:r>
      <w:r>
        <w:rPr>
          <w:bCs/>
          <w:sz w:val="24"/>
        </w:rPr>
        <w:t>；</w:t>
      </w:r>
      <w:r>
        <w:rPr>
          <w:rFonts w:ascii="宋体" w:hAnsi="宋体" w:cs="宋体" w:hint="eastAsia"/>
          <w:bCs/>
          <w:sz w:val="24"/>
        </w:rPr>
        <w:t>Ⅰ</w:t>
      </w:r>
      <w:r>
        <w:rPr>
          <w:bCs/>
          <w:sz w:val="24"/>
        </w:rPr>
        <w:t>级风险区</w:t>
      </w:r>
      <w:r>
        <w:rPr>
          <w:bCs/>
          <w:sz w:val="24"/>
        </w:rPr>
        <w:t>间为</w:t>
      </w:r>
      <w:r>
        <w:rPr>
          <w:bCs/>
          <w:sz w:val="24"/>
        </w:rPr>
        <w:t>(35.72</w:t>
      </w:r>
      <w:r>
        <w:rPr>
          <w:bCs/>
          <w:sz w:val="24"/>
        </w:rPr>
        <w:t>，</w:t>
      </w:r>
      <w:r>
        <w:rPr>
          <w:bCs/>
          <w:sz w:val="24"/>
        </w:rPr>
        <w:t>51.89)</w:t>
      </w:r>
      <w:r>
        <w:rPr>
          <w:bCs/>
          <w:sz w:val="24"/>
        </w:rPr>
        <w:t>，平均值为</w:t>
      </w:r>
      <w:r>
        <w:rPr>
          <w:bCs/>
          <w:sz w:val="24"/>
        </w:rPr>
        <w:t>44.23</w:t>
      </w:r>
      <w:r>
        <w:rPr>
          <w:bCs/>
          <w:sz w:val="24"/>
        </w:rPr>
        <w:t>，标准方差为</w:t>
      </w:r>
      <w:r>
        <w:rPr>
          <w:bCs/>
          <w:sz w:val="24"/>
        </w:rPr>
        <w:t>10.02</w:t>
      </w:r>
      <w:r>
        <w:rPr>
          <w:bCs/>
          <w:sz w:val="24"/>
        </w:rPr>
        <w:t>。</w:t>
      </w:r>
    </w:p>
    <w:p w:rsidR="0073700B" w:rsidRDefault="001A2FFC" w:rsidP="00F80BAC">
      <w:pPr>
        <w:tabs>
          <w:tab w:val="left" w:pos="312"/>
        </w:tabs>
        <w:spacing w:beforeLines="50" w:before="156" w:line="360" w:lineRule="auto"/>
        <w:ind w:firstLineChars="200" w:firstLine="480"/>
        <w:contextualSpacing/>
        <w:rPr>
          <w:bCs/>
          <w:sz w:val="24"/>
          <w:szCs w:val="21"/>
        </w:rPr>
      </w:pPr>
      <w:r>
        <w:rPr>
          <w:bCs/>
          <w:sz w:val="24"/>
        </w:rPr>
        <w:t>为直观对比分析，将上述数据做成表格，见</w:t>
      </w:r>
      <w:r>
        <w:fldChar w:fldCharType="begin"/>
      </w:r>
      <w:r>
        <w:instrText xml:space="preserve"> REF _Ref535910631 \h  \* MERGEFORMAT </w:instrText>
      </w:r>
      <w:r>
        <w:fldChar w:fldCharType="separate"/>
      </w:r>
      <w:r>
        <w:rPr>
          <w:bCs/>
          <w:sz w:val="24"/>
        </w:rPr>
        <w:t>表</w:t>
      </w:r>
      <w:r>
        <w:rPr>
          <w:bCs/>
          <w:sz w:val="24"/>
        </w:rPr>
        <w:t>5</w:t>
      </w:r>
      <w:r>
        <w:rPr>
          <w:bCs/>
          <w:sz w:val="24"/>
        </w:rPr>
        <w:noBreakHyphen/>
        <w:t>4</w:t>
      </w:r>
      <w:r>
        <w:rPr>
          <w:bCs/>
          <w:sz w:val="24"/>
        </w:rPr>
        <w:fldChar w:fldCharType="end"/>
      </w:r>
      <w:r>
        <w:rPr>
          <w:bCs/>
          <w:sz w:val="24"/>
        </w:rPr>
        <w:t>，并进一步求出各等级试算分值的</w:t>
      </w:r>
      <w:r>
        <w:rPr>
          <w:bCs/>
          <w:sz w:val="24"/>
          <w:szCs w:val="21"/>
        </w:rPr>
        <w:t>第一四分位数、第二四分位数、第三四分位数。</w:t>
      </w:r>
    </w:p>
    <w:p w:rsidR="0073700B" w:rsidRDefault="001A2FFC" w:rsidP="00F80BAC">
      <w:pPr>
        <w:tabs>
          <w:tab w:val="left" w:pos="312"/>
        </w:tabs>
        <w:spacing w:beforeLines="50" w:before="156" w:line="360" w:lineRule="auto"/>
        <w:ind w:firstLineChars="200" w:firstLine="480"/>
        <w:contextualSpacing/>
        <w:rPr>
          <w:bCs/>
          <w:sz w:val="24"/>
          <w:szCs w:val="21"/>
        </w:rPr>
      </w:pPr>
      <w:r>
        <w:rPr>
          <w:bCs/>
          <w:sz w:val="24"/>
          <w:szCs w:val="21"/>
        </w:rPr>
        <w:t>最后以试算结果第一四分位数作为各分级区间的界限。</w:t>
      </w:r>
    </w:p>
    <w:p w:rsidR="0073700B" w:rsidRDefault="001A2FFC">
      <w:pPr>
        <w:pStyle w:val="a6"/>
        <w:rPr>
          <w:rFonts w:ascii="黑体" w:eastAsia="黑体" w:hAnsi="黑体"/>
          <w:b w:val="0"/>
          <w:bCs/>
        </w:rPr>
      </w:pPr>
      <w:bookmarkStart w:id="28" w:name="_Ref535910631"/>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5</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w:instrText>
      </w:r>
      <w:r>
        <w:rPr>
          <w:rFonts w:ascii="黑体" w:eastAsia="黑体" w:hAnsi="黑体"/>
          <w:b w:val="0"/>
          <w:bCs/>
        </w:rPr>
        <w:instrText xml:space="preserve">\* ARABIC \s 3 </w:instrText>
      </w:r>
      <w:r>
        <w:rPr>
          <w:rFonts w:ascii="黑体" w:eastAsia="黑体" w:hAnsi="黑体"/>
          <w:b w:val="0"/>
          <w:bCs/>
        </w:rPr>
        <w:fldChar w:fldCharType="separate"/>
      </w:r>
      <w:r>
        <w:rPr>
          <w:rFonts w:ascii="黑体" w:eastAsia="黑体" w:hAnsi="黑体"/>
          <w:b w:val="0"/>
          <w:bCs/>
        </w:rPr>
        <w:t>4</w:t>
      </w:r>
      <w:r>
        <w:rPr>
          <w:rFonts w:ascii="黑体" w:eastAsia="黑体" w:hAnsi="黑体"/>
          <w:b w:val="0"/>
          <w:bCs/>
        </w:rPr>
        <w:fldChar w:fldCharType="end"/>
      </w:r>
      <w:bookmarkEnd w:id="28"/>
      <w:r>
        <w:rPr>
          <w:rFonts w:ascii="黑体" w:eastAsia="黑体" w:hAnsi="黑体"/>
          <w:b w:val="0"/>
          <w:bCs/>
        </w:rPr>
        <w:t xml:space="preserve">  </w:t>
      </w:r>
      <w:r>
        <w:rPr>
          <w:rFonts w:ascii="黑体" w:eastAsia="黑体" w:hAnsi="黑体"/>
          <w:b w:val="0"/>
          <w:bCs/>
        </w:rPr>
        <w:t>试算结果分析对比表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94"/>
        <w:gridCol w:w="1395"/>
        <w:gridCol w:w="1395"/>
        <w:gridCol w:w="1395"/>
        <w:gridCol w:w="1395"/>
        <w:gridCol w:w="1395"/>
      </w:tblGrid>
      <w:tr w:rsidR="0073700B">
        <w:trPr>
          <w:trHeight w:val="454"/>
          <w:jc w:val="center"/>
        </w:trPr>
        <w:tc>
          <w:tcPr>
            <w:tcW w:w="1129" w:type="dxa"/>
            <w:tcBorders>
              <w:top w:val="single" w:sz="8" w:space="0" w:color="auto"/>
              <w:left w:val="single" w:sz="8" w:space="0" w:color="auto"/>
              <w:bottom w:val="single" w:sz="8" w:space="0" w:color="auto"/>
              <w:right w:val="single" w:sz="2" w:space="0" w:color="auto"/>
              <w:tl2br w:val="single" w:sz="4" w:space="0" w:color="auto"/>
            </w:tcBorders>
            <w:shd w:val="clear" w:color="auto" w:fill="auto"/>
            <w:vAlign w:val="center"/>
          </w:tcPr>
          <w:p w:rsidR="0073700B" w:rsidRDefault="001A2FFC">
            <w:pPr>
              <w:ind w:firstLineChars="200" w:firstLine="420"/>
              <w:jc w:val="center"/>
              <w:rPr>
                <w:bCs/>
                <w:szCs w:val="21"/>
              </w:rPr>
            </w:pPr>
            <w:r>
              <w:rPr>
                <w:bCs/>
                <w:szCs w:val="21"/>
              </w:rPr>
              <w:t>项目</w:t>
            </w:r>
          </w:p>
          <w:p w:rsidR="0073700B" w:rsidRDefault="001A2FFC">
            <w:pPr>
              <w:rPr>
                <w:bCs/>
                <w:szCs w:val="21"/>
              </w:rPr>
            </w:pPr>
            <w:r>
              <w:rPr>
                <w:bCs/>
                <w:szCs w:val="21"/>
              </w:rPr>
              <w:t>类别</w:t>
            </w:r>
          </w:p>
        </w:tc>
        <w:tc>
          <w:tcPr>
            <w:tcW w:w="4184" w:type="dxa"/>
            <w:gridSpan w:val="3"/>
            <w:tcBorders>
              <w:top w:val="single" w:sz="8" w:space="0" w:color="auto"/>
              <w:left w:val="single" w:sz="2" w:space="0" w:color="auto"/>
              <w:bottom w:val="single" w:sz="8" w:space="0" w:color="auto"/>
              <w:right w:val="single" w:sz="4" w:space="0" w:color="auto"/>
            </w:tcBorders>
            <w:shd w:val="clear" w:color="auto" w:fill="auto"/>
            <w:vAlign w:val="center"/>
          </w:tcPr>
          <w:p w:rsidR="0073700B" w:rsidRDefault="001A2FFC">
            <w:pPr>
              <w:jc w:val="center"/>
              <w:rPr>
                <w:bCs/>
              </w:rPr>
            </w:pPr>
            <w:r>
              <w:rPr>
                <w:bCs/>
              </w:rPr>
              <w:t xml:space="preserve">1 </w:t>
            </w:r>
            <w:r>
              <w:rPr>
                <w:bCs/>
              </w:rPr>
              <w:t>根据原始数据</w:t>
            </w:r>
          </w:p>
        </w:tc>
        <w:tc>
          <w:tcPr>
            <w:tcW w:w="4185"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73700B" w:rsidRDefault="001A2FFC">
            <w:pPr>
              <w:jc w:val="center"/>
              <w:rPr>
                <w:bCs/>
              </w:rPr>
            </w:pPr>
            <w:r>
              <w:rPr>
                <w:bCs/>
              </w:rPr>
              <w:t xml:space="preserve">2 </w:t>
            </w:r>
            <w:r>
              <w:rPr>
                <w:bCs/>
              </w:rPr>
              <w:t>删减试算结果较大较小值</w:t>
            </w:r>
          </w:p>
        </w:tc>
      </w:tr>
      <w:tr w:rsidR="0073700B">
        <w:trPr>
          <w:jc w:val="center"/>
        </w:trPr>
        <w:tc>
          <w:tcPr>
            <w:tcW w:w="1129" w:type="dxa"/>
            <w:tcBorders>
              <w:top w:val="single" w:sz="8" w:space="0" w:color="auto"/>
              <w:left w:val="single" w:sz="8" w:space="0" w:color="auto"/>
              <w:bottom w:val="single" w:sz="4" w:space="0" w:color="auto"/>
              <w:right w:val="single" w:sz="2" w:space="0" w:color="auto"/>
            </w:tcBorders>
            <w:shd w:val="clear" w:color="auto" w:fill="auto"/>
            <w:vAlign w:val="center"/>
          </w:tcPr>
          <w:p w:rsidR="0073700B" w:rsidRDefault="001A2FFC">
            <w:pPr>
              <w:jc w:val="center"/>
              <w:rPr>
                <w:bCs/>
                <w:szCs w:val="21"/>
              </w:rPr>
            </w:pPr>
            <w:r>
              <w:rPr>
                <w:bCs/>
                <w:szCs w:val="21"/>
              </w:rPr>
              <w:t>风险等级</w:t>
            </w:r>
          </w:p>
        </w:tc>
        <w:tc>
          <w:tcPr>
            <w:tcW w:w="1394" w:type="dxa"/>
            <w:tcBorders>
              <w:top w:val="single" w:sz="8" w:space="0" w:color="auto"/>
              <w:left w:val="single" w:sz="2" w:space="0" w:color="auto"/>
              <w:bottom w:val="single" w:sz="4" w:space="0" w:color="auto"/>
              <w:right w:val="single" w:sz="2" w:space="0" w:color="auto"/>
            </w:tcBorders>
            <w:shd w:val="clear" w:color="auto" w:fill="auto"/>
            <w:vAlign w:val="center"/>
          </w:tcPr>
          <w:p w:rsidR="0073700B" w:rsidRDefault="001A2FFC">
            <w:pPr>
              <w:jc w:val="center"/>
              <w:rPr>
                <w:bCs/>
                <w:sz w:val="20"/>
                <w:szCs w:val="21"/>
              </w:rPr>
            </w:pPr>
            <w:r>
              <w:rPr>
                <w:rFonts w:ascii="宋体" w:hAnsi="宋体" w:cs="宋体" w:hint="eastAsia"/>
                <w:bCs/>
                <w:sz w:val="20"/>
                <w:szCs w:val="21"/>
              </w:rPr>
              <w:t>Ⅲ</w:t>
            </w:r>
            <w:r>
              <w:rPr>
                <w:bCs/>
                <w:sz w:val="20"/>
                <w:szCs w:val="21"/>
              </w:rPr>
              <w:t>级</w:t>
            </w:r>
          </w:p>
        </w:tc>
        <w:tc>
          <w:tcPr>
            <w:tcW w:w="1395" w:type="dxa"/>
            <w:tcBorders>
              <w:top w:val="single" w:sz="8" w:space="0" w:color="auto"/>
              <w:left w:val="single" w:sz="2" w:space="0" w:color="auto"/>
              <w:bottom w:val="single" w:sz="4" w:space="0" w:color="auto"/>
              <w:right w:val="single" w:sz="2" w:space="0" w:color="auto"/>
            </w:tcBorders>
            <w:shd w:val="clear" w:color="auto" w:fill="auto"/>
            <w:vAlign w:val="center"/>
          </w:tcPr>
          <w:p w:rsidR="0073700B" w:rsidRDefault="001A2FFC">
            <w:pPr>
              <w:jc w:val="center"/>
              <w:rPr>
                <w:bCs/>
                <w:sz w:val="20"/>
                <w:szCs w:val="21"/>
              </w:rPr>
            </w:pPr>
            <w:r>
              <w:rPr>
                <w:rFonts w:ascii="宋体" w:hAnsi="宋体" w:cs="宋体" w:hint="eastAsia"/>
                <w:bCs/>
                <w:sz w:val="20"/>
                <w:szCs w:val="21"/>
              </w:rPr>
              <w:t>Ⅱ</w:t>
            </w:r>
            <w:r>
              <w:rPr>
                <w:bCs/>
                <w:sz w:val="20"/>
                <w:szCs w:val="21"/>
              </w:rPr>
              <w:t>级</w:t>
            </w:r>
          </w:p>
        </w:tc>
        <w:tc>
          <w:tcPr>
            <w:tcW w:w="1395" w:type="dxa"/>
            <w:tcBorders>
              <w:top w:val="single" w:sz="8" w:space="0" w:color="auto"/>
              <w:left w:val="single" w:sz="2" w:space="0" w:color="auto"/>
              <w:bottom w:val="single" w:sz="4" w:space="0" w:color="auto"/>
              <w:right w:val="single" w:sz="4" w:space="0" w:color="auto"/>
            </w:tcBorders>
            <w:shd w:val="clear" w:color="auto" w:fill="auto"/>
          </w:tcPr>
          <w:p w:rsidR="0073700B" w:rsidRDefault="001A2FFC">
            <w:pPr>
              <w:jc w:val="center"/>
              <w:rPr>
                <w:bCs/>
                <w:sz w:val="20"/>
                <w:szCs w:val="21"/>
              </w:rPr>
            </w:pPr>
            <w:r>
              <w:rPr>
                <w:rFonts w:ascii="宋体" w:hAnsi="宋体" w:cs="宋体" w:hint="eastAsia"/>
                <w:bCs/>
                <w:sz w:val="20"/>
                <w:szCs w:val="21"/>
              </w:rPr>
              <w:t>Ⅰ</w:t>
            </w:r>
            <w:r>
              <w:rPr>
                <w:bCs/>
                <w:sz w:val="20"/>
                <w:szCs w:val="21"/>
              </w:rPr>
              <w:t>级</w:t>
            </w:r>
          </w:p>
        </w:tc>
        <w:tc>
          <w:tcPr>
            <w:tcW w:w="1395" w:type="dxa"/>
            <w:tcBorders>
              <w:top w:val="single" w:sz="8" w:space="0" w:color="auto"/>
              <w:left w:val="single" w:sz="4" w:space="0" w:color="auto"/>
              <w:bottom w:val="single" w:sz="2" w:space="0" w:color="auto"/>
              <w:right w:val="single" w:sz="4" w:space="0" w:color="auto"/>
            </w:tcBorders>
            <w:shd w:val="clear" w:color="auto" w:fill="auto"/>
          </w:tcPr>
          <w:p w:rsidR="0073700B" w:rsidRDefault="001A2FFC">
            <w:pPr>
              <w:jc w:val="center"/>
              <w:rPr>
                <w:bCs/>
                <w:sz w:val="20"/>
                <w:szCs w:val="21"/>
              </w:rPr>
            </w:pPr>
            <w:r>
              <w:rPr>
                <w:rFonts w:ascii="宋体" w:hAnsi="宋体" w:cs="宋体" w:hint="eastAsia"/>
              </w:rPr>
              <w:t>Ⅲ</w:t>
            </w:r>
            <w:r>
              <w:t>级</w:t>
            </w:r>
          </w:p>
        </w:tc>
        <w:tc>
          <w:tcPr>
            <w:tcW w:w="1395" w:type="dxa"/>
            <w:tcBorders>
              <w:top w:val="single" w:sz="8" w:space="0" w:color="auto"/>
              <w:left w:val="single" w:sz="4" w:space="0" w:color="auto"/>
              <w:bottom w:val="single" w:sz="4" w:space="0" w:color="auto"/>
              <w:right w:val="single" w:sz="4" w:space="0" w:color="auto"/>
            </w:tcBorders>
            <w:shd w:val="clear" w:color="auto" w:fill="auto"/>
          </w:tcPr>
          <w:p w:rsidR="0073700B" w:rsidRDefault="001A2FFC">
            <w:pPr>
              <w:jc w:val="center"/>
              <w:rPr>
                <w:bCs/>
                <w:sz w:val="20"/>
                <w:szCs w:val="21"/>
              </w:rPr>
            </w:pPr>
            <w:r>
              <w:rPr>
                <w:rFonts w:ascii="宋体" w:hAnsi="宋体" w:cs="宋体" w:hint="eastAsia"/>
              </w:rPr>
              <w:t>Ⅱ</w:t>
            </w:r>
            <w:r>
              <w:t>级</w:t>
            </w:r>
          </w:p>
        </w:tc>
        <w:tc>
          <w:tcPr>
            <w:tcW w:w="1395" w:type="dxa"/>
            <w:tcBorders>
              <w:top w:val="single" w:sz="8" w:space="0" w:color="auto"/>
              <w:left w:val="single" w:sz="4" w:space="0" w:color="auto"/>
              <w:bottom w:val="single" w:sz="4" w:space="0" w:color="auto"/>
              <w:right w:val="single" w:sz="8" w:space="0" w:color="auto"/>
            </w:tcBorders>
            <w:shd w:val="clear" w:color="auto" w:fill="auto"/>
          </w:tcPr>
          <w:p w:rsidR="0073700B" w:rsidRDefault="001A2FFC">
            <w:pPr>
              <w:jc w:val="center"/>
              <w:rPr>
                <w:bCs/>
                <w:sz w:val="20"/>
                <w:szCs w:val="21"/>
              </w:rPr>
            </w:pPr>
            <w:r>
              <w:rPr>
                <w:rFonts w:ascii="宋体" w:hAnsi="宋体" w:cs="宋体" w:hint="eastAsia"/>
              </w:rPr>
              <w:t>Ⅰ</w:t>
            </w:r>
            <w:r>
              <w:t>级</w:t>
            </w:r>
          </w:p>
        </w:tc>
      </w:tr>
      <w:tr w:rsidR="0073700B">
        <w:trPr>
          <w:jc w:val="center"/>
        </w:trPr>
        <w:tc>
          <w:tcPr>
            <w:tcW w:w="1129" w:type="dxa"/>
            <w:tcBorders>
              <w:top w:val="single" w:sz="4" w:space="0" w:color="auto"/>
              <w:left w:val="single" w:sz="8" w:space="0" w:color="auto"/>
            </w:tcBorders>
            <w:shd w:val="clear" w:color="auto" w:fill="auto"/>
            <w:vAlign w:val="center"/>
          </w:tcPr>
          <w:p w:rsidR="0073700B" w:rsidRDefault="001A2FFC">
            <w:pPr>
              <w:jc w:val="center"/>
              <w:rPr>
                <w:bCs/>
                <w:szCs w:val="21"/>
              </w:rPr>
            </w:pPr>
            <w:r>
              <w:rPr>
                <w:bCs/>
                <w:szCs w:val="21"/>
              </w:rPr>
              <w:t>风险区间</w:t>
            </w:r>
          </w:p>
        </w:tc>
        <w:tc>
          <w:tcPr>
            <w:tcW w:w="1394" w:type="dxa"/>
            <w:tcBorders>
              <w:top w:val="single" w:sz="4" w:space="0" w:color="auto"/>
            </w:tcBorders>
            <w:shd w:val="clear" w:color="auto" w:fill="auto"/>
            <w:vAlign w:val="center"/>
          </w:tcPr>
          <w:p w:rsidR="0073700B" w:rsidRDefault="001A2FFC">
            <w:pPr>
              <w:rPr>
                <w:bCs/>
                <w:sz w:val="20"/>
                <w:szCs w:val="21"/>
              </w:rPr>
            </w:pPr>
            <w:r>
              <w:rPr>
                <w:bCs/>
                <w:sz w:val="20"/>
                <w:szCs w:val="21"/>
              </w:rPr>
              <w:t>(18.46</w:t>
            </w:r>
            <w:r>
              <w:rPr>
                <w:bCs/>
                <w:sz w:val="20"/>
                <w:szCs w:val="21"/>
              </w:rPr>
              <w:t>，</w:t>
            </w:r>
            <w:r>
              <w:rPr>
                <w:bCs/>
                <w:sz w:val="20"/>
                <w:szCs w:val="21"/>
              </w:rPr>
              <w:t>34.25)</w:t>
            </w:r>
          </w:p>
        </w:tc>
        <w:tc>
          <w:tcPr>
            <w:tcW w:w="1395" w:type="dxa"/>
            <w:tcBorders>
              <w:top w:val="single" w:sz="4" w:space="0" w:color="auto"/>
            </w:tcBorders>
            <w:shd w:val="clear" w:color="auto" w:fill="auto"/>
            <w:vAlign w:val="center"/>
          </w:tcPr>
          <w:p w:rsidR="0073700B" w:rsidRDefault="001A2FFC">
            <w:pPr>
              <w:rPr>
                <w:bCs/>
                <w:sz w:val="20"/>
                <w:szCs w:val="21"/>
              </w:rPr>
            </w:pPr>
            <w:r>
              <w:rPr>
                <w:bCs/>
                <w:sz w:val="20"/>
                <w:szCs w:val="21"/>
              </w:rPr>
              <w:t>(25.38</w:t>
            </w:r>
            <w:r>
              <w:rPr>
                <w:bCs/>
                <w:sz w:val="20"/>
                <w:szCs w:val="21"/>
              </w:rPr>
              <w:t>，</w:t>
            </w:r>
            <w:r>
              <w:rPr>
                <w:bCs/>
                <w:sz w:val="20"/>
                <w:szCs w:val="21"/>
              </w:rPr>
              <w:t>39.47)</w:t>
            </w:r>
          </w:p>
        </w:tc>
        <w:tc>
          <w:tcPr>
            <w:tcW w:w="1395" w:type="dxa"/>
            <w:tcBorders>
              <w:top w:val="single" w:sz="4" w:space="0" w:color="auto"/>
            </w:tcBorders>
            <w:shd w:val="clear" w:color="auto" w:fill="auto"/>
          </w:tcPr>
          <w:p w:rsidR="0073700B" w:rsidRDefault="001A2FFC">
            <w:pPr>
              <w:rPr>
                <w:bCs/>
                <w:sz w:val="20"/>
                <w:szCs w:val="21"/>
              </w:rPr>
            </w:pPr>
            <w:r>
              <w:rPr>
                <w:bCs/>
                <w:sz w:val="20"/>
                <w:szCs w:val="21"/>
              </w:rPr>
              <w:t>(35.21</w:t>
            </w:r>
            <w:r>
              <w:rPr>
                <w:bCs/>
                <w:sz w:val="20"/>
                <w:szCs w:val="21"/>
              </w:rPr>
              <w:t>，</w:t>
            </w:r>
            <w:r>
              <w:rPr>
                <w:bCs/>
                <w:sz w:val="20"/>
                <w:szCs w:val="21"/>
              </w:rPr>
              <w:t>52.17)</w:t>
            </w:r>
          </w:p>
        </w:tc>
        <w:tc>
          <w:tcPr>
            <w:tcW w:w="1395" w:type="dxa"/>
            <w:tcBorders>
              <w:top w:val="single" w:sz="2" w:space="0" w:color="auto"/>
            </w:tcBorders>
            <w:shd w:val="clear" w:color="auto" w:fill="auto"/>
            <w:vAlign w:val="center"/>
          </w:tcPr>
          <w:p w:rsidR="0073700B" w:rsidRDefault="001A2FFC">
            <w:pPr>
              <w:rPr>
                <w:bCs/>
                <w:sz w:val="20"/>
                <w:szCs w:val="21"/>
              </w:rPr>
            </w:pPr>
            <w:r>
              <w:rPr>
                <w:bCs/>
                <w:sz w:val="20"/>
                <w:szCs w:val="21"/>
              </w:rPr>
              <w:t>(18.19</w:t>
            </w:r>
            <w:r>
              <w:rPr>
                <w:bCs/>
                <w:sz w:val="20"/>
                <w:szCs w:val="21"/>
              </w:rPr>
              <w:t>，</w:t>
            </w:r>
            <w:r>
              <w:rPr>
                <w:bCs/>
                <w:sz w:val="20"/>
                <w:szCs w:val="21"/>
              </w:rPr>
              <w:t>31.7)</w:t>
            </w:r>
          </w:p>
        </w:tc>
        <w:tc>
          <w:tcPr>
            <w:tcW w:w="1395" w:type="dxa"/>
            <w:tcBorders>
              <w:top w:val="single" w:sz="4" w:space="0" w:color="auto"/>
              <w:right w:val="single" w:sz="4" w:space="0" w:color="auto"/>
            </w:tcBorders>
            <w:shd w:val="clear" w:color="auto" w:fill="auto"/>
            <w:vAlign w:val="center"/>
          </w:tcPr>
          <w:p w:rsidR="0073700B" w:rsidRDefault="001A2FFC">
            <w:pPr>
              <w:rPr>
                <w:bCs/>
                <w:sz w:val="20"/>
                <w:szCs w:val="21"/>
              </w:rPr>
            </w:pPr>
            <w:r>
              <w:rPr>
                <w:bCs/>
                <w:sz w:val="20"/>
                <w:szCs w:val="21"/>
              </w:rPr>
              <w:t>(25.35</w:t>
            </w:r>
            <w:r>
              <w:rPr>
                <w:bCs/>
                <w:sz w:val="20"/>
                <w:szCs w:val="21"/>
              </w:rPr>
              <w:t>，</w:t>
            </w:r>
            <w:r>
              <w:rPr>
                <w:bCs/>
                <w:sz w:val="20"/>
                <w:szCs w:val="21"/>
              </w:rPr>
              <w:t>37.53)</w:t>
            </w:r>
          </w:p>
        </w:tc>
        <w:tc>
          <w:tcPr>
            <w:tcW w:w="1395" w:type="dxa"/>
            <w:tcBorders>
              <w:top w:val="single" w:sz="4" w:space="0" w:color="auto"/>
              <w:left w:val="single" w:sz="4" w:space="0" w:color="auto"/>
              <w:right w:val="single" w:sz="8" w:space="0" w:color="auto"/>
            </w:tcBorders>
            <w:shd w:val="clear" w:color="auto" w:fill="auto"/>
          </w:tcPr>
          <w:p w:rsidR="0073700B" w:rsidRDefault="001A2FFC">
            <w:pPr>
              <w:rPr>
                <w:bCs/>
                <w:sz w:val="20"/>
                <w:szCs w:val="21"/>
              </w:rPr>
            </w:pPr>
            <w:r>
              <w:rPr>
                <w:bCs/>
                <w:sz w:val="20"/>
                <w:szCs w:val="21"/>
              </w:rPr>
              <w:t>(35.72</w:t>
            </w:r>
            <w:r>
              <w:rPr>
                <w:bCs/>
                <w:sz w:val="20"/>
                <w:szCs w:val="21"/>
              </w:rPr>
              <w:t>，</w:t>
            </w:r>
            <w:r>
              <w:rPr>
                <w:bCs/>
                <w:sz w:val="20"/>
                <w:szCs w:val="21"/>
              </w:rPr>
              <w:t>51.89)</w:t>
            </w:r>
          </w:p>
        </w:tc>
      </w:tr>
      <w:tr w:rsidR="0073700B">
        <w:trPr>
          <w:jc w:val="center"/>
        </w:trPr>
        <w:tc>
          <w:tcPr>
            <w:tcW w:w="1129" w:type="dxa"/>
            <w:tcBorders>
              <w:left w:val="single" w:sz="8" w:space="0" w:color="auto"/>
            </w:tcBorders>
            <w:shd w:val="clear" w:color="auto" w:fill="auto"/>
            <w:vAlign w:val="center"/>
          </w:tcPr>
          <w:p w:rsidR="0073700B" w:rsidRDefault="001A2FFC">
            <w:pPr>
              <w:jc w:val="center"/>
              <w:rPr>
                <w:bCs/>
                <w:szCs w:val="21"/>
              </w:rPr>
            </w:pPr>
            <w:r>
              <w:rPr>
                <w:bCs/>
                <w:szCs w:val="21"/>
              </w:rPr>
              <w:t>平均值</w:t>
            </w:r>
          </w:p>
        </w:tc>
        <w:tc>
          <w:tcPr>
            <w:tcW w:w="1394" w:type="dxa"/>
            <w:shd w:val="clear" w:color="auto" w:fill="auto"/>
            <w:vAlign w:val="center"/>
          </w:tcPr>
          <w:p w:rsidR="0073700B" w:rsidRDefault="001A2FFC">
            <w:pPr>
              <w:jc w:val="center"/>
              <w:rPr>
                <w:bCs/>
                <w:szCs w:val="21"/>
              </w:rPr>
            </w:pPr>
            <w:r>
              <w:rPr>
                <w:bCs/>
                <w:szCs w:val="21"/>
              </w:rPr>
              <w:t>26.48</w:t>
            </w:r>
          </w:p>
        </w:tc>
        <w:tc>
          <w:tcPr>
            <w:tcW w:w="1395" w:type="dxa"/>
            <w:shd w:val="clear" w:color="auto" w:fill="auto"/>
            <w:vAlign w:val="center"/>
          </w:tcPr>
          <w:p w:rsidR="0073700B" w:rsidRDefault="001A2FFC">
            <w:pPr>
              <w:jc w:val="center"/>
              <w:rPr>
                <w:bCs/>
                <w:szCs w:val="21"/>
              </w:rPr>
            </w:pPr>
            <w:r>
              <w:rPr>
                <w:bCs/>
                <w:szCs w:val="21"/>
              </w:rPr>
              <w:t>32.43</w:t>
            </w:r>
          </w:p>
        </w:tc>
        <w:tc>
          <w:tcPr>
            <w:tcW w:w="1395" w:type="dxa"/>
            <w:shd w:val="clear" w:color="auto" w:fill="auto"/>
          </w:tcPr>
          <w:p w:rsidR="0073700B" w:rsidRDefault="001A2FFC">
            <w:pPr>
              <w:jc w:val="center"/>
              <w:rPr>
                <w:bCs/>
                <w:szCs w:val="21"/>
              </w:rPr>
            </w:pPr>
            <w:r>
              <w:rPr>
                <w:bCs/>
                <w:szCs w:val="21"/>
              </w:rPr>
              <w:t>43.69</w:t>
            </w:r>
          </w:p>
        </w:tc>
        <w:tc>
          <w:tcPr>
            <w:tcW w:w="1395" w:type="dxa"/>
            <w:shd w:val="clear" w:color="auto" w:fill="auto"/>
            <w:vAlign w:val="center"/>
          </w:tcPr>
          <w:p w:rsidR="0073700B" w:rsidRDefault="001A2FFC">
            <w:pPr>
              <w:jc w:val="center"/>
              <w:rPr>
                <w:bCs/>
                <w:szCs w:val="21"/>
              </w:rPr>
            </w:pPr>
            <w:r>
              <w:rPr>
                <w:bCs/>
                <w:szCs w:val="21"/>
              </w:rPr>
              <w:t>24.95</w:t>
            </w:r>
          </w:p>
        </w:tc>
        <w:tc>
          <w:tcPr>
            <w:tcW w:w="1395" w:type="dxa"/>
            <w:shd w:val="clear" w:color="auto" w:fill="auto"/>
            <w:vAlign w:val="center"/>
          </w:tcPr>
          <w:p w:rsidR="0073700B" w:rsidRDefault="001A2FFC">
            <w:pPr>
              <w:jc w:val="center"/>
              <w:rPr>
                <w:bCs/>
                <w:szCs w:val="21"/>
              </w:rPr>
            </w:pPr>
            <w:r>
              <w:rPr>
                <w:bCs/>
                <w:szCs w:val="21"/>
              </w:rPr>
              <w:t>31.44</w:t>
            </w:r>
          </w:p>
        </w:tc>
        <w:tc>
          <w:tcPr>
            <w:tcW w:w="1395" w:type="dxa"/>
            <w:tcBorders>
              <w:right w:val="single" w:sz="8" w:space="0" w:color="auto"/>
            </w:tcBorders>
            <w:shd w:val="clear" w:color="auto" w:fill="auto"/>
          </w:tcPr>
          <w:p w:rsidR="0073700B" w:rsidRDefault="001A2FFC">
            <w:pPr>
              <w:jc w:val="center"/>
              <w:rPr>
                <w:bCs/>
                <w:szCs w:val="21"/>
              </w:rPr>
            </w:pPr>
            <w:r>
              <w:rPr>
                <w:bCs/>
                <w:szCs w:val="21"/>
              </w:rPr>
              <w:t>43.81</w:t>
            </w:r>
          </w:p>
        </w:tc>
      </w:tr>
      <w:tr w:rsidR="0073700B">
        <w:trPr>
          <w:jc w:val="center"/>
        </w:trPr>
        <w:tc>
          <w:tcPr>
            <w:tcW w:w="1129" w:type="dxa"/>
            <w:tcBorders>
              <w:left w:val="single" w:sz="8" w:space="0" w:color="auto"/>
            </w:tcBorders>
            <w:shd w:val="clear" w:color="auto" w:fill="auto"/>
            <w:vAlign w:val="center"/>
          </w:tcPr>
          <w:p w:rsidR="0073700B" w:rsidRDefault="001A2FFC">
            <w:pPr>
              <w:jc w:val="center"/>
              <w:rPr>
                <w:bCs/>
                <w:szCs w:val="21"/>
              </w:rPr>
            </w:pPr>
            <w:r>
              <w:rPr>
                <w:bCs/>
                <w:szCs w:val="21"/>
              </w:rPr>
              <w:t>标准方差</w:t>
            </w:r>
          </w:p>
        </w:tc>
        <w:tc>
          <w:tcPr>
            <w:tcW w:w="1394" w:type="dxa"/>
            <w:shd w:val="clear" w:color="auto" w:fill="auto"/>
            <w:vAlign w:val="center"/>
          </w:tcPr>
          <w:p w:rsidR="0073700B" w:rsidRDefault="001A2FFC">
            <w:pPr>
              <w:jc w:val="center"/>
              <w:rPr>
                <w:bCs/>
                <w:szCs w:val="21"/>
              </w:rPr>
            </w:pPr>
            <w:r>
              <w:rPr>
                <w:bCs/>
                <w:szCs w:val="21"/>
              </w:rPr>
              <w:t>16.08</w:t>
            </w:r>
          </w:p>
        </w:tc>
        <w:tc>
          <w:tcPr>
            <w:tcW w:w="1395" w:type="dxa"/>
            <w:shd w:val="clear" w:color="auto" w:fill="auto"/>
            <w:vAlign w:val="center"/>
          </w:tcPr>
          <w:p w:rsidR="0073700B" w:rsidRDefault="001A2FFC">
            <w:pPr>
              <w:jc w:val="center"/>
              <w:rPr>
                <w:bCs/>
                <w:szCs w:val="21"/>
              </w:rPr>
            </w:pPr>
            <w:r>
              <w:rPr>
                <w:bCs/>
                <w:szCs w:val="21"/>
              </w:rPr>
              <w:t>12.42</w:t>
            </w:r>
          </w:p>
        </w:tc>
        <w:tc>
          <w:tcPr>
            <w:tcW w:w="1395" w:type="dxa"/>
            <w:shd w:val="clear" w:color="auto" w:fill="auto"/>
          </w:tcPr>
          <w:p w:rsidR="0073700B" w:rsidRDefault="001A2FFC">
            <w:pPr>
              <w:jc w:val="center"/>
              <w:rPr>
                <w:bCs/>
                <w:szCs w:val="21"/>
              </w:rPr>
            </w:pPr>
            <w:r>
              <w:rPr>
                <w:bCs/>
                <w:szCs w:val="21"/>
              </w:rPr>
              <w:t>14.69</w:t>
            </w:r>
          </w:p>
        </w:tc>
        <w:tc>
          <w:tcPr>
            <w:tcW w:w="1395" w:type="dxa"/>
            <w:shd w:val="clear" w:color="auto" w:fill="auto"/>
            <w:vAlign w:val="center"/>
          </w:tcPr>
          <w:p w:rsidR="0073700B" w:rsidRDefault="001A2FFC">
            <w:pPr>
              <w:jc w:val="center"/>
              <w:rPr>
                <w:bCs/>
                <w:szCs w:val="21"/>
              </w:rPr>
            </w:pPr>
            <w:r>
              <w:rPr>
                <w:bCs/>
                <w:szCs w:val="21"/>
              </w:rPr>
              <w:t>11.41</w:t>
            </w:r>
          </w:p>
        </w:tc>
        <w:tc>
          <w:tcPr>
            <w:tcW w:w="1395" w:type="dxa"/>
            <w:shd w:val="clear" w:color="auto" w:fill="auto"/>
            <w:vAlign w:val="center"/>
          </w:tcPr>
          <w:p w:rsidR="0073700B" w:rsidRDefault="001A2FFC">
            <w:pPr>
              <w:jc w:val="center"/>
              <w:rPr>
                <w:bCs/>
                <w:szCs w:val="21"/>
              </w:rPr>
            </w:pPr>
            <w:r>
              <w:rPr>
                <w:bCs/>
                <w:szCs w:val="21"/>
              </w:rPr>
              <w:t>9.266</w:t>
            </w:r>
          </w:p>
        </w:tc>
        <w:tc>
          <w:tcPr>
            <w:tcW w:w="1395" w:type="dxa"/>
            <w:tcBorders>
              <w:right w:val="single" w:sz="8" w:space="0" w:color="auto"/>
            </w:tcBorders>
            <w:shd w:val="clear" w:color="auto" w:fill="auto"/>
          </w:tcPr>
          <w:p w:rsidR="0073700B" w:rsidRDefault="001A2FFC">
            <w:pPr>
              <w:jc w:val="center"/>
              <w:rPr>
                <w:bCs/>
                <w:szCs w:val="21"/>
              </w:rPr>
            </w:pPr>
            <w:r>
              <w:rPr>
                <w:bCs/>
                <w:szCs w:val="21"/>
              </w:rPr>
              <w:t>10.02</w:t>
            </w:r>
          </w:p>
        </w:tc>
      </w:tr>
      <w:tr w:rsidR="0073700B">
        <w:trPr>
          <w:jc w:val="center"/>
        </w:trPr>
        <w:tc>
          <w:tcPr>
            <w:tcW w:w="1129" w:type="dxa"/>
            <w:tcBorders>
              <w:left w:val="single" w:sz="8" w:space="0" w:color="auto"/>
            </w:tcBorders>
            <w:shd w:val="clear" w:color="auto" w:fill="auto"/>
            <w:vAlign w:val="center"/>
          </w:tcPr>
          <w:p w:rsidR="0073700B" w:rsidRDefault="001A2FFC">
            <w:pPr>
              <w:jc w:val="center"/>
              <w:rPr>
                <w:bCs/>
                <w:szCs w:val="21"/>
              </w:rPr>
            </w:pPr>
            <w:r>
              <w:rPr>
                <w:bCs/>
                <w:i/>
                <w:iCs/>
                <w:szCs w:val="21"/>
              </w:rPr>
              <w:t>Q</w:t>
            </w:r>
            <w:r>
              <w:rPr>
                <w:bCs/>
                <w:szCs w:val="21"/>
              </w:rPr>
              <w:t>1</w:t>
            </w:r>
          </w:p>
        </w:tc>
        <w:tc>
          <w:tcPr>
            <w:tcW w:w="1394" w:type="dxa"/>
            <w:shd w:val="clear" w:color="auto" w:fill="auto"/>
            <w:vAlign w:val="center"/>
          </w:tcPr>
          <w:p w:rsidR="0073700B" w:rsidRDefault="001A2FFC">
            <w:pPr>
              <w:jc w:val="center"/>
              <w:rPr>
                <w:bCs/>
                <w:szCs w:val="21"/>
              </w:rPr>
            </w:pPr>
            <w:r>
              <w:rPr>
                <w:bCs/>
                <w:szCs w:val="21"/>
              </w:rPr>
              <w:t>19.53</w:t>
            </w:r>
          </w:p>
        </w:tc>
        <w:tc>
          <w:tcPr>
            <w:tcW w:w="1395" w:type="dxa"/>
            <w:shd w:val="clear" w:color="auto" w:fill="auto"/>
            <w:vAlign w:val="center"/>
          </w:tcPr>
          <w:p w:rsidR="0073700B" w:rsidRDefault="001A2FFC">
            <w:pPr>
              <w:jc w:val="center"/>
              <w:rPr>
                <w:bCs/>
                <w:szCs w:val="21"/>
              </w:rPr>
            </w:pPr>
            <w:r>
              <w:rPr>
                <w:bCs/>
                <w:szCs w:val="21"/>
              </w:rPr>
              <w:t>27.13</w:t>
            </w:r>
          </w:p>
        </w:tc>
        <w:tc>
          <w:tcPr>
            <w:tcW w:w="1395" w:type="dxa"/>
            <w:shd w:val="clear" w:color="auto" w:fill="auto"/>
          </w:tcPr>
          <w:p w:rsidR="0073700B" w:rsidRDefault="001A2FFC">
            <w:pPr>
              <w:jc w:val="center"/>
              <w:rPr>
                <w:bCs/>
                <w:szCs w:val="21"/>
              </w:rPr>
            </w:pPr>
            <w:r>
              <w:rPr>
                <w:bCs/>
                <w:szCs w:val="21"/>
              </w:rPr>
              <w:t>39.45</w:t>
            </w:r>
          </w:p>
        </w:tc>
        <w:tc>
          <w:tcPr>
            <w:tcW w:w="1395" w:type="dxa"/>
            <w:shd w:val="clear" w:color="auto" w:fill="auto"/>
            <w:vAlign w:val="center"/>
          </w:tcPr>
          <w:p w:rsidR="0073700B" w:rsidRDefault="001A2FFC">
            <w:pPr>
              <w:jc w:val="center"/>
              <w:rPr>
                <w:bCs/>
                <w:szCs w:val="21"/>
              </w:rPr>
            </w:pPr>
            <w:r>
              <w:rPr>
                <w:bCs/>
                <w:szCs w:val="21"/>
              </w:rPr>
              <w:t>19.6</w:t>
            </w:r>
          </w:p>
        </w:tc>
        <w:tc>
          <w:tcPr>
            <w:tcW w:w="1395" w:type="dxa"/>
            <w:shd w:val="clear" w:color="auto" w:fill="auto"/>
            <w:vAlign w:val="center"/>
          </w:tcPr>
          <w:p w:rsidR="0073700B" w:rsidRDefault="001A2FFC">
            <w:pPr>
              <w:jc w:val="center"/>
              <w:rPr>
                <w:bCs/>
                <w:szCs w:val="21"/>
              </w:rPr>
            </w:pPr>
            <w:r>
              <w:rPr>
                <w:bCs/>
                <w:szCs w:val="21"/>
              </w:rPr>
              <w:t>27.125</w:t>
            </w:r>
          </w:p>
        </w:tc>
        <w:tc>
          <w:tcPr>
            <w:tcW w:w="1395" w:type="dxa"/>
            <w:tcBorders>
              <w:right w:val="single" w:sz="8" w:space="0" w:color="auto"/>
            </w:tcBorders>
            <w:shd w:val="clear" w:color="auto" w:fill="auto"/>
          </w:tcPr>
          <w:p w:rsidR="0073700B" w:rsidRDefault="001A2FFC">
            <w:pPr>
              <w:jc w:val="center"/>
              <w:rPr>
                <w:bCs/>
                <w:szCs w:val="21"/>
              </w:rPr>
            </w:pPr>
            <w:r>
              <w:rPr>
                <w:bCs/>
                <w:szCs w:val="21"/>
              </w:rPr>
              <w:t>39.76</w:t>
            </w:r>
          </w:p>
        </w:tc>
      </w:tr>
      <w:tr w:rsidR="0073700B">
        <w:trPr>
          <w:jc w:val="center"/>
        </w:trPr>
        <w:tc>
          <w:tcPr>
            <w:tcW w:w="1129" w:type="dxa"/>
            <w:tcBorders>
              <w:left w:val="single" w:sz="8" w:space="0" w:color="auto"/>
            </w:tcBorders>
            <w:shd w:val="clear" w:color="auto" w:fill="auto"/>
            <w:vAlign w:val="center"/>
          </w:tcPr>
          <w:p w:rsidR="0073700B" w:rsidRDefault="001A2FFC">
            <w:pPr>
              <w:jc w:val="center"/>
              <w:rPr>
                <w:bCs/>
                <w:szCs w:val="21"/>
              </w:rPr>
            </w:pPr>
            <w:r>
              <w:rPr>
                <w:bCs/>
                <w:i/>
                <w:iCs/>
                <w:szCs w:val="21"/>
              </w:rPr>
              <w:t>Q</w:t>
            </w:r>
            <w:r>
              <w:rPr>
                <w:bCs/>
                <w:szCs w:val="21"/>
              </w:rPr>
              <w:t>2</w:t>
            </w:r>
          </w:p>
        </w:tc>
        <w:tc>
          <w:tcPr>
            <w:tcW w:w="1394" w:type="dxa"/>
            <w:shd w:val="clear" w:color="auto" w:fill="auto"/>
            <w:vAlign w:val="center"/>
          </w:tcPr>
          <w:p w:rsidR="0073700B" w:rsidRDefault="001A2FFC">
            <w:pPr>
              <w:jc w:val="center"/>
              <w:rPr>
                <w:bCs/>
                <w:szCs w:val="21"/>
              </w:rPr>
            </w:pPr>
            <w:r>
              <w:rPr>
                <w:bCs/>
                <w:szCs w:val="21"/>
              </w:rPr>
              <w:t>25.58</w:t>
            </w:r>
          </w:p>
        </w:tc>
        <w:tc>
          <w:tcPr>
            <w:tcW w:w="1395" w:type="dxa"/>
            <w:shd w:val="clear" w:color="auto" w:fill="auto"/>
            <w:vAlign w:val="center"/>
          </w:tcPr>
          <w:p w:rsidR="0073700B" w:rsidRDefault="001A2FFC">
            <w:pPr>
              <w:jc w:val="center"/>
              <w:rPr>
                <w:bCs/>
                <w:szCs w:val="21"/>
              </w:rPr>
            </w:pPr>
            <w:r>
              <w:rPr>
                <w:bCs/>
                <w:szCs w:val="21"/>
              </w:rPr>
              <w:t>32.70</w:t>
            </w:r>
          </w:p>
        </w:tc>
        <w:tc>
          <w:tcPr>
            <w:tcW w:w="1395" w:type="dxa"/>
            <w:shd w:val="clear" w:color="auto" w:fill="auto"/>
          </w:tcPr>
          <w:p w:rsidR="0073700B" w:rsidRDefault="001A2FFC">
            <w:pPr>
              <w:jc w:val="center"/>
              <w:rPr>
                <w:bCs/>
                <w:szCs w:val="21"/>
              </w:rPr>
            </w:pPr>
            <w:r>
              <w:rPr>
                <w:bCs/>
                <w:szCs w:val="21"/>
              </w:rPr>
              <w:t>43.69</w:t>
            </w:r>
          </w:p>
        </w:tc>
        <w:tc>
          <w:tcPr>
            <w:tcW w:w="1395" w:type="dxa"/>
            <w:shd w:val="clear" w:color="auto" w:fill="auto"/>
            <w:vAlign w:val="center"/>
          </w:tcPr>
          <w:p w:rsidR="0073700B" w:rsidRDefault="001A2FFC">
            <w:pPr>
              <w:jc w:val="center"/>
              <w:rPr>
                <w:bCs/>
                <w:szCs w:val="21"/>
              </w:rPr>
            </w:pPr>
            <w:r>
              <w:rPr>
                <w:bCs/>
                <w:szCs w:val="21"/>
              </w:rPr>
              <w:t>25</w:t>
            </w:r>
          </w:p>
        </w:tc>
        <w:tc>
          <w:tcPr>
            <w:tcW w:w="1395" w:type="dxa"/>
            <w:shd w:val="clear" w:color="auto" w:fill="auto"/>
            <w:vAlign w:val="center"/>
          </w:tcPr>
          <w:p w:rsidR="0073700B" w:rsidRDefault="001A2FFC">
            <w:pPr>
              <w:jc w:val="center"/>
              <w:rPr>
                <w:bCs/>
                <w:szCs w:val="21"/>
              </w:rPr>
            </w:pPr>
            <w:r>
              <w:rPr>
                <w:bCs/>
                <w:szCs w:val="21"/>
              </w:rPr>
              <w:t>31.6</w:t>
            </w:r>
          </w:p>
        </w:tc>
        <w:tc>
          <w:tcPr>
            <w:tcW w:w="1395" w:type="dxa"/>
            <w:tcBorders>
              <w:right w:val="single" w:sz="8" w:space="0" w:color="auto"/>
            </w:tcBorders>
            <w:shd w:val="clear" w:color="auto" w:fill="auto"/>
          </w:tcPr>
          <w:p w:rsidR="0073700B" w:rsidRDefault="001A2FFC">
            <w:pPr>
              <w:jc w:val="center"/>
              <w:rPr>
                <w:bCs/>
                <w:szCs w:val="21"/>
              </w:rPr>
            </w:pPr>
            <w:r>
              <w:rPr>
                <w:bCs/>
                <w:szCs w:val="21"/>
              </w:rPr>
              <w:t>43.81</w:t>
            </w:r>
          </w:p>
        </w:tc>
      </w:tr>
      <w:tr w:rsidR="0073700B">
        <w:trPr>
          <w:jc w:val="center"/>
        </w:trPr>
        <w:tc>
          <w:tcPr>
            <w:tcW w:w="1129" w:type="dxa"/>
            <w:tcBorders>
              <w:left w:val="single" w:sz="8" w:space="0" w:color="auto"/>
              <w:bottom w:val="single" w:sz="8" w:space="0" w:color="auto"/>
            </w:tcBorders>
            <w:shd w:val="clear" w:color="auto" w:fill="auto"/>
            <w:vAlign w:val="center"/>
          </w:tcPr>
          <w:p w:rsidR="0073700B" w:rsidRDefault="001A2FFC">
            <w:pPr>
              <w:jc w:val="center"/>
              <w:rPr>
                <w:bCs/>
                <w:szCs w:val="21"/>
              </w:rPr>
            </w:pPr>
            <w:r>
              <w:rPr>
                <w:bCs/>
                <w:i/>
                <w:iCs/>
                <w:szCs w:val="21"/>
              </w:rPr>
              <w:t>Q</w:t>
            </w:r>
            <w:r>
              <w:rPr>
                <w:bCs/>
                <w:szCs w:val="21"/>
              </w:rPr>
              <w:t>3</w:t>
            </w:r>
          </w:p>
        </w:tc>
        <w:tc>
          <w:tcPr>
            <w:tcW w:w="1394" w:type="dxa"/>
            <w:tcBorders>
              <w:bottom w:val="single" w:sz="8" w:space="0" w:color="auto"/>
            </w:tcBorders>
            <w:shd w:val="clear" w:color="auto" w:fill="auto"/>
            <w:vAlign w:val="center"/>
          </w:tcPr>
          <w:p w:rsidR="0073700B" w:rsidRDefault="001A2FFC">
            <w:pPr>
              <w:jc w:val="center"/>
              <w:rPr>
                <w:bCs/>
                <w:szCs w:val="21"/>
              </w:rPr>
            </w:pPr>
            <w:r>
              <w:rPr>
                <w:bCs/>
                <w:szCs w:val="21"/>
              </w:rPr>
              <w:t>32</w:t>
            </w:r>
          </w:p>
        </w:tc>
        <w:tc>
          <w:tcPr>
            <w:tcW w:w="1395" w:type="dxa"/>
            <w:tcBorders>
              <w:bottom w:val="single" w:sz="8" w:space="0" w:color="auto"/>
            </w:tcBorders>
            <w:shd w:val="clear" w:color="auto" w:fill="auto"/>
            <w:vAlign w:val="center"/>
          </w:tcPr>
          <w:p w:rsidR="0073700B" w:rsidRDefault="001A2FFC">
            <w:pPr>
              <w:jc w:val="center"/>
              <w:rPr>
                <w:bCs/>
                <w:szCs w:val="21"/>
              </w:rPr>
            </w:pPr>
            <w:r>
              <w:rPr>
                <w:bCs/>
                <w:szCs w:val="21"/>
              </w:rPr>
              <w:t>36.35</w:t>
            </w:r>
          </w:p>
        </w:tc>
        <w:tc>
          <w:tcPr>
            <w:tcW w:w="1395" w:type="dxa"/>
            <w:tcBorders>
              <w:bottom w:val="single" w:sz="8" w:space="0" w:color="auto"/>
            </w:tcBorders>
            <w:shd w:val="clear" w:color="auto" w:fill="auto"/>
          </w:tcPr>
          <w:p w:rsidR="0073700B" w:rsidRDefault="001A2FFC">
            <w:pPr>
              <w:jc w:val="center"/>
              <w:rPr>
                <w:bCs/>
                <w:szCs w:val="21"/>
              </w:rPr>
            </w:pPr>
            <w:r>
              <w:rPr>
                <w:bCs/>
                <w:szCs w:val="21"/>
              </w:rPr>
              <w:t>47.93</w:t>
            </w:r>
          </w:p>
        </w:tc>
        <w:tc>
          <w:tcPr>
            <w:tcW w:w="1395" w:type="dxa"/>
            <w:tcBorders>
              <w:bottom w:val="single" w:sz="8" w:space="0" w:color="auto"/>
            </w:tcBorders>
            <w:shd w:val="clear" w:color="auto" w:fill="auto"/>
            <w:vAlign w:val="center"/>
          </w:tcPr>
          <w:p w:rsidR="0073700B" w:rsidRDefault="001A2FFC">
            <w:pPr>
              <w:jc w:val="center"/>
              <w:rPr>
                <w:bCs/>
                <w:szCs w:val="21"/>
              </w:rPr>
            </w:pPr>
            <w:r>
              <w:rPr>
                <w:bCs/>
                <w:szCs w:val="21"/>
              </w:rPr>
              <w:t>29.5</w:t>
            </w:r>
          </w:p>
        </w:tc>
        <w:tc>
          <w:tcPr>
            <w:tcW w:w="1395" w:type="dxa"/>
            <w:tcBorders>
              <w:bottom w:val="single" w:sz="8" w:space="0" w:color="auto"/>
            </w:tcBorders>
            <w:shd w:val="clear" w:color="auto" w:fill="auto"/>
            <w:vAlign w:val="center"/>
          </w:tcPr>
          <w:p w:rsidR="0073700B" w:rsidRDefault="001A2FFC">
            <w:pPr>
              <w:jc w:val="center"/>
              <w:rPr>
                <w:bCs/>
                <w:szCs w:val="21"/>
              </w:rPr>
            </w:pPr>
            <w:r>
              <w:rPr>
                <w:bCs/>
                <w:szCs w:val="21"/>
              </w:rPr>
              <w:t>35.475</w:t>
            </w:r>
          </w:p>
        </w:tc>
        <w:tc>
          <w:tcPr>
            <w:tcW w:w="1395" w:type="dxa"/>
            <w:tcBorders>
              <w:bottom w:val="single" w:sz="8" w:space="0" w:color="auto"/>
              <w:right w:val="single" w:sz="8" w:space="0" w:color="auto"/>
            </w:tcBorders>
            <w:shd w:val="clear" w:color="auto" w:fill="auto"/>
          </w:tcPr>
          <w:p w:rsidR="0073700B" w:rsidRDefault="001A2FFC">
            <w:pPr>
              <w:jc w:val="center"/>
              <w:rPr>
                <w:bCs/>
                <w:szCs w:val="21"/>
              </w:rPr>
            </w:pPr>
            <w:r>
              <w:rPr>
                <w:bCs/>
                <w:szCs w:val="21"/>
              </w:rPr>
              <w:t>47.85</w:t>
            </w:r>
          </w:p>
        </w:tc>
      </w:tr>
    </w:tbl>
    <w:p w:rsidR="0073700B" w:rsidRDefault="001A2FFC">
      <w:pPr>
        <w:spacing w:line="360" w:lineRule="auto"/>
        <w:rPr>
          <w:bCs/>
          <w:sz w:val="18"/>
        </w:rPr>
      </w:pPr>
      <w:r>
        <w:rPr>
          <w:bCs/>
          <w:sz w:val="18"/>
        </w:rPr>
        <w:t>注：</w:t>
      </w:r>
      <w:r>
        <w:rPr>
          <w:bCs/>
          <w:i/>
          <w:iCs/>
          <w:sz w:val="18"/>
        </w:rPr>
        <w:t>Q</w:t>
      </w:r>
      <w:r>
        <w:rPr>
          <w:bCs/>
          <w:sz w:val="18"/>
        </w:rPr>
        <w:t>1</w:t>
      </w:r>
      <w:r>
        <w:rPr>
          <w:bCs/>
          <w:sz w:val="18"/>
        </w:rPr>
        <w:t>指第一四分位数；</w:t>
      </w:r>
      <w:r>
        <w:rPr>
          <w:bCs/>
          <w:i/>
          <w:iCs/>
          <w:sz w:val="18"/>
        </w:rPr>
        <w:t>Q</w:t>
      </w:r>
      <w:r>
        <w:rPr>
          <w:bCs/>
          <w:sz w:val="18"/>
        </w:rPr>
        <w:t>2</w:t>
      </w:r>
      <w:r>
        <w:rPr>
          <w:bCs/>
          <w:sz w:val="18"/>
        </w:rPr>
        <w:t>指第二四分位数；</w:t>
      </w:r>
      <w:r>
        <w:rPr>
          <w:bCs/>
          <w:i/>
          <w:iCs/>
          <w:sz w:val="18"/>
        </w:rPr>
        <w:t>Q</w:t>
      </w:r>
      <w:r>
        <w:rPr>
          <w:bCs/>
          <w:sz w:val="18"/>
        </w:rPr>
        <w:t>3</w:t>
      </w:r>
      <w:r>
        <w:rPr>
          <w:bCs/>
          <w:sz w:val="18"/>
        </w:rPr>
        <w:t>指第三四分位数。</w:t>
      </w:r>
    </w:p>
    <w:p w:rsidR="0073700B" w:rsidRDefault="001A2FFC" w:rsidP="00F80BAC">
      <w:pPr>
        <w:spacing w:beforeLines="50" w:before="156" w:line="360" w:lineRule="auto"/>
        <w:ind w:firstLineChars="200" w:firstLine="480"/>
        <w:rPr>
          <w:bCs/>
          <w:sz w:val="24"/>
          <w:szCs w:val="21"/>
        </w:rPr>
      </w:pPr>
      <w:r>
        <w:rPr>
          <w:bCs/>
          <w:sz w:val="24"/>
          <w:szCs w:val="21"/>
        </w:rPr>
        <w:lastRenderedPageBreak/>
        <w:t>此外，通过对每个指标分值进行随机抽样</w:t>
      </w:r>
      <w:r>
        <w:rPr>
          <w:bCs/>
          <w:sz w:val="24"/>
          <w:szCs w:val="21"/>
        </w:rPr>
        <w:t>10</w:t>
      </w:r>
      <w:r>
        <w:rPr>
          <w:bCs/>
          <w:sz w:val="24"/>
          <w:szCs w:val="21"/>
          <w:vertAlign w:val="superscript"/>
        </w:rPr>
        <w:t>6</w:t>
      </w:r>
      <w:r>
        <w:rPr>
          <w:bCs/>
          <w:sz w:val="24"/>
          <w:szCs w:val="21"/>
        </w:rPr>
        <w:t>次，代入总体风险分值计算公式，得到分值的分布情况如下表所示：</w:t>
      </w:r>
    </w:p>
    <w:p w:rsidR="0073700B" w:rsidRDefault="001A2FFC">
      <w:pPr>
        <w:pStyle w:val="a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5</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5</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总体风险分值分布</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46"/>
        <w:gridCol w:w="1045"/>
        <w:gridCol w:w="1045"/>
        <w:gridCol w:w="1213"/>
        <w:gridCol w:w="1045"/>
        <w:gridCol w:w="1213"/>
        <w:gridCol w:w="1045"/>
        <w:gridCol w:w="1213"/>
      </w:tblGrid>
      <w:tr w:rsidR="0073700B">
        <w:trPr>
          <w:trHeight w:val="285"/>
          <w:jc w:val="center"/>
        </w:trPr>
        <w:tc>
          <w:tcPr>
            <w:tcW w:w="1046" w:type="dxa"/>
            <w:tcBorders>
              <w:top w:val="single" w:sz="8" w:space="0" w:color="auto"/>
              <w:bottom w:val="single" w:sz="8"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中心值</w:t>
            </w:r>
          </w:p>
        </w:tc>
        <w:tc>
          <w:tcPr>
            <w:tcW w:w="1045" w:type="dxa"/>
            <w:tcBorders>
              <w:top w:val="single" w:sz="8" w:space="0" w:color="auto"/>
              <w:bottom w:val="single" w:sz="8"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概率</w:t>
            </w:r>
          </w:p>
        </w:tc>
        <w:tc>
          <w:tcPr>
            <w:tcW w:w="1045" w:type="dxa"/>
            <w:tcBorders>
              <w:top w:val="single" w:sz="8" w:space="0" w:color="auto"/>
              <w:bottom w:val="single" w:sz="8"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中心值</w:t>
            </w:r>
          </w:p>
        </w:tc>
        <w:tc>
          <w:tcPr>
            <w:tcW w:w="1213" w:type="dxa"/>
            <w:tcBorders>
              <w:top w:val="single" w:sz="8" w:space="0" w:color="auto"/>
              <w:bottom w:val="single" w:sz="8"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概率</w:t>
            </w:r>
          </w:p>
        </w:tc>
        <w:tc>
          <w:tcPr>
            <w:tcW w:w="1045" w:type="dxa"/>
            <w:tcBorders>
              <w:top w:val="single" w:sz="8" w:space="0" w:color="auto"/>
              <w:bottom w:val="single" w:sz="8"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中心值</w:t>
            </w:r>
          </w:p>
        </w:tc>
        <w:tc>
          <w:tcPr>
            <w:tcW w:w="1213" w:type="dxa"/>
            <w:tcBorders>
              <w:top w:val="single" w:sz="8" w:space="0" w:color="auto"/>
              <w:bottom w:val="single" w:sz="8"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概率</w:t>
            </w:r>
          </w:p>
        </w:tc>
        <w:tc>
          <w:tcPr>
            <w:tcW w:w="1045" w:type="dxa"/>
            <w:tcBorders>
              <w:top w:val="single" w:sz="8" w:space="0" w:color="auto"/>
              <w:bottom w:val="single" w:sz="8"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中心值</w:t>
            </w:r>
          </w:p>
        </w:tc>
        <w:tc>
          <w:tcPr>
            <w:tcW w:w="1213" w:type="dxa"/>
            <w:tcBorders>
              <w:top w:val="single" w:sz="8" w:space="0" w:color="auto"/>
              <w:bottom w:val="single" w:sz="8"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概率</w:t>
            </w:r>
          </w:p>
        </w:tc>
      </w:tr>
      <w:tr w:rsidR="0073700B">
        <w:trPr>
          <w:trHeight w:val="285"/>
          <w:jc w:val="center"/>
        </w:trPr>
        <w:tc>
          <w:tcPr>
            <w:tcW w:w="1046" w:type="dxa"/>
            <w:tcBorders>
              <w:top w:val="single" w:sz="8"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4.5</w:t>
            </w:r>
          </w:p>
        </w:tc>
        <w:tc>
          <w:tcPr>
            <w:tcW w:w="1045" w:type="dxa"/>
            <w:tcBorders>
              <w:top w:val="single" w:sz="8"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0.0005</w:t>
            </w:r>
          </w:p>
        </w:tc>
        <w:tc>
          <w:tcPr>
            <w:tcW w:w="1045" w:type="dxa"/>
            <w:tcBorders>
              <w:top w:val="single" w:sz="8"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27.5</w:t>
            </w:r>
          </w:p>
        </w:tc>
        <w:tc>
          <w:tcPr>
            <w:tcW w:w="1213" w:type="dxa"/>
            <w:tcBorders>
              <w:top w:val="single" w:sz="8"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4.7371</w:t>
            </w:r>
          </w:p>
        </w:tc>
        <w:tc>
          <w:tcPr>
            <w:tcW w:w="1045" w:type="dxa"/>
            <w:tcBorders>
              <w:top w:val="single" w:sz="8"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50.5</w:t>
            </w:r>
          </w:p>
        </w:tc>
        <w:tc>
          <w:tcPr>
            <w:tcW w:w="1213" w:type="dxa"/>
            <w:tcBorders>
              <w:top w:val="single" w:sz="8"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65.8132</w:t>
            </w:r>
          </w:p>
        </w:tc>
        <w:tc>
          <w:tcPr>
            <w:tcW w:w="1045" w:type="dxa"/>
            <w:tcBorders>
              <w:top w:val="single" w:sz="8"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73.5</w:t>
            </w:r>
          </w:p>
        </w:tc>
        <w:tc>
          <w:tcPr>
            <w:tcW w:w="1213" w:type="dxa"/>
            <w:tcBorders>
              <w:top w:val="single" w:sz="8"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99.3047</w:t>
            </w:r>
          </w:p>
        </w:tc>
      </w:tr>
      <w:tr w:rsidR="0073700B">
        <w:trPr>
          <w:trHeight w:val="423"/>
          <w:jc w:val="center"/>
        </w:trPr>
        <w:tc>
          <w:tcPr>
            <w:tcW w:w="1046" w:type="dxa"/>
            <w:tcBorders>
              <w:top w:val="single" w:sz="4"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5.5</w:t>
            </w:r>
          </w:p>
        </w:tc>
        <w:tc>
          <w:tcPr>
            <w:tcW w:w="1045" w:type="dxa"/>
            <w:tcBorders>
              <w:top w:val="single" w:sz="4"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0.001</w:t>
            </w:r>
          </w:p>
        </w:tc>
        <w:tc>
          <w:tcPr>
            <w:tcW w:w="1045" w:type="dxa"/>
            <w:tcBorders>
              <w:top w:val="single" w:sz="4"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28.5</w:t>
            </w:r>
          </w:p>
        </w:tc>
        <w:tc>
          <w:tcPr>
            <w:tcW w:w="1213" w:type="dxa"/>
            <w:tcBorders>
              <w:top w:val="single" w:sz="4"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5.7758</w:t>
            </w:r>
          </w:p>
        </w:tc>
        <w:tc>
          <w:tcPr>
            <w:tcW w:w="1045" w:type="dxa"/>
            <w:tcBorders>
              <w:top w:val="single" w:sz="4"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51.5</w:t>
            </w:r>
          </w:p>
        </w:tc>
        <w:tc>
          <w:tcPr>
            <w:tcW w:w="1213" w:type="dxa"/>
            <w:tcBorders>
              <w:top w:val="single" w:sz="4"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68.9444</w:t>
            </w:r>
          </w:p>
        </w:tc>
        <w:tc>
          <w:tcPr>
            <w:tcW w:w="1045" w:type="dxa"/>
            <w:tcBorders>
              <w:top w:val="single" w:sz="4"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74.5</w:t>
            </w:r>
          </w:p>
        </w:tc>
        <w:tc>
          <w:tcPr>
            <w:tcW w:w="1213" w:type="dxa"/>
            <w:tcBorders>
              <w:top w:val="single" w:sz="4" w:space="0" w:color="auto"/>
              <w:bottom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99.4728</w:t>
            </w:r>
          </w:p>
        </w:tc>
      </w:tr>
      <w:tr w:rsidR="0073700B">
        <w:trPr>
          <w:trHeight w:val="285"/>
          <w:jc w:val="center"/>
        </w:trPr>
        <w:tc>
          <w:tcPr>
            <w:tcW w:w="1046" w:type="dxa"/>
            <w:tcBorders>
              <w:top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6.5</w:t>
            </w:r>
          </w:p>
        </w:tc>
        <w:tc>
          <w:tcPr>
            <w:tcW w:w="1045" w:type="dxa"/>
            <w:tcBorders>
              <w:top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0.0024</w:t>
            </w:r>
          </w:p>
        </w:tc>
        <w:tc>
          <w:tcPr>
            <w:tcW w:w="1045" w:type="dxa"/>
            <w:tcBorders>
              <w:top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29.5</w:t>
            </w:r>
          </w:p>
        </w:tc>
        <w:tc>
          <w:tcPr>
            <w:tcW w:w="1213" w:type="dxa"/>
            <w:tcBorders>
              <w:top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6.962</w:t>
            </w:r>
          </w:p>
        </w:tc>
        <w:tc>
          <w:tcPr>
            <w:tcW w:w="1045" w:type="dxa"/>
            <w:tcBorders>
              <w:top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52.5</w:t>
            </w:r>
          </w:p>
        </w:tc>
        <w:tc>
          <w:tcPr>
            <w:tcW w:w="1213" w:type="dxa"/>
            <w:tcBorders>
              <w:top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71.9516</w:t>
            </w:r>
          </w:p>
        </w:tc>
        <w:tc>
          <w:tcPr>
            <w:tcW w:w="1045" w:type="dxa"/>
            <w:tcBorders>
              <w:top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75.5</w:t>
            </w:r>
          </w:p>
        </w:tc>
        <w:tc>
          <w:tcPr>
            <w:tcW w:w="1213" w:type="dxa"/>
            <w:tcBorders>
              <w:top w:val="single" w:sz="4" w:space="0" w:color="auto"/>
            </w:tcBorders>
            <w:shd w:val="clear" w:color="auto" w:fill="auto"/>
            <w:noWrap/>
            <w:vAlign w:val="center"/>
          </w:tcPr>
          <w:p w:rsidR="0073700B" w:rsidRDefault="001A2FFC">
            <w:pPr>
              <w:widowControl/>
              <w:jc w:val="center"/>
              <w:rPr>
                <w:bCs/>
                <w:color w:val="000000"/>
                <w:kern w:val="0"/>
                <w:szCs w:val="21"/>
              </w:rPr>
            </w:pPr>
            <w:r>
              <w:rPr>
                <w:bCs/>
                <w:color w:val="000000"/>
                <w:kern w:val="0"/>
                <w:szCs w:val="21"/>
              </w:rPr>
              <w:t>99.6043</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0.0043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30.5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8.3168</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53.5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74.8241</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76.5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99.7005</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0.0075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31.5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9.8661</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54.5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77.5273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77.5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99.7772</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0.013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32.5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11.5784</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55.5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80.067</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78.5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99.8347</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10.5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0.0194</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33.5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13.4898</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56.5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82.4153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79.5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99.8801</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11.5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0.0325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34.5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15.582</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57.5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84.6077</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80.5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99.9157</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12.5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0.0528</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35.5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17.8574</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58.5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86.5858</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81.5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99.9408</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13.5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0.0794</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36.5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20.3369</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59.5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88.3852</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82.5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99.9598</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14.5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0.1186</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37.5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22.9857</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60.5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90.0412</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83.5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99.973</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15.5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0.173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38.5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25.7926</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61.5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91.5091</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84.5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99.9805</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16.5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0.2505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39.5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28.7712</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62.5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92.8173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85.5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99.9867</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17.5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0.3469</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40.5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31.8883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63.5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93.9434</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86.5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99.9917</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18.5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0.4755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41.5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35.1135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64.5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94.9331</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87.5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99.9956</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19.5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0.6543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42.5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38.4366</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65.5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95.8093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88.5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99.9973</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20.5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0.8761</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43.5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41.8875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66.5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96.5547</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89.5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99.9985</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21.5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1.1583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44.5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45.3523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67.5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97.1923</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90.5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99.9989</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22.5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1.5122</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45.5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48.8534</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68.5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97.7211</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91.5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99.9992</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23.5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1.936</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46.5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52.3254</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69.5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98.1754</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92.5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99.9996</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24.5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2.4659</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47.5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55.7878</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70.5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98.5439</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93.5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99.9997</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25.5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3.0979</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48.5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59.2228</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71.5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98.8522</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94.5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99.9999</w:t>
            </w:r>
          </w:p>
        </w:tc>
      </w:tr>
      <w:tr w:rsidR="0073700B">
        <w:trPr>
          <w:trHeight w:val="285"/>
          <w:jc w:val="center"/>
        </w:trPr>
        <w:tc>
          <w:tcPr>
            <w:tcW w:w="1046" w:type="dxa"/>
            <w:shd w:val="clear" w:color="auto" w:fill="auto"/>
            <w:noWrap/>
            <w:vAlign w:val="center"/>
          </w:tcPr>
          <w:p w:rsidR="0073700B" w:rsidRDefault="001A2FFC">
            <w:pPr>
              <w:widowControl/>
              <w:jc w:val="center"/>
              <w:rPr>
                <w:bCs/>
                <w:color w:val="000000"/>
                <w:kern w:val="0"/>
                <w:szCs w:val="21"/>
              </w:rPr>
            </w:pPr>
            <w:r>
              <w:rPr>
                <w:bCs/>
                <w:color w:val="000000"/>
                <w:kern w:val="0"/>
                <w:szCs w:val="21"/>
              </w:rPr>
              <w:t>26.5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3.8525</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49.5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62.5679</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72.5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99.0978</w:t>
            </w:r>
          </w:p>
        </w:tc>
        <w:tc>
          <w:tcPr>
            <w:tcW w:w="1045" w:type="dxa"/>
            <w:shd w:val="clear" w:color="auto" w:fill="auto"/>
            <w:noWrap/>
            <w:vAlign w:val="center"/>
          </w:tcPr>
          <w:p w:rsidR="0073700B" w:rsidRDefault="001A2FFC">
            <w:pPr>
              <w:widowControl/>
              <w:jc w:val="center"/>
              <w:rPr>
                <w:bCs/>
                <w:color w:val="000000"/>
                <w:kern w:val="0"/>
                <w:szCs w:val="21"/>
              </w:rPr>
            </w:pPr>
            <w:r>
              <w:rPr>
                <w:bCs/>
                <w:color w:val="000000"/>
                <w:kern w:val="0"/>
                <w:szCs w:val="21"/>
              </w:rPr>
              <w:t>95.5</w:t>
            </w:r>
          </w:p>
        </w:tc>
        <w:tc>
          <w:tcPr>
            <w:tcW w:w="1213" w:type="dxa"/>
            <w:shd w:val="clear" w:color="auto" w:fill="auto"/>
            <w:noWrap/>
            <w:vAlign w:val="center"/>
          </w:tcPr>
          <w:p w:rsidR="0073700B" w:rsidRDefault="001A2FFC">
            <w:pPr>
              <w:widowControl/>
              <w:jc w:val="center"/>
              <w:rPr>
                <w:bCs/>
                <w:color w:val="000000"/>
                <w:kern w:val="0"/>
                <w:szCs w:val="21"/>
              </w:rPr>
            </w:pPr>
            <w:r>
              <w:rPr>
                <w:bCs/>
                <w:color w:val="000000"/>
                <w:kern w:val="0"/>
                <w:szCs w:val="21"/>
              </w:rPr>
              <w:t>100</w:t>
            </w:r>
          </w:p>
        </w:tc>
      </w:tr>
    </w:tbl>
    <w:p w:rsidR="0073700B" w:rsidRDefault="001A2FFC" w:rsidP="00F80BAC">
      <w:pPr>
        <w:tabs>
          <w:tab w:val="left" w:pos="312"/>
        </w:tabs>
        <w:spacing w:beforeLines="50" w:before="156" w:line="360" w:lineRule="auto"/>
        <w:ind w:firstLineChars="200" w:firstLine="480"/>
        <w:rPr>
          <w:bCs/>
          <w:color w:val="000000"/>
          <w:kern w:val="0"/>
          <w:sz w:val="24"/>
          <w:szCs w:val="24"/>
        </w:rPr>
      </w:pPr>
      <w:r>
        <w:rPr>
          <w:bCs/>
          <w:sz w:val="24"/>
          <w:szCs w:val="24"/>
        </w:rPr>
        <w:t>由上表数据结合试算结果可知，</w:t>
      </w:r>
      <w:r>
        <w:rPr>
          <w:bCs/>
          <w:color w:val="000000"/>
          <w:kern w:val="0"/>
          <w:sz w:val="24"/>
          <w:szCs w:val="24"/>
        </w:rPr>
        <w:t>总体风险分值的分布情况与</w:t>
      </w:r>
      <w:r>
        <w:rPr>
          <w:bCs/>
          <w:color w:val="000000"/>
          <w:kern w:val="0"/>
          <w:sz w:val="24"/>
          <w:szCs w:val="24"/>
        </w:rPr>
        <w:t>6.4.4</w:t>
      </w:r>
      <w:r>
        <w:rPr>
          <w:bCs/>
          <w:color w:val="000000"/>
          <w:kern w:val="0"/>
          <w:sz w:val="24"/>
          <w:szCs w:val="24"/>
        </w:rPr>
        <w:t>中等级划分标准符合较好。</w:t>
      </w:r>
      <w:r>
        <w:rPr>
          <w:bCs/>
          <w:sz w:val="24"/>
          <w:szCs w:val="24"/>
        </w:rPr>
        <w:t>根据案例试算与工程修正，</w:t>
      </w:r>
      <w:r>
        <w:rPr>
          <w:bCs/>
          <w:color w:val="000000"/>
          <w:kern w:val="0"/>
          <w:sz w:val="24"/>
          <w:szCs w:val="24"/>
        </w:rPr>
        <w:t>考虑到总体风险等级为</w:t>
      </w:r>
      <w:r>
        <w:rPr>
          <w:bCs/>
          <w:color w:val="000000"/>
          <w:kern w:val="0"/>
          <w:sz w:val="24"/>
          <w:szCs w:val="24"/>
        </w:rPr>
        <w:t>4</w:t>
      </w:r>
      <w:r>
        <w:rPr>
          <w:bCs/>
          <w:color w:val="000000"/>
          <w:kern w:val="0"/>
          <w:sz w:val="24"/>
          <w:szCs w:val="24"/>
        </w:rPr>
        <w:t>级，以累积概率分布曲线上对应的</w:t>
      </w:r>
      <w:r>
        <w:rPr>
          <w:bCs/>
          <w:color w:val="000000"/>
          <w:kern w:val="0"/>
          <w:sz w:val="24"/>
          <w:szCs w:val="24"/>
        </w:rPr>
        <w:t>&gt;30%</w:t>
      </w:r>
      <w:r>
        <w:rPr>
          <w:bCs/>
          <w:color w:val="000000"/>
          <w:kern w:val="0"/>
          <w:sz w:val="24"/>
          <w:szCs w:val="24"/>
        </w:rPr>
        <w:t>、</w:t>
      </w:r>
      <w:r>
        <w:rPr>
          <w:bCs/>
          <w:color w:val="000000"/>
          <w:kern w:val="0"/>
          <w:sz w:val="24"/>
          <w:szCs w:val="24"/>
        </w:rPr>
        <w:t>3%~30%</w:t>
      </w:r>
      <w:r>
        <w:rPr>
          <w:bCs/>
          <w:color w:val="000000"/>
          <w:kern w:val="0"/>
          <w:sz w:val="24"/>
          <w:szCs w:val="24"/>
        </w:rPr>
        <w:t>、</w:t>
      </w:r>
      <w:r>
        <w:rPr>
          <w:bCs/>
          <w:color w:val="000000"/>
          <w:kern w:val="0"/>
          <w:sz w:val="24"/>
          <w:szCs w:val="24"/>
        </w:rPr>
        <w:t>0.3%~3%</w:t>
      </w:r>
      <w:r>
        <w:rPr>
          <w:bCs/>
          <w:color w:val="000000"/>
          <w:kern w:val="0"/>
          <w:sz w:val="24"/>
          <w:szCs w:val="24"/>
        </w:rPr>
        <w:t>、</w:t>
      </w:r>
      <w:r>
        <w:rPr>
          <w:bCs/>
          <w:color w:val="000000"/>
          <w:kern w:val="0"/>
          <w:sz w:val="24"/>
          <w:szCs w:val="24"/>
        </w:rPr>
        <w:t>&lt;0.3%</w:t>
      </w:r>
      <w:r>
        <w:rPr>
          <w:bCs/>
          <w:color w:val="000000"/>
          <w:kern w:val="0"/>
          <w:sz w:val="24"/>
          <w:szCs w:val="24"/>
        </w:rPr>
        <w:t>的区间作为</w:t>
      </w:r>
      <w:r>
        <w:rPr>
          <w:bCs/>
          <w:sz w:val="24"/>
          <w:szCs w:val="28"/>
        </w:rPr>
        <w:t>重大、较大、一般、较小</w:t>
      </w:r>
      <w:r>
        <w:rPr>
          <w:bCs/>
          <w:color w:val="000000"/>
          <w:kern w:val="0"/>
          <w:sz w:val="24"/>
          <w:szCs w:val="24"/>
        </w:rPr>
        <w:t>风险的分级标准，结果见</w:t>
      </w:r>
      <w:r>
        <w:fldChar w:fldCharType="begin"/>
      </w:r>
      <w:r>
        <w:instrText xml:space="preserve"> REF _Ref25580069 \h  \* MERGEFORMAT </w:instrText>
      </w:r>
      <w:r>
        <w:fldChar w:fldCharType="separate"/>
      </w:r>
      <w:r>
        <w:rPr>
          <w:bCs/>
          <w:sz w:val="24"/>
          <w:szCs w:val="24"/>
        </w:rPr>
        <w:t>表</w:t>
      </w:r>
      <w:r>
        <w:rPr>
          <w:bCs/>
          <w:sz w:val="24"/>
          <w:szCs w:val="24"/>
        </w:rPr>
        <w:t>5</w:t>
      </w:r>
      <w:r>
        <w:rPr>
          <w:bCs/>
          <w:sz w:val="24"/>
          <w:szCs w:val="24"/>
        </w:rPr>
        <w:noBreakHyphen/>
        <w:t>6</w:t>
      </w:r>
      <w:r>
        <w:rPr>
          <w:bCs/>
          <w:sz w:val="24"/>
          <w:szCs w:val="24"/>
        </w:rPr>
        <w:fldChar w:fldCharType="end"/>
      </w:r>
      <w:r>
        <w:rPr>
          <w:bCs/>
          <w:color w:val="000000"/>
          <w:kern w:val="0"/>
          <w:sz w:val="24"/>
          <w:szCs w:val="24"/>
        </w:rPr>
        <w:t>。</w:t>
      </w:r>
    </w:p>
    <w:p w:rsidR="0073700B" w:rsidRDefault="001A2FFC">
      <w:pPr>
        <w:pStyle w:val="a6"/>
        <w:rPr>
          <w:rFonts w:ascii="黑体" w:eastAsia="黑体" w:hAnsi="黑体"/>
          <w:b w:val="0"/>
          <w:bCs/>
        </w:rPr>
      </w:pPr>
      <w:bookmarkStart w:id="29" w:name="_Ref25580069"/>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5</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bookmarkEnd w:id="29"/>
      <w:r>
        <w:rPr>
          <w:rFonts w:ascii="黑体" w:eastAsia="黑体" w:hAnsi="黑体"/>
          <w:b w:val="0"/>
          <w:bCs/>
        </w:rPr>
        <w:t xml:space="preserve">  </w:t>
      </w:r>
      <w:r>
        <w:rPr>
          <w:rFonts w:ascii="黑体" w:eastAsia="黑体" w:hAnsi="黑体"/>
          <w:b w:val="0"/>
          <w:bCs/>
        </w:rPr>
        <w:t>总体风险等级计算分值</w:t>
      </w:r>
    </w:p>
    <w:tbl>
      <w:tblPr>
        <w:tblStyle w:val="af1"/>
        <w:tblW w:w="0" w:type="auto"/>
        <w:tblLook w:val="04A0" w:firstRow="1" w:lastRow="0" w:firstColumn="1" w:lastColumn="0" w:noHBand="0" w:noVBand="1"/>
      </w:tblPr>
      <w:tblGrid>
        <w:gridCol w:w="4148"/>
        <w:gridCol w:w="4148"/>
      </w:tblGrid>
      <w:tr w:rsidR="0073700B">
        <w:tc>
          <w:tcPr>
            <w:tcW w:w="4148" w:type="dxa"/>
            <w:tcBorders>
              <w:top w:val="single" w:sz="8" w:space="0" w:color="auto"/>
              <w:left w:val="single" w:sz="8" w:space="0" w:color="auto"/>
              <w:bottom w:val="single" w:sz="8" w:space="0" w:color="auto"/>
              <w:right w:val="single" w:sz="8" w:space="0" w:color="auto"/>
            </w:tcBorders>
            <w:vAlign w:val="center"/>
          </w:tcPr>
          <w:p w:rsidR="0073700B" w:rsidRDefault="001A2FFC">
            <w:pPr>
              <w:pStyle w:val="a7"/>
              <w:jc w:val="center"/>
              <w:rPr>
                <w:bCs/>
              </w:rPr>
            </w:pPr>
            <w:r>
              <w:rPr>
                <w:bCs/>
              </w:rPr>
              <w:t>风险等级</w:t>
            </w:r>
          </w:p>
        </w:tc>
        <w:tc>
          <w:tcPr>
            <w:tcW w:w="4148" w:type="dxa"/>
            <w:tcBorders>
              <w:top w:val="single" w:sz="8" w:space="0" w:color="auto"/>
              <w:left w:val="single" w:sz="8" w:space="0" w:color="auto"/>
              <w:bottom w:val="single" w:sz="8" w:space="0" w:color="auto"/>
              <w:right w:val="single" w:sz="8" w:space="0" w:color="auto"/>
            </w:tcBorders>
            <w:vAlign w:val="center"/>
          </w:tcPr>
          <w:p w:rsidR="0073700B" w:rsidRDefault="001A2FFC">
            <w:pPr>
              <w:pStyle w:val="a7"/>
              <w:jc w:val="center"/>
              <w:rPr>
                <w:bCs/>
              </w:rPr>
            </w:pPr>
            <w:r>
              <w:rPr>
                <w:bCs/>
              </w:rPr>
              <w:t>计算分值</w:t>
            </w:r>
            <w:r>
              <w:rPr>
                <w:bCs/>
                <w:i/>
                <w:iCs/>
              </w:rPr>
              <w:t>R</w:t>
            </w:r>
          </w:p>
        </w:tc>
      </w:tr>
      <w:tr w:rsidR="0073700B">
        <w:tc>
          <w:tcPr>
            <w:tcW w:w="4148" w:type="dxa"/>
            <w:tcBorders>
              <w:top w:val="single" w:sz="8" w:space="0" w:color="auto"/>
              <w:left w:val="single" w:sz="8" w:space="0" w:color="auto"/>
            </w:tcBorders>
            <w:vAlign w:val="center"/>
          </w:tcPr>
          <w:p w:rsidR="0073700B" w:rsidRDefault="001A2FFC">
            <w:pPr>
              <w:pStyle w:val="a7"/>
              <w:jc w:val="center"/>
              <w:rPr>
                <w:bCs/>
              </w:rPr>
            </w:pPr>
            <w:r>
              <w:rPr>
                <w:bCs/>
              </w:rPr>
              <w:t>重大风险（</w:t>
            </w:r>
            <w:r>
              <w:rPr>
                <w:rFonts w:ascii="宋体" w:hAnsi="宋体" w:cs="宋体" w:hint="eastAsia"/>
                <w:bCs/>
              </w:rPr>
              <w:t>Ⅰ</w:t>
            </w:r>
            <w:r>
              <w:rPr>
                <w:bCs/>
              </w:rPr>
              <w:t>级）</w:t>
            </w:r>
          </w:p>
        </w:tc>
        <w:tc>
          <w:tcPr>
            <w:tcW w:w="4148" w:type="dxa"/>
            <w:tcBorders>
              <w:top w:val="single" w:sz="8" w:space="0" w:color="auto"/>
              <w:right w:val="single" w:sz="8" w:space="0" w:color="auto"/>
            </w:tcBorders>
            <w:vAlign w:val="center"/>
          </w:tcPr>
          <w:p w:rsidR="0073700B" w:rsidRDefault="001A2FFC">
            <w:pPr>
              <w:pStyle w:val="a7"/>
              <w:jc w:val="center"/>
              <w:rPr>
                <w:bCs/>
              </w:rPr>
            </w:pPr>
            <w:r>
              <w:rPr>
                <w:bCs/>
                <w:i/>
                <w:iCs/>
              </w:rPr>
              <w:t>R</w:t>
            </w:r>
            <w:r>
              <w:rPr>
                <w:bCs/>
              </w:rPr>
              <w:t>≥40</w:t>
            </w:r>
          </w:p>
        </w:tc>
      </w:tr>
      <w:tr w:rsidR="0073700B">
        <w:tc>
          <w:tcPr>
            <w:tcW w:w="4148" w:type="dxa"/>
            <w:tcBorders>
              <w:left w:val="single" w:sz="8" w:space="0" w:color="auto"/>
            </w:tcBorders>
            <w:vAlign w:val="center"/>
          </w:tcPr>
          <w:p w:rsidR="0073700B" w:rsidRDefault="001A2FFC">
            <w:pPr>
              <w:pStyle w:val="a7"/>
              <w:jc w:val="center"/>
              <w:rPr>
                <w:bCs/>
              </w:rPr>
            </w:pPr>
            <w:r>
              <w:rPr>
                <w:bCs/>
              </w:rPr>
              <w:t>较大风险（</w:t>
            </w:r>
            <w:r>
              <w:rPr>
                <w:rFonts w:ascii="宋体" w:hAnsi="宋体" w:cs="宋体" w:hint="eastAsia"/>
                <w:bCs/>
              </w:rPr>
              <w:t>Ⅱ</w:t>
            </w:r>
            <w:r>
              <w:rPr>
                <w:bCs/>
              </w:rPr>
              <w:t>级）</w:t>
            </w:r>
          </w:p>
        </w:tc>
        <w:tc>
          <w:tcPr>
            <w:tcW w:w="4148" w:type="dxa"/>
            <w:tcBorders>
              <w:right w:val="single" w:sz="8" w:space="0" w:color="auto"/>
            </w:tcBorders>
            <w:vAlign w:val="center"/>
          </w:tcPr>
          <w:p w:rsidR="0073700B" w:rsidRDefault="001A2FFC">
            <w:pPr>
              <w:pStyle w:val="a7"/>
              <w:jc w:val="center"/>
              <w:rPr>
                <w:bCs/>
              </w:rPr>
            </w:pPr>
            <w:r>
              <w:rPr>
                <w:bCs/>
              </w:rPr>
              <w:t>26≤</w:t>
            </w:r>
            <w:r>
              <w:rPr>
                <w:bCs/>
                <w:i/>
                <w:iCs/>
              </w:rPr>
              <w:t>R</w:t>
            </w:r>
            <w:r>
              <w:rPr>
                <w:bCs/>
              </w:rPr>
              <w:t>&lt;40</w:t>
            </w:r>
          </w:p>
        </w:tc>
      </w:tr>
      <w:tr w:rsidR="0073700B">
        <w:trPr>
          <w:trHeight w:val="210"/>
        </w:trPr>
        <w:tc>
          <w:tcPr>
            <w:tcW w:w="4148" w:type="dxa"/>
            <w:tcBorders>
              <w:left w:val="single" w:sz="8" w:space="0" w:color="auto"/>
            </w:tcBorders>
            <w:vAlign w:val="center"/>
          </w:tcPr>
          <w:p w:rsidR="0073700B" w:rsidRDefault="001A2FFC">
            <w:pPr>
              <w:pStyle w:val="a7"/>
              <w:jc w:val="center"/>
              <w:rPr>
                <w:bCs/>
              </w:rPr>
            </w:pPr>
            <w:r>
              <w:rPr>
                <w:bCs/>
              </w:rPr>
              <w:t>一般风险（</w:t>
            </w:r>
            <w:r>
              <w:rPr>
                <w:rFonts w:ascii="宋体" w:hAnsi="宋体" w:cs="宋体" w:hint="eastAsia"/>
                <w:bCs/>
              </w:rPr>
              <w:t>Ⅲ</w:t>
            </w:r>
            <w:r>
              <w:rPr>
                <w:bCs/>
              </w:rPr>
              <w:t>级）</w:t>
            </w:r>
          </w:p>
        </w:tc>
        <w:tc>
          <w:tcPr>
            <w:tcW w:w="4148" w:type="dxa"/>
            <w:tcBorders>
              <w:bottom w:val="single" w:sz="4" w:space="0" w:color="auto"/>
              <w:right w:val="single" w:sz="8" w:space="0" w:color="auto"/>
            </w:tcBorders>
            <w:vAlign w:val="center"/>
          </w:tcPr>
          <w:p w:rsidR="0073700B" w:rsidRDefault="001A2FFC">
            <w:pPr>
              <w:pStyle w:val="a7"/>
              <w:jc w:val="center"/>
              <w:rPr>
                <w:bCs/>
              </w:rPr>
            </w:pPr>
            <w:r>
              <w:rPr>
                <w:bCs/>
              </w:rPr>
              <w:t>17≤</w:t>
            </w:r>
            <w:r>
              <w:rPr>
                <w:bCs/>
                <w:i/>
                <w:iCs/>
              </w:rPr>
              <w:t>R</w:t>
            </w:r>
            <w:r>
              <w:rPr>
                <w:bCs/>
              </w:rPr>
              <w:t>&lt;26</w:t>
            </w:r>
          </w:p>
        </w:tc>
      </w:tr>
      <w:tr w:rsidR="0073700B">
        <w:tc>
          <w:tcPr>
            <w:tcW w:w="4148" w:type="dxa"/>
            <w:tcBorders>
              <w:top w:val="single" w:sz="4" w:space="0" w:color="auto"/>
              <w:left w:val="single" w:sz="8" w:space="0" w:color="auto"/>
              <w:bottom w:val="single" w:sz="8" w:space="0" w:color="auto"/>
            </w:tcBorders>
            <w:vAlign w:val="center"/>
          </w:tcPr>
          <w:p w:rsidR="0073700B" w:rsidRDefault="001A2FFC">
            <w:pPr>
              <w:pStyle w:val="a7"/>
              <w:jc w:val="center"/>
              <w:rPr>
                <w:bCs/>
              </w:rPr>
            </w:pPr>
            <w:r>
              <w:rPr>
                <w:bCs/>
              </w:rPr>
              <w:t>较小风险（</w:t>
            </w:r>
            <w:r>
              <w:rPr>
                <w:rFonts w:ascii="宋体" w:hAnsi="宋体" w:cs="宋体" w:hint="eastAsia"/>
                <w:bCs/>
              </w:rPr>
              <w:t>Ⅳ</w:t>
            </w:r>
            <w:r>
              <w:rPr>
                <w:bCs/>
              </w:rPr>
              <w:t>级）</w:t>
            </w:r>
          </w:p>
        </w:tc>
        <w:tc>
          <w:tcPr>
            <w:tcW w:w="4148" w:type="dxa"/>
            <w:tcBorders>
              <w:top w:val="single" w:sz="4" w:space="0" w:color="auto"/>
              <w:bottom w:val="single" w:sz="8" w:space="0" w:color="auto"/>
              <w:right w:val="single" w:sz="8" w:space="0" w:color="auto"/>
            </w:tcBorders>
            <w:vAlign w:val="center"/>
          </w:tcPr>
          <w:p w:rsidR="0073700B" w:rsidRDefault="001A2FFC">
            <w:pPr>
              <w:pStyle w:val="a7"/>
              <w:jc w:val="center"/>
              <w:rPr>
                <w:bCs/>
              </w:rPr>
            </w:pPr>
            <w:r>
              <w:rPr>
                <w:bCs/>
                <w:i/>
                <w:iCs/>
              </w:rPr>
              <w:t>R</w:t>
            </w:r>
            <w:r>
              <w:rPr>
                <w:bCs/>
              </w:rPr>
              <w:t>&lt;17</w:t>
            </w:r>
          </w:p>
        </w:tc>
      </w:tr>
    </w:tbl>
    <w:p w:rsidR="0073700B" w:rsidRDefault="0073700B">
      <w:pPr>
        <w:pStyle w:val="a7"/>
        <w:rPr>
          <w:bCs/>
        </w:rPr>
      </w:pPr>
    </w:p>
    <w:p w:rsidR="0073700B" w:rsidRDefault="001A2FFC">
      <w:pPr>
        <w:pStyle w:val="3"/>
        <w:ind w:left="0" w:firstLine="480"/>
        <w:rPr>
          <w:b/>
          <w:bCs w:val="0"/>
        </w:rPr>
      </w:pPr>
      <w:r>
        <w:rPr>
          <w:b/>
          <w:bCs w:val="0"/>
        </w:rPr>
        <w:lastRenderedPageBreak/>
        <w:t xml:space="preserve">. </w:t>
      </w:r>
      <w:r>
        <w:rPr>
          <w:b/>
          <w:bCs w:val="0"/>
        </w:rPr>
        <w:t>专项风险评估</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1</w:t>
      </w:r>
      <w:r>
        <w:rPr>
          <w:rFonts w:hint="eastAsia"/>
          <w:bCs/>
          <w:sz w:val="24"/>
          <w:szCs w:val="20"/>
        </w:rPr>
        <w:t>）</w:t>
      </w:r>
      <w:r>
        <w:rPr>
          <w:bCs/>
          <w:sz w:val="24"/>
          <w:szCs w:val="20"/>
        </w:rPr>
        <w:t>一般要求</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专项风险评估属于可能灾害的针对性评估，评估对象是隧道工程的施工区段，包括施工前专项风险评估、施工过程专项风险评估和风险控制预期效果评估。专项风险评估通过风险辨识、风险分析、风险估测等过程，找出影响事故发生的各个因素，进而提出风险控制措施。为检验风险控制措施实施后的残留风险情况，需开展风险控制预期效果评估。</w:t>
      </w:r>
    </w:p>
    <w:p w:rsidR="0073700B" w:rsidRDefault="001A2FFC" w:rsidP="00F80BAC">
      <w:pPr>
        <w:spacing w:beforeLines="50" w:before="156" w:line="360" w:lineRule="auto"/>
        <w:ind w:firstLineChars="200" w:firstLine="480"/>
        <w:rPr>
          <w:bCs/>
          <w:sz w:val="24"/>
          <w:szCs w:val="20"/>
        </w:rPr>
      </w:pPr>
      <w:r>
        <w:rPr>
          <w:rFonts w:hint="eastAsia"/>
          <w:bCs/>
          <w:sz w:val="24"/>
          <w:szCs w:val="20"/>
        </w:rPr>
        <w:t>②</w:t>
      </w:r>
      <w:r>
        <w:rPr>
          <w:rStyle w:val="fontstyle01"/>
          <w:rFonts w:ascii="Times New Roman" w:hAnsi="Times New Roman" w:hint="default"/>
          <w:bCs/>
          <w:sz w:val="24"/>
          <w:szCs w:val="24"/>
        </w:rPr>
        <w:t>专项风险评估的基本程序包括：风险辨识、风险分析、风险估测、风险控制和风险控制预期效果评估</w:t>
      </w:r>
      <w:r>
        <w:rPr>
          <w:bCs/>
          <w:sz w:val="24"/>
          <w:szCs w:val="20"/>
        </w:rPr>
        <w:t>。</w:t>
      </w:r>
    </w:p>
    <w:p w:rsidR="0073700B" w:rsidRDefault="001A2FFC" w:rsidP="00F80BAC">
      <w:pPr>
        <w:spacing w:beforeLines="50" w:before="156" w:line="360" w:lineRule="auto"/>
        <w:ind w:firstLineChars="200" w:firstLine="480"/>
        <w:rPr>
          <w:bCs/>
          <w:sz w:val="24"/>
          <w:szCs w:val="20"/>
        </w:rPr>
      </w:pPr>
      <w:r>
        <w:rPr>
          <w:rFonts w:hint="eastAsia"/>
          <w:bCs/>
          <w:sz w:val="24"/>
          <w:szCs w:val="20"/>
        </w:rPr>
        <w:t>③</w:t>
      </w:r>
      <w:r>
        <w:rPr>
          <w:bCs/>
          <w:sz w:val="24"/>
          <w:szCs w:val="20"/>
        </w:rPr>
        <w:t>施工前专项风险评估</w:t>
      </w:r>
    </w:p>
    <w:p w:rsidR="0073700B" w:rsidRDefault="001A2FFC" w:rsidP="00F80BAC">
      <w:pPr>
        <w:spacing w:beforeLines="50" w:before="156" w:line="360" w:lineRule="auto"/>
        <w:ind w:firstLineChars="200" w:firstLine="480"/>
        <w:rPr>
          <w:bCs/>
          <w:sz w:val="24"/>
          <w:szCs w:val="20"/>
        </w:rPr>
      </w:pPr>
      <w:bookmarkStart w:id="30" w:name="_Hlk32335842"/>
      <w:r>
        <w:rPr>
          <w:bCs/>
          <w:sz w:val="24"/>
          <w:szCs w:val="20"/>
        </w:rPr>
        <w:t>总体风险评估等级为较大风险（</w:t>
      </w:r>
      <w:r>
        <w:rPr>
          <w:rFonts w:ascii="宋体" w:hAnsi="宋体" w:cs="宋体" w:hint="eastAsia"/>
          <w:bCs/>
          <w:sz w:val="24"/>
          <w:szCs w:val="20"/>
        </w:rPr>
        <w:t>Ⅱ</w:t>
      </w:r>
      <w:r>
        <w:rPr>
          <w:bCs/>
          <w:sz w:val="24"/>
          <w:szCs w:val="20"/>
        </w:rPr>
        <w:t>级）及以上的隧道工程</w:t>
      </w:r>
      <w:bookmarkEnd w:id="30"/>
      <w:r>
        <w:rPr>
          <w:bCs/>
          <w:sz w:val="24"/>
          <w:szCs w:val="20"/>
        </w:rPr>
        <w:t>应开展施工前专项风险评估，一般风险（</w:t>
      </w:r>
      <w:r>
        <w:rPr>
          <w:rFonts w:ascii="宋体" w:hAnsi="宋体" w:cs="宋体" w:hint="eastAsia"/>
          <w:bCs/>
          <w:sz w:val="24"/>
          <w:szCs w:val="20"/>
        </w:rPr>
        <w:t>Ⅲ</w:t>
      </w:r>
      <w:r>
        <w:rPr>
          <w:bCs/>
          <w:sz w:val="24"/>
          <w:szCs w:val="20"/>
        </w:rPr>
        <w:t>级）、较小风险（</w:t>
      </w:r>
      <w:r>
        <w:rPr>
          <w:rFonts w:ascii="宋体" w:hAnsi="宋体" w:cs="宋体" w:hint="eastAsia"/>
          <w:bCs/>
          <w:sz w:val="24"/>
          <w:szCs w:val="20"/>
        </w:rPr>
        <w:t>Ⅳ</w:t>
      </w:r>
      <w:r>
        <w:rPr>
          <w:bCs/>
          <w:sz w:val="24"/>
          <w:szCs w:val="20"/>
        </w:rPr>
        <w:t>级）视情况确定是否开展。</w:t>
      </w:r>
    </w:p>
    <w:p w:rsidR="0073700B" w:rsidRDefault="001A2FFC" w:rsidP="00F80BAC">
      <w:pPr>
        <w:spacing w:beforeLines="50" w:before="156" w:line="360" w:lineRule="auto"/>
        <w:ind w:firstLineChars="200" w:firstLine="480"/>
        <w:rPr>
          <w:bCs/>
          <w:sz w:val="24"/>
          <w:szCs w:val="20"/>
        </w:rPr>
      </w:pPr>
      <w:r>
        <w:rPr>
          <w:bCs/>
          <w:sz w:val="24"/>
          <w:szCs w:val="20"/>
        </w:rPr>
        <w:t>施工前专项风险评估在隧道开工前进行，不考虑人为及管理因素，应参照隧道工程本身属性、勘察设计文件等静态条件展开评估。</w:t>
      </w:r>
    </w:p>
    <w:p w:rsidR="0073700B" w:rsidRDefault="001A2FFC" w:rsidP="00F80BAC">
      <w:pPr>
        <w:spacing w:beforeLines="50" w:before="156" w:line="360" w:lineRule="auto"/>
        <w:ind w:firstLineChars="200" w:firstLine="480"/>
        <w:rPr>
          <w:bCs/>
          <w:sz w:val="24"/>
          <w:szCs w:val="20"/>
        </w:rPr>
      </w:pPr>
      <w:r>
        <w:rPr>
          <w:rFonts w:hint="eastAsia"/>
          <w:bCs/>
          <w:sz w:val="24"/>
          <w:szCs w:val="20"/>
        </w:rPr>
        <w:t>本标准</w:t>
      </w:r>
      <w:r>
        <w:rPr>
          <w:bCs/>
          <w:sz w:val="24"/>
          <w:szCs w:val="20"/>
        </w:rPr>
        <w:t>给出了</w:t>
      </w:r>
      <w:r>
        <w:rPr>
          <w:rFonts w:hint="eastAsia"/>
          <w:bCs/>
          <w:sz w:val="24"/>
          <w:szCs w:val="20"/>
        </w:rPr>
        <w:t>开展</w:t>
      </w:r>
      <w:r>
        <w:rPr>
          <w:bCs/>
          <w:sz w:val="24"/>
          <w:szCs w:val="20"/>
        </w:rPr>
        <w:t>施工前专项风险评估的</w:t>
      </w:r>
      <w:r>
        <w:rPr>
          <w:rFonts w:hint="eastAsia"/>
          <w:bCs/>
          <w:sz w:val="24"/>
          <w:szCs w:val="20"/>
        </w:rPr>
        <w:t>意义</w:t>
      </w:r>
      <w:r>
        <w:rPr>
          <w:bCs/>
          <w:sz w:val="24"/>
          <w:szCs w:val="20"/>
        </w:rPr>
        <w:t>，即</w:t>
      </w:r>
      <w:r>
        <w:rPr>
          <w:rFonts w:hint="eastAsia"/>
          <w:bCs/>
          <w:sz w:val="24"/>
          <w:szCs w:val="20"/>
        </w:rPr>
        <w:t>：</w:t>
      </w:r>
      <w:r>
        <w:rPr>
          <w:bCs/>
          <w:sz w:val="24"/>
          <w:szCs w:val="20"/>
        </w:rPr>
        <w:t>施工前专项风险评估</w:t>
      </w:r>
      <w:r>
        <w:rPr>
          <w:rFonts w:hint="eastAsia"/>
          <w:bCs/>
          <w:sz w:val="24"/>
          <w:szCs w:val="20"/>
        </w:rPr>
        <w:t>结果</w:t>
      </w:r>
      <w:r>
        <w:rPr>
          <w:bCs/>
          <w:sz w:val="24"/>
          <w:szCs w:val="20"/>
        </w:rPr>
        <w:t>作为编制专项施工方案的主要依据。</w:t>
      </w:r>
    </w:p>
    <w:p w:rsidR="0073700B" w:rsidRDefault="001A2FFC" w:rsidP="00F80BAC">
      <w:pPr>
        <w:spacing w:beforeLines="50" w:before="156" w:line="360" w:lineRule="auto"/>
        <w:ind w:firstLineChars="200" w:firstLine="480"/>
        <w:rPr>
          <w:bCs/>
          <w:sz w:val="24"/>
          <w:szCs w:val="20"/>
        </w:rPr>
      </w:pPr>
      <w:r>
        <w:rPr>
          <w:rFonts w:hint="eastAsia"/>
          <w:bCs/>
          <w:sz w:val="24"/>
          <w:szCs w:val="20"/>
        </w:rPr>
        <w:t>④</w:t>
      </w:r>
      <w:r>
        <w:rPr>
          <w:bCs/>
          <w:sz w:val="24"/>
          <w:szCs w:val="20"/>
        </w:rPr>
        <w:t>施工过程专项风险评估</w:t>
      </w:r>
    </w:p>
    <w:p w:rsidR="0073700B" w:rsidRDefault="001A2FFC" w:rsidP="00F80BAC">
      <w:pPr>
        <w:spacing w:beforeLines="50" w:before="156" w:line="360" w:lineRule="auto"/>
        <w:ind w:firstLineChars="200" w:firstLine="480"/>
        <w:rPr>
          <w:bCs/>
          <w:sz w:val="24"/>
          <w:szCs w:val="20"/>
        </w:rPr>
      </w:pPr>
      <w:r>
        <w:rPr>
          <w:bCs/>
          <w:sz w:val="24"/>
          <w:szCs w:val="20"/>
        </w:rPr>
        <w:t>施工过程专项风险评估并非针对每一条公路隧道，满足</w:t>
      </w:r>
      <w:r>
        <w:rPr>
          <w:rFonts w:hint="eastAsia"/>
          <w:bCs/>
          <w:sz w:val="24"/>
          <w:szCs w:val="20"/>
        </w:rPr>
        <w:t>其开展条件（</w:t>
      </w:r>
      <w:r>
        <w:rPr>
          <w:bCs/>
          <w:sz w:val="24"/>
          <w:szCs w:val="20"/>
        </w:rPr>
        <w:t>总体风险评估等级为较大风险及以上的隧道工程</w:t>
      </w:r>
      <w:r>
        <w:rPr>
          <w:rFonts w:hint="eastAsia"/>
          <w:bCs/>
          <w:sz w:val="24"/>
          <w:szCs w:val="20"/>
        </w:rPr>
        <w:t>）</w:t>
      </w:r>
      <w:r>
        <w:rPr>
          <w:bCs/>
          <w:sz w:val="24"/>
          <w:szCs w:val="20"/>
        </w:rPr>
        <w:t>时才得以启动，参照前期专项风险评估文件、隧道施工现状、施工过程监控量测及补充的地质资料等展开评估。因此，专项风险评估属于动态评估。</w:t>
      </w:r>
    </w:p>
    <w:p w:rsidR="0073700B" w:rsidRDefault="001A2FFC" w:rsidP="00F80BAC">
      <w:pPr>
        <w:spacing w:beforeLines="50" w:before="156" w:line="360" w:lineRule="auto"/>
        <w:ind w:firstLineChars="200" w:firstLine="480"/>
        <w:rPr>
          <w:bCs/>
          <w:sz w:val="24"/>
          <w:szCs w:val="20"/>
        </w:rPr>
      </w:pPr>
      <w:r>
        <w:rPr>
          <w:bCs/>
          <w:sz w:val="24"/>
          <w:szCs w:val="20"/>
        </w:rPr>
        <w:t>以下对施工过程专项风险评估的启动条件作进一步阐述：</w:t>
      </w:r>
    </w:p>
    <w:p w:rsidR="0073700B" w:rsidRDefault="001A2FFC" w:rsidP="00F80BAC">
      <w:pPr>
        <w:spacing w:beforeLines="50" w:before="156" w:line="360" w:lineRule="auto"/>
        <w:ind w:firstLineChars="200" w:firstLine="480"/>
        <w:rPr>
          <w:bCs/>
          <w:sz w:val="24"/>
          <w:szCs w:val="20"/>
        </w:rPr>
      </w:pPr>
      <w:r>
        <w:rPr>
          <w:bCs/>
          <w:sz w:val="24"/>
          <w:szCs w:val="20"/>
        </w:rPr>
        <w:t>a</w:t>
      </w:r>
      <w:r>
        <w:rPr>
          <w:rFonts w:hint="eastAsia"/>
          <w:bCs/>
          <w:sz w:val="24"/>
          <w:szCs w:val="20"/>
        </w:rPr>
        <w:t>）</w:t>
      </w:r>
      <w:r>
        <w:rPr>
          <w:bCs/>
          <w:sz w:val="24"/>
          <w:szCs w:val="20"/>
        </w:rPr>
        <w:t>主要考虑到由于围岩等级急剧变化、突遇溶洞暗河、暴雨等自然因素的重大改变，影响施工安全；</w:t>
      </w:r>
    </w:p>
    <w:p w:rsidR="0073700B" w:rsidRDefault="001A2FFC" w:rsidP="00F80BAC">
      <w:pPr>
        <w:spacing w:beforeLines="50" w:before="156" w:line="360" w:lineRule="auto"/>
        <w:ind w:firstLineChars="200" w:firstLine="480"/>
        <w:rPr>
          <w:bCs/>
          <w:sz w:val="24"/>
          <w:szCs w:val="20"/>
        </w:rPr>
      </w:pPr>
      <w:r>
        <w:rPr>
          <w:bCs/>
          <w:sz w:val="24"/>
          <w:szCs w:val="20"/>
        </w:rPr>
        <w:t>b</w:t>
      </w:r>
      <w:r>
        <w:rPr>
          <w:rFonts w:hint="eastAsia"/>
          <w:bCs/>
          <w:sz w:val="24"/>
          <w:szCs w:val="20"/>
        </w:rPr>
        <w:t>）</w:t>
      </w:r>
      <w:r>
        <w:rPr>
          <w:bCs/>
          <w:sz w:val="24"/>
          <w:szCs w:val="20"/>
        </w:rPr>
        <w:t>主要依据《公路工程设计变更管理办法》（交通部令</w:t>
      </w:r>
      <w:r>
        <w:rPr>
          <w:bCs/>
          <w:sz w:val="24"/>
          <w:szCs w:val="20"/>
        </w:rPr>
        <w:t>2005</w:t>
      </w:r>
      <w:r>
        <w:rPr>
          <w:bCs/>
          <w:sz w:val="24"/>
          <w:szCs w:val="20"/>
        </w:rPr>
        <w:t>年第</w:t>
      </w:r>
      <w:r>
        <w:rPr>
          <w:bCs/>
          <w:sz w:val="24"/>
          <w:szCs w:val="20"/>
        </w:rPr>
        <w:t>5</w:t>
      </w:r>
      <w:r>
        <w:rPr>
          <w:bCs/>
          <w:sz w:val="24"/>
          <w:szCs w:val="20"/>
        </w:rPr>
        <w:t>号），</w:t>
      </w:r>
      <w:r>
        <w:rPr>
          <w:bCs/>
          <w:sz w:val="24"/>
          <w:szCs w:val="20"/>
        </w:rPr>
        <w:lastRenderedPageBreak/>
        <w:t>有下列情形之一的属于满足重大设计变更的条件：</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bCs/>
          <w:sz w:val="24"/>
          <w:szCs w:val="20"/>
        </w:rPr>
        <w:t>连续长度</w:t>
      </w:r>
      <w:r>
        <w:rPr>
          <w:bCs/>
          <w:sz w:val="24"/>
          <w:szCs w:val="20"/>
        </w:rPr>
        <w:t>10</w:t>
      </w:r>
      <w:r>
        <w:rPr>
          <w:bCs/>
          <w:sz w:val="24"/>
          <w:szCs w:val="20"/>
        </w:rPr>
        <w:t>公里以上的路线方案调整的；</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bCs/>
          <w:sz w:val="24"/>
          <w:szCs w:val="20"/>
        </w:rPr>
        <w:t>特长隧道的数量或通风方案发生变化的；</w:t>
      </w:r>
    </w:p>
    <w:p w:rsidR="0073700B" w:rsidRDefault="001A2FFC" w:rsidP="00F80BAC">
      <w:pPr>
        <w:spacing w:beforeLines="50" w:before="156" w:line="360" w:lineRule="auto"/>
        <w:ind w:firstLineChars="200" w:firstLine="480"/>
        <w:rPr>
          <w:bCs/>
          <w:sz w:val="24"/>
          <w:szCs w:val="20"/>
        </w:rPr>
      </w:pPr>
      <w:r>
        <w:rPr>
          <w:rFonts w:hint="eastAsia"/>
          <w:bCs/>
          <w:sz w:val="24"/>
          <w:szCs w:val="20"/>
        </w:rPr>
        <w:t>——</w:t>
      </w:r>
      <w:r>
        <w:rPr>
          <w:bCs/>
          <w:sz w:val="24"/>
          <w:szCs w:val="20"/>
        </w:rPr>
        <w:t>超过初步设计批准概算的。</w:t>
      </w:r>
    </w:p>
    <w:p w:rsidR="0073700B" w:rsidRDefault="001A2FFC" w:rsidP="00F80BAC">
      <w:pPr>
        <w:spacing w:beforeLines="50" w:before="156" w:line="360" w:lineRule="auto"/>
        <w:ind w:firstLineChars="200" w:firstLine="480"/>
        <w:rPr>
          <w:bCs/>
          <w:sz w:val="24"/>
          <w:szCs w:val="20"/>
        </w:rPr>
      </w:pPr>
      <w:r>
        <w:rPr>
          <w:bCs/>
          <w:sz w:val="24"/>
          <w:szCs w:val="20"/>
        </w:rPr>
        <w:t>c</w:t>
      </w:r>
      <w:r>
        <w:rPr>
          <w:rFonts w:hint="eastAsia"/>
          <w:bCs/>
          <w:sz w:val="24"/>
          <w:szCs w:val="20"/>
        </w:rPr>
        <w:t>）</w:t>
      </w:r>
      <w:r>
        <w:rPr>
          <w:bCs/>
          <w:sz w:val="24"/>
          <w:szCs w:val="20"/>
        </w:rPr>
        <w:t>主要考虑隧道施工中监控量测指标值频繁超出正常值范围或现场出现小范围的事故险情；</w:t>
      </w:r>
    </w:p>
    <w:p w:rsidR="0073700B" w:rsidRDefault="001A2FFC" w:rsidP="00F80BAC">
      <w:pPr>
        <w:spacing w:beforeLines="50" w:before="156" w:line="360" w:lineRule="auto"/>
        <w:ind w:firstLineChars="200" w:firstLine="480"/>
        <w:rPr>
          <w:bCs/>
          <w:sz w:val="24"/>
          <w:szCs w:val="20"/>
        </w:rPr>
      </w:pPr>
      <w:r>
        <w:rPr>
          <w:bCs/>
          <w:sz w:val="24"/>
          <w:szCs w:val="20"/>
        </w:rPr>
        <w:t>d</w:t>
      </w:r>
      <w:r>
        <w:rPr>
          <w:rFonts w:hint="eastAsia"/>
          <w:bCs/>
          <w:sz w:val="24"/>
          <w:szCs w:val="20"/>
        </w:rPr>
        <w:t>）</w:t>
      </w:r>
      <w:r>
        <w:rPr>
          <w:bCs/>
          <w:sz w:val="24"/>
          <w:szCs w:val="20"/>
        </w:rPr>
        <w:t>主要考虑到前期勘察不充分、资料不完整导致重大风险源存在遗漏，以及评估小组对某些评估指标过高或过低的预测等情况，致使现场实际条件与施工前专项风险评估结果不符，出现重大新的风险源。</w:t>
      </w:r>
    </w:p>
    <w:p w:rsidR="0073700B" w:rsidRDefault="001A2FFC" w:rsidP="00F80BAC">
      <w:pPr>
        <w:spacing w:beforeLines="50" w:before="156" w:line="360" w:lineRule="auto"/>
        <w:ind w:firstLineChars="200" w:firstLine="480"/>
        <w:rPr>
          <w:bCs/>
          <w:sz w:val="24"/>
          <w:szCs w:val="20"/>
        </w:rPr>
      </w:pPr>
      <w:r>
        <w:rPr>
          <w:rFonts w:hint="eastAsia"/>
          <w:bCs/>
          <w:sz w:val="24"/>
          <w:szCs w:val="20"/>
        </w:rPr>
        <w:t>本标准</w:t>
      </w:r>
      <w:r>
        <w:rPr>
          <w:bCs/>
          <w:sz w:val="24"/>
          <w:szCs w:val="20"/>
        </w:rPr>
        <w:t>给出了施工过程专项风险评估报告的内容、形式要求。施工过程专项风险评估报告应包含评估指标前后变化对比、现阶段风险评估等级、风险控制措施等。</w:t>
      </w:r>
    </w:p>
    <w:p w:rsidR="0073700B" w:rsidRDefault="001A2FFC" w:rsidP="00F80BAC">
      <w:pPr>
        <w:spacing w:beforeLines="50" w:before="156" w:line="360" w:lineRule="auto"/>
        <w:ind w:firstLineChars="200" w:firstLine="480"/>
        <w:rPr>
          <w:bCs/>
          <w:sz w:val="24"/>
          <w:szCs w:val="20"/>
        </w:rPr>
      </w:pPr>
      <w:r>
        <w:rPr>
          <w:rFonts w:hint="eastAsia"/>
          <w:bCs/>
          <w:sz w:val="24"/>
          <w:szCs w:val="20"/>
        </w:rPr>
        <w:t>⑤</w:t>
      </w:r>
      <w:r>
        <w:rPr>
          <w:bCs/>
          <w:sz w:val="24"/>
          <w:szCs w:val="20"/>
        </w:rPr>
        <w:t>对于风险等级为较大风险</w:t>
      </w:r>
      <w:r>
        <w:rPr>
          <w:bCs/>
          <w:sz w:val="24"/>
          <w:szCs w:val="20"/>
        </w:rPr>
        <w:t>(</w:t>
      </w:r>
      <w:r>
        <w:rPr>
          <w:rFonts w:ascii="宋体" w:hAnsi="宋体" w:cs="宋体" w:hint="eastAsia"/>
          <w:bCs/>
          <w:sz w:val="24"/>
          <w:szCs w:val="20"/>
        </w:rPr>
        <w:t>Ⅱ</w:t>
      </w:r>
      <w:r>
        <w:rPr>
          <w:bCs/>
          <w:sz w:val="24"/>
          <w:szCs w:val="20"/>
        </w:rPr>
        <w:t>级</w:t>
      </w:r>
      <w:r>
        <w:rPr>
          <w:bCs/>
          <w:sz w:val="24"/>
          <w:szCs w:val="20"/>
        </w:rPr>
        <w:t>)</w:t>
      </w:r>
      <w:r>
        <w:rPr>
          <w:bCs/>
          <w:sz w:val="24"/>
          <w:szCs w:val="20"/>
        </w:rPr>
        <w:t>及以上的隧道施工区段，应开展风险控制预期效果评估。</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2</w:t>
      </w:r>
      <w:r>
        <w:rPr>
          <w:rFonts w:hint="eastAsia"/>
          <w:bCs/>
          <w:sz w:val="24"/>
          <w:szCs w:val="20"/>
        </w:rPr>
        <w:t>）</w:t>
      </w:r>
      <w:r>
        <w:rPr>
          <w:bCs/>
          <w:sz w:val="24"/>
          <w:szCs w:val="20"/>
        </w:rPr>
        <w:t>风险辨识</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风险辨识包括工程资料的收集整理、施工现场地质条件和环境条件的调查（或补充勘察）、施工作业程序分解、施工作业可能发生的风险事件类型分析等</w:t>
      </w:r>
      <w:r>
        <w:rPr>
          <w:bCs/>
          <w:sz w:val="24"/>
          <w:szCs w:val="20"/>
        </w:rPr>
        <w:t>4</w:t>
      </w:r>
      <w:r>
        <w:rPr>
          <w:bCs/>
          <w:sz w:val="24"/>
          <w:szCs w:val="20"/>
        </w:rPr>
        <w:t>个步骤。风险辨识前应成立评估小组，评估小组负责人应具有类似工程施工经历和五年以上的工程管理经验，评估小组成员的专业范围应覆盖隧道工程的主要施工及管理环节，由评估负责人进行分工，分头开展工作。</w:t>
      </w:r>
    </w:p>
    <w:p w:rsidR="0073700B" w:rsidRDefault="001A2FFC" w:rsidP="00F80BAC">
      <w:pPr>
        <w:spacing w:beforeLines="50" w:before="156" w:line="360" w:lineRule="auto"/>
        <w:ind w:firstLineChars="200" w:firstLine="480"/>
        <w:rPr>
          <w:bCs/>
          <w:sz w:val="24"/>
          <w:szCs w:val="20"/>
        </w:rPr>
      </w:pPr>
      <w:r>
        <w:rPr>
          <w:rFonts w:hint="eastAsia"/>
          <w:bCs/>
          <w:sz w:val="24"/>
          <w:szCs w:val="20"/>
        </w:rPr>
        <w:t>②</w:t>
      </w:r>
      <w:r>
        <w:rPr>
          <w:bCs/>
          <w:sz w:val="24"/>
          <w:szCs w:val="20"/>
        </w:rPr>
        <w:t>收集的资料中，有些是勘察设计单位能提供的，有些是施工单位编写的，还有一部分是需要协</w:t>
      </w:r>
      <w:r>
        <w:rPr>
          <w:bCs/>
          <w:sz w:val="24"/>
          <w:szCs w:val="20"/>
        </w:rPr>
        <w:t>调相关单位提供的（如工程区域内的环境条件）。按照《中华人民共和国建筑法》的相关要求，应由建设单位向施工单位提供相关资料。同类工程事故资料等其它相关资料应由评估小组自行收集整理。此外，应注意施工过程专项风险评估和风险预期效果评估还应收集其它指定资料。</w:t>
      </w:r>
    </w:p>
    <w:p w:rsidR="0073700B" w:rsidRDefault="001A2FFC" w:rsidP="00F80BAC">
      <w:pPr>
        <w:spacing w:beforeLines="50" w:before="156" w:line="360" w:lineRule="auto"/>
        <w:ind w:firstLineChars="200" w:firstLine="480"/>
        <w:rPr>
          <w:bCs/>
          <w:sz w:val="24"/>
          <w:szCs w:val="20"/>
        </w:rPr>
      </w:pPr>
      <w:r>
        <w:rPr>
          <w:rFonts w:hint="eastAsia"/>
          <w:bCs/>
          <w:sz w:val="24"/>
          <w:szCs w:val="20"/>
        </w:rPr>
        <w:t>③</w:t>
      </w:r>
      <w:r>
        <w:rPr>
          <w:bCs/>
          <w:sz w:val="24"/>
          <w:szCs w:val="20"/>
        </w:rPr>
        <w:t>现场调查是专项风险评估中的重要工作，施工现场地质条件和环境条件</w:t>
      </w:r>
      <w:r>
        <w:rPr>
          <w:bCs/>
          <w:sz w:val="24"/>
          <w:szCs w:val="20"/>
        </w:rPr>
        <w:lastRenderedPageBreak/>
        <w:t>调查应包括地质条件、气候水文条件、周边环境条件、围岩变形破坏迹象和特征、补充地质勘察结果</w:t>
      </w:r>
      <w:r>
        <w:rPr>
          <w:bCs/>
          <w:sz w:val="24"/>
          <w:szCs w:val="20"/>
        </w:rPr>
        <w:t>(</w:t>
      </w:r>
      <w:r>
        <w:rPr>
          <w:bCs/>
          <w:sz w:val="24"/>
          <w:szCs w:val="20"/>
        </w:rPr>
        <w:t>如有</w:t>
      </w:r>
      <w:r>
        <w:rPr>
          <w:bCs/>
          <w:sz w:val="24"/>
          <w:szCs w:val="20"/>
        </w:rPr>
        <w:t>)</w:t>
      </w:r>
      <w:r>
        <w:rPr>
          <w:bCs/>
          <w:sz w:val="24"/>
          <w:szCs w:val="20"/>
        </w:rPr>
        <w:t>、现场开挖揭露地质情况的差异、周边环境的变化情况等。</w:t>
      </w:r>
    </w:p>
    <w:p w:rsidR="0073700B" w:rsidRDefault="001A2FFC" w:rsidP="00F80BAC">
      <w:pPr>
        <w:spacing w:beforeLines="50" w:before="156" w:line="360" w:lineRule="auto"/>
        <w:ind w:firstLineChars="200" w:firstLine="480"/>
        <w:rPr>
          <w:bCs/>
          <w:sz w:val="24"/>
          <w:szCs w:val="20"/>
        </w:rPr>
      </w:pPr>
      <w:r>
        <w:rPr>
          <w:rFonts w:hint="eastAsia"/>
          <w:bCs/>
          <w:sz w:val="24"/>
          <w:szCs w:val="20"/>
        </w:rPr>
        <w:t>④</w:t>
      </w:r>
      <w:r>
        <w:rPr>
          <w:bCs/>
          <w:sz w:val="24"/>
          <w:szCs w:val="20"/>
        </w:rPr>
        <w:t>施工作业程序分解重点是把握分解的层次。评估小组</w:t>
      </w:r>
      <w:r>
        <w:rPr>
          <w:bCs/>
          <w:sz w:val="24"/>
          <w:szCs w:val="20"/>
        </w:rPr>
        <w:t>可以根据安全管理需要、工程实际情况，将隧道工程施工按单位工程、分部工程、分项工程逐级分解，并应符合下列规定：</w:t>
      </w:r>
    </w:p>
    <w:p w:rsidR="0073700B" w:rsidRDefault="001A2FFC" w:rsidP="00F80BAC">
      <w:pPr>
        <w:spacing w:beforeLines="50" w:before="156" w:line="360" w:lineRule="auto"/>
        <w:ind w:firstLineChars="200" w:firstLine="480"/>
        <w:rPr>
          <w:bCs/>
          <w:sz w:val="24"/>
          <w:szCs w:val="20"/>
        </w:rPr>
      </w:pPr>
      <w:r>
        <w:rPr>
          <w:rFonts w:hint="eastAsia"/>
          <w:bCs/>
          <w:sz w:val="24"/>
          <w:szCs w:val="20"/>
        </w:rPr>
        <w:t>a</w:t>
      </w:r>
      <w:r>
        <w:rPr>
          <w:rFonts w:hint="eastAsia"/>
          <w:bCs/>
          <w:sz w:val="24"/>
          <w:szCs w:val="20"/>
        </w:rPr>
        <w:t>）</w:t>
      </w:r>
      <w:r>
        <w:rPr>
          <w:bCs/>
          <w:sz w:val="24"/>
          <w:szCs w:val="20"/>
        </w:rPr>
        <w:t>在合同段中，具有独立施工条件和结构功能的工程为单位工程。</w:t>
      </w:r>
    </w:p>
    <w:p w:rsidR="0073700B" w:rsidRDefault="001A2FFC" w:rsidP="00F80BAC">
      <w:pPr>
        <w:spacing w:beforeLines="50" w:before="156" w:line="360" w:lineRule="auto"/>
        <w:ind w:firstLineChars="200" w:firstLine="480"/>
        <w:rPr>
          <w:bCs/>
          <w:sz w:val="24"/>
          <w:szCs w:val="20"/>
        </w:rPr>
      </w:pPr>
      <w:r>
        <w:rPr>
          <w:rFonts w:hint="eastAsia"/>
          <w:bCs/>
          <w:sz w:val="24"/>
          <w:szCs w:val="20"/>
        </w:rPr>
        <w:t>b</w:t>
      </w:r>
      <w:r>
        <w:rPr>
          <w:rFonts w:hint="eastAsia"/>
          <w:bCs/>
          <w:sz w:val="24"/>
          <w:szCs w:val="20"/>
        </w:rPr>
        <w:t>）</w:t>
      </w:r>
      <w:r>
        <w:rPr>
          <w:bCs/>
          <w:sz w:val="24"/>
          <w:szCs w:val="20"/>
        </w:rPr>
        <w:t xml:space="preserve"> </w:t>
      </w:r>
      <w:r>
        <w:rPr>
          <w:bCs/>
          <w:sz w:val="24"/>
          <w:szCs w:val="20"/>
        </w:rPr>
        <w:t>在单位工程中，按路段长度、结构部位及施工特点等划分的工程为分部工程。</w:t>
      </w:r>
    </w:p>
    <w:p w:rsidR="0073700B" w:rsidRDefault="001A2FFC" w:rsidP="00F80BAC">
      <w:pPr>
        <w:spacing w:beforeLines="50" w:before="156" w:line="360" w:lineRule="auto"/>
        <w:ind w:firstLineChars="200" w:firstLine="480"/>
        <w:rPr>
          <w:bCs/>
          <w:sz w:val="24"/>
          <w:szCs w:val="20"/>
        </w:rPr>
      </w:pPr>
      <w:r>
        <w:rPr>
          <w:rFonts w:hint="eastAsia"/>
          <w:bCs/>
          <w:sz w:val="24"/>
          <w:szCs w:val="20"/>
        </w:rPr>
        <w:t>c</w:t>
      </w:r>
      <w:r>
        <w:rPr>
          <w:rFonts w:hint="eastAsia"/>
          <w:bCs/>
          <w:sz w:val="24"/>
          <w:szCs w:val="20"/>
        </w:rPr>
        <w:t>）</w:t>
      </w:r>
      <w:r>
        <w:rPr>
          <w:bCs/>
          <w:sz w:val="24"/>
          <w:szCs w:val="20"/>
        </w:rPr>
        <w:t xml:space="preserve"> </w:t>
      </w:r>
      <w:r>
        <w:rPr>
          <w:bCs/>
          <w:sz w:val="24"/>
          <w:szCs w:val="20"/>
        </w:rPr>
        <w:t>在分部工程中，根据施工工序、工艺或者材料等划分的工程称为分项工程。</w:t>
      </w:r>
    </w:p>
    <w:p w:rsidR="0073700B" w:rsidRDefault="001A2FFC" w:rsidP="00F80BAC">
      <w:pPr>
        <w:spacing w:beforeLines="50" w:before="156" w:line="360" w:lineRule="auto"/>
        <w:ind w:firstLineChars="200" w:firstLine="480"/>
        <w:rPr>
          <w:bCs/>
          <w:sz w:val="24"/>
          <w:szCs w:val="20"/>
        </w:rPr>
      </w:pPr>
      <w:r>
        <w:rPr>
          <w:rFonts w:hint="eastAsia"/>
          <w:bCs/>
          <w:sz w:val="24"/>
          <w:szCs w:val="20"/>
        </w:rPr>
        <w:t>⑤</w:t>
      </w:r>
      <w:r>
        <w:rPr>
          <w:bCs/>
          <w:sz w:val="24"/>
          <w:szCs w:val="20"/>
        </w:rPr>
        <w:t>根据工程项目实际情况，评估单元可以是分部工程、分项工程、工序（单位）作业，评估单元大小视风险评估具体需求而定。施工作业程序</w:t>
      </w:r>
      <w:proofErr w:type="gramStart"/>
      <w:r>
        <w:rPr>
          <w:bCs/>
          <w:sz w:val="24"/>
          <w:szCs w:val="20"/>
        </w:rPr>
        <w:t>分解框见</w:t>
      </w:r>
      <w:proofErr w:type="gramEnd"/>
      <w:r>
        <w:fldChar w:fldCharType="begin"/>
      </w:r>
      <w:r>
        <w:instrText xml:space="preserve"> REF _Ref29193962 \h  \* MERGEFORMAT </w:instrText>
      </w:r>
      <w:r>
        <w:fldChar w:fldCharType="separate"/>
      </w:r>
      <w:r>
        <w:rPr>
          <w:bCs/>
          <w:sz w:val="24"/>
          <w:szCs w:val="24"/>
        </w:rPr>
        <w:t>图</w:t>
      </w:r>
      <w:r>
        <w:rPr>
          <w:bCs/>
          <w:sz w:val="24"/>
          <w:szCs w:val="24"/>
        </w:rPr>
        <w:t>6</w:t>
      </w:r>
      <w:r>
        <w:rPr>
          <w:bCs/>
          <w:sz w:val="24"/>
          <w:szCs w:val="24"/>
        </w:rPr>
        <w:noBreakHyphen/>
        <w:t>1</w:t>
      </w:r>
      <w:r>
        <w:rPr>
          <w:bCs/>
          <w:sz w:val="24"/>
          <w:szCs w:val="24"/>
        </w:rPr>
        <w:fldChar w:fldCharType="end"/>
      </w:r>
      <w:r>
        <w:rPr>
          <w:bCs/>
          <w:sz w:val="24"/>
          <w:szCs w:val="24"/>
        </w:rPr>
        <w:t>。</w:t>
      </w:r>
    </w:p>
    <w:p w:rsidR="0073700B" w:rsidRDefault="001A2FFC">
      <w:pPr>
        <w:spacing w:line="360" w:lineRule="auto"/>
        <w:ind w:firstLineChars="200" w:firstLine="420"/>
        <w:jc w:val="center"/>
        <w:rPr>
          <w:bCs/>
          <w:sz w:val="24"/>
          <w:szCs w:val="20"/>
        </w:rPr>
      </w:pPr>
      <w:r>
        <w:rPr>
          <w:bCs/>
          <w:color w:val="000000"/>
        </w:rPr>
        <w:object w:dxaOrig="6302" w:dyaOrig="4488">
          <v:shape id="_x0000_i1035" type="#_x0000_t75" style="width:315.15pt;height:224.35pt" o:ole="">
            <v:imagedata r:id="rId25" o:title=""/>
          </v:shape>
          <o:OLEObject Type="Embed" ProgID="Visio.Drawing.11" ShapeID="_x0000_i1035" DrawAspect="Content" ObjectID="_1645534671" r:id="rId26"/>
        </w:object>
      </w:r>
    </w:p>
    <w:p w:rsidR="0073700B" w:rsidRDefault="001A2FFC">
      <w:pPr>
        <w:spacing w:line="312" w:lineRule="auto"/>
        <w:ind w:firstLineChars="200" w:firstLine="480"/>
        <w:jc w:val="center"/>
        <w:rPr>
          <w:rFonts w:ascii="黑体" w:eastAsia="黑体" w:hAnsi="黑体"/>
          <w:sz w:val="24"/>
          <w:szCs w:val="24"/>
        </w:rPr>
      </w:pPr>
      <w:bookmarkStart w:id="31" w:name="_Ref29193962"/>
      <w:bookmarkStart w:id="32" w:name="_Hlk29193355"/>
      <w:bookmarkStart w:id="33" w:name="_Hlk13488152"/>
      <w:r>
        <w:rPr>
          <w:rFonts w:ascii="黑体" w:eastAsia="黑体" w:hAnsi="黑体"/>
          <w:sz w:val="24"/>
          <w:szCs w:val="24"/>
        </w:rPr>
        <w:t>图</w:t>
      </w:r>
      <w:r>
        <w:rPr>
          <w:rFonts w:ascii="黑体" w:eastAsia="黑体" w:hAnsi="黑体"/>
          <w:sz w:val="24"/>
          <w:szCs w:val="24"/>
        </w:rPr>
        <w:fldChar w:fldCharType="begin"/>
      </w:r>
      <w:r>
        <w:rPr>
          <w:rFonts w:ascii="黑体" w:eastAsia="黑体" w:hAnsi="黑体"/>
          <w:sz w:val="24"/>
          <w:szCs w:val="24"/>
        </w:rPr>
        <w:instrText xml:space="preserve"> STYLEREF 3 \s </w:instrText>
      </w:r>
      <w:r>
        <w:rPr>
          <w:rFonts w:ascii="黑体" w:eastAsia="黑体" w:hAnsi="黑体"/>
          <w:sz w:val="24"/>
          <w:szCs w:val="24"/>
        </w:rPr>
        <w:fldChar w:fldCharType="separate"/>
      </w:r>
      <w:r>
        <w:rPr>
          <w:rFonts w:ascii="黑体" w:eastAsia="黑体" w:hAnsi="黑体"/>
          <w:sz w:val="24"/>
          <w:szCs w:val="24"/>
        </w:rPr>
        <w:t>6</w:t>
      </w:r>
      <w:r>
        <w:rPr>
          <w:rFonts w:ascii="黑体" w:eastAsia="黑体" w:hAnsi="黑体"/>
          <w:sz w:val="24"/>
          <w:szCs w:val="24"/>
        </w:rPr>
        <w:fldChar w:fldCharType="end"/>
      </w:r>
      <w:r>
        <w:rPr>
          <w:rFonts w:ascii="黑体" w:eastAsia="黑体" w:hAnsi="黑体"/>
          <w:sz w:val="24"/>
          <w:szCs w:val="24"/>
        </w:rPr>
        <w:noBreakHyphen/>
      </w:r>
      <w:r>
        <w:rPr>
          <w:rFonts w:ascii="黑体" w:eastAsia="黑体" w:hAnsi="黑体"/>
          <w:sz w:val="24"/>
          <w:szCs w:val="24"/>
        </w:rPr>
        <w:fldChar w:fldCharType="begin"/>
      </w:r>
      <w:r>
        <w:rPr>
          <w:rFonts w:ascii="黑体" w:eastAsia="黑体" w:hAnsi="黑体"/>
          <w:sz w:val="24"/>
          <w:szCs w:val="24"/>
        </w:rPr>
        <w:instrText xml:space="preserve"> SEQ </w:instrText>
      </w:r>
      <w:r>
        <w:rPr>
          <w:rFonts w:ascii="黑体" w:eastAsia="黑体" w:hAnsi="黑体"/>
          <w:sz w:val="24"/>
          <w:szCs w:val="24"/>
        </w:rPr>
        <w:instrText>图</w:instrText>
      </w:r>
      <w:r>
        <w:rPr>
          <w:rFonts w:ascii="黑体" w:eastAsia="黑体" w:hAnsi="黑体"/>
          <w:sz w:val="24"/>
          <w:szCs w:val="24"/>
        </w:rPr>
        <w:instrText xml:space="preserve"> \* ARABIC \s 3 </w:instrText>
      </w:r>
      <w:r>
        <w:rPr>
          <w:rFonts w:ascii="黑体" w:eastAsia="黑体" w:hAnsi="黑体"/>
          <w:sz w:val="24"/>
          <w:szCs w:val="24"/>
        </w:rPr>
        <w:fldChar w:fldCharType="separate"/>
      </w:r>
      <w:r>
        <w:rPr>
          <w:rFonts w:ascii="黑体" w:eastAsia="黑体" w:hAnsi="黑体"/>
          <w:sz w:val="24"/>
          <w:szCs w:val="24"/>
        </w:rPr>
        <w:t>1</w:t>
      </w:r>
      <w:r>
        <w:rPr>
          <w:rFonts w:ascii="黑体" w:eastAsia="黑体" w:hAnsi="黑体"/>
          <w:sz w:val="24"/>
          <w:szCs w:val="24"/>
        </w:rPr>
        <w:fldChar w:fldCharType="end"/>
      </w:r>
      <w:bookmarkEnd w:id="31"/>
      <w:r>
        <w:rPr>
          <w:rFonts w:ascii="黑体" w:eastAsia="黑体" w:hAnsi="黑体"/>
          <w:sz w:val="24"/>
          <w:szCs w:val="24"/>
        </w:rPr>
        <w:t xml:space="preserve">  </w:t>
      </w:r>
      <w:r>
        <w:rPr>
          <w:rFonts w:ascii="黑体" w:eastAsia="黑体" w:hAnsi="黑体"/>
          <w:sz w:val="24"/>
          <w:szCs w:val="24"/>
        </w:rPr>
        <w:t>施工作业程序分解框图</w:t>
      </w:r>
      <w:bookmarkEnd w:id="32"/>
    </w:p>
    <w:bookmarkEnd w:id="33"/>
    <w:p w:rsidR="0073700B" w:rsidRDefault="001A2FFC" w:rsidP="00F80BAC">
      <w:pPr>
        <w:spacing w:beforeLines="50" w:before="156" w:line="360" w:lineRule="auto"/>
        <w:ind w:firstLineChars="200" w:firstLine="480"/>
        <w:jc w:val="left"/>
        <w:rPr>
          <w:bCs/>
          <w:sz w:val="24"/>
          <w:szCs w:val="20"/>
        </w:rPr>
      </w:pPr>
      <w:r>
        <w:rPr>
          <w:bCs/>
          <w:sz w:val="24"/>
          <w:szCs w:val="20"/>
        </w:rPr>
        <w:t>施工作业程序分解时，应重点将以往事故或险情的施工工序，或有潜在风险的施工工序筛选出来，重点分析以下内容：</w:t>
      </w:r>
    </w:p>
    <w:p w:rsidR="0073700B" w:rsidRDefault="001A2FFC" w:rsidP="00F80BAC">
      <w:pPr>
        <w:spacing w:beforeLines="50" w:before="156" w:line="360" w:lineRule="auto"/>
        <w:ind w:firstLineChars="200" w:firstLine="480"/>
        <w:jc w:val="left"/>
        <w:rPr>
          <w:bCs/>
          <w:sz w:val="24"/>
          <w:szCs w:val="20"/>
        </w:rPr>
      </w:pPr>
      <w:r>
        <w:rPr>
          <w:bCs/>
          <w:sz w:val="24"/>
          <w:szCs w:val="20"/>
        </w:rPr>
        <w:lastRenderedPageBreak/>
        <w:t>a</w:t>
      </w:r>
      <w:r>
        <w:rPr>
          <w:rFonts w:hint="eastAsia"/>
          <w:bCs/>
          <w:sz w:val="24"/>
          <w:szCs w:val="20"/>
        </w:rPr>
        <w:t>）</w:t>
      </w:r>
      <w:r>
        <w:rPr>
          <w:bCs/>
          <w:sz w:val="24"/>
          <w:szCs w:val="20"/>
        </w:rPr>
        <w:t>致害物：作业场所内设施、设备及物料等；作业场所对施工人员安全的影响；</w:t>
      </w:r>
    </w:p>
    <w:p w:rsidR="0073700B" w:rsidRDefault="001A2FFC" w:rsidP="00F80BAC">
      <w:pPr>
        <w:spacing w:beforeLines="50" w:before="156" w:line="360" w:lineRule="auto"/>
        <w:ind w:firstLineChars="200" w:firstLine="480"/>
        <w:jc w:val="left"/>
        <w:rPr>
          <w:bCs/>
          <w:sz w:val="24"/>
          <w:szCs w:val="20"/>
        </w:rPr>
      </w:pPr>
      <w:r>
        <w:rPr>
          <w:bCs/>
          <w:sz w:val="24"/>
          <w:szCs w:val="20"/>
        </w:rPr>
        <w:t>b</w:t>
      </w:r>
      <w:r>
        <w:rPr>
          <w:rFonts w:hint="eastAsia"/>
          <w:bCs/>
          <w:sz w:val="24"/>
          <w:szCs w:val="20"/>
        </w:rPr>
        <w:t>）</w:t>
      </w:r>
      <w:r>
        <w:rPr>
          <w:bCs/>
          <w:sz w:val="24"/>
          <w:szCs w:val="20"/>
        </w:rPr>
        <w:t>可能受到事故伤害的人员，包括：作业人员本身，同一作业场所的其它作业人员，周围其它人员；</w:t>
      </w:r>
    </w:p>
    <w:p w:rsidR="0073700B" w:rsidRDefault="001A2FFC" w:rsidP="00F80BAC">
      <w:pPr>
        <w:spacing w:beforeLines="50" w:before="156" w:line="360" w:lineRule="auto"/>
        <w:ind w:firstLineChars="200" w:firstLine="480"/>
        <w:jc w:val="left"/>
        <w:rPr>
          <w:bCs/>
          <w:sz w:val="24"/>
          <w:szCs w:val="20"/>
        </w:rPr>
      </w:pPr>
      <w:r>
        <w:rPr>
          <w:bCs/>
          <w:sz w:val="24"/>
          <w:szCs w:val="20"/>
        </w:rPr>
        <w:t>c</w:t>
      </w:r>
      <w:r>
        <w:rPr>
          <w:rFonts w:hint="eastAsia"/>
          <w:bCs/>
          <w:sz w:val="24"/>
          <w:szCs w:val="20"/>
        </w:rPr>
        <w:t>）</w:t>
      </w:r>
      <w:r>
        <w:rPr>
          <w:bCs/>
          <w:sz w:val="24"/>
          <w:szCs w:val="20"/>
        </w:rPr>
        <w:t>事故发生的原因，包括：机械故障、自然灾害等。</w:t>
      </w:r>
    </w:p>
    <w:p w:rsidR="0073700B" w:rsidRDefault="001A2FFC" w:rsidP="00F80BAC">
      <w:pPr>
        <w:spacing w:beforeLines="50" w:before="156" w:line="360" w:lineRule="auto"/>
        <w:ind w:firstLineChars="200" w:firstLine="480"/>
        <w:jc w:val="left"/>
        <w:rPr>
          <w:bCs/>
          <w:sz w:val="24"/>
          <w:szCs w:val="20"/>
        </w:rPr>
      </w:pPr>
      <w:r>
        <w:rPr>
          <w:rFonts w:hint="eastAsia"/>
          <w:bCs/>
          <w:sz w:val="24"/>
          <w:szCs w:val="20"/>
        </w:rPr>
        <w:t>⑥</w:t>
      </w:r>
      <w:r>
        <w:rPr>
          <w:bCs/>
          <w:sz w:val="24"/>
          <w:szCs w:val="20"/>
        </w:rPr>
        <w:t>本标准中隧道作业程序分解的示例是到单位作业，实际操作时也可到分项工程，重点是根据隧道施工难易程度，提出隧道施工容易发生人员伤亡的施工作业。同时也应根据隧道施工的掘进区段，进行施工作业分解，以便于找出不同施工区段的重大风险事件类型。</w:t>
      </w:r>
    </w:p>
    <w:p w:rsidR="0073700B" w:rsidRDefault="001A2FFC" w:rsidP="00F80BAC">
      <w:pPr>
        <w:spacing w:beforeLines="50" w:before="156" w:line="360" w:lineRule="auto"/>
        <w:ind w:firstLineChars="200" w:firstLine="480"/>
        <w:jc w:val="left"/>
        <w:rPr>
          <w:bCs/>
          <w:sz w:val="24"/>
          <w:szCs w:val="20"/>
        </w:rPr>
      </w:pPr>
      <w:r>
        <w:rPr>
          <w:rFonts w:hint="eastAsia"/>
          <w:bCs/>
          <w:sz w:val="24"/>
          <w:szCs w:val="20"/>
        </w:rPr>
        <w:t>⑦</w:t>
      </w:r>
      <w:r>
        <w:rPr>
          <w:bCs/>
          <w:sz w:val="24"/>
          <w:szCs w:val="20"/>
        </w:rPr>
        <w:t>每个施工作业可能对应多种可能的风险事件类型，逐一分析可预见的各风</w:t>
      </w:r>
      <w:r>
        <w:rPr>
          <w:bCs/>
          <w:sz w:val="24"/>
          <w:szCs w:val="20"/>
        </w:rPr>
        <w:t>险事件类型，从而辨识出风险源。从某种意义上来说，风险评估的最基本元素应该是风险事件，针对分部分项工程的评估实际是针对综合风险的评估，施工安全风险评估应针对每个施工作业活动的每种风险事件类型展开评估工作，考虑到执行层面实际情况，应针对典型施工作业活动中发生的重大风险事件类型开展定量评估。</w:t>
      </w:r>
    </w:p>
    <w:p w:rsidR="0073700B" w:rsidRDefault="001A2FFC" w:rsidP="00F80BAC">
      <w:pPr>
        <w:spacing w:beforeLines="50" w:before="156" w:line="360" w:lineRule="auto"/>
        <w:ind w:firstLineChars="200" w:firstLine="480"/>
        <w:jc w:val="left"/>
        <w:rPr>
          <w:bCs/>
          <w:sz w:val="24"/>
          <w:szCs w:val="20"/>
        </w:rPr>
      </w:pPr>
      <w:r>
        <w:rPr>
          <w:bCs/>
          <w:sz w:val="24"/>
          <w:szCs w:val="20"/>
        </w:rPr>
        <w:t>风险事件类型分析和风险源辨识是经验性很强的一项工作，应广泛听取专家意见，结合前期事故资料收集整理结果，采用头脑风暴法，按照梳理的施工流程确定本工作主要作业活动可能发生的风险事件类型，特别是重大风险事件类型及其对应的风险源。普</w:t>
      </w:r>
      <w:r>
        <w:rPr>
          <w:bCs/>
          <w:sz w:val="24"/>
          <w:szCs w:val="20"/>
        </w:rPr>
        <w:t>查成果务必全面、准确。</w:t>
      </w:r>
    </w:p>
    <w:p w:rsidR="0073700B" w:rsidRDefault="001A2FFC" w:rsidP="00F80BAC">
      <w:pPr>
        <w:spacing w:beforeLines="50" w:before="156" w:line="360" w:lineRule="auto"/>
        <w:ind w:firstLineChars="200" w:firstLine="480"/>
        <w:jc w:val="left"/>
        <w:rPr>
          <w:bCs/>
          <w:sz w:val="24"/>
          <w:szCs w:val="20"/>
        </w:rPr>
      </w:pPr>
      <w:r>
        <w:rPr>
          <w:rFonts w:hint="eastAsia"/>
          <w:bCs/>
          <w:sz w:val="24"/>
          <w:szCs w:val="20"/>
        </w:rPr>
        <w:t>⑧</w:t>
      </w:r>
      <w:r>
        <w:rPr>
          <w:bCs/>
          <w:sz w:val="24"/>
          <w:szCs w:val="20"/>
        </w:rPr>
        <w:t>附录</w:t>
      </w:r>
      <w:r>
        <w:rPr>
          <w:bCs/>
          <w:sz w:val="24"/>
          <w:szCs w:val="20"/>
        </w:rPr>
        <w:t>B</w:t>
      </w:r>
      <w:r>
        <w:rPr>
          <w:bCs/>
          <w:sz w:val="24"/>
          <w:szCs w:val="20"/>
        </w:rPr>
        <w:t>给出了公路隧道工程施工的典型风险事件类型。</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3</w:t>
      </w:r>
      <w:r>
        <w:rPr>
          <w:rFonts w:hint="eastAsia"/>
          <w:bCs/>
          <w:sz w:val="24"/>
          <w:szCs w:val="20"/>
        </w:rPr>
        <w:t>）</w:t>
      </w:r>
      <w:r>
        <w:rPr>
          <w:bCs/>
          <w:sz w:val="24"/>
          <w:szCs w:val="20"/>
        </w:rPr>
        <w:t>风险分析</w:t>
      </w:r>
    </w:p>
    <w:p w:rsidR="0073700B" w:rsidRDefault="001A2FFC" w:rsidP="00F80BAC">
      <w:pPr>
        <w:spacing w:beforeLines="50" w:before="156" w:line="360" w:lineRule="auto"/>
        <w:ind w:firstLineChars="200" w:firstLine="480"/>
        <w:jc w:val="left"/>
        <w:rPr>
          <w:bCs/>
          <w:sz w:val="24"/>
          <w:szCs w:val="20"/>
        </w:rPr>
      </w:pPr>
      <w:r>
        <w:rPr>
          <w:rFonts w:hint="eastAsia"/>
          <w:bCs/>
          <w:sz w:val="24"/>
          <w:szCs w:val="20"/>
        </w:rPr>
        <w:t>①</w:t>
      </w:r>
      <w:r>
        <w:rPr>
          <w:bCs/>
          <w:sz w:val="24"/>
          <w:szCs w:val="20"/>
        </w:rPr>
        <w:t>风险分析应在深入分析已有资料的基础上进行，特别是针对确定的施工组织设计、工程施工环境条件、可能的现场情况，应从人、机、料、法、环等方面，找出受伤害对象</w:t>
      </w:r>
      <w:r>
        <w:rPr>
          <w:bCs/>
          <w:sz w:val="24"/>
          <w:szCs w:val="20"/>
        </w:rPr>
        <w:t>(</w:t>
      </w:r>
      <w:r>
        <w:rPr>
          <w:bCs/>
          <w:sz w:val="24"/>
          <w:szCs w:val="20"/>
        </w:rPr>
        <w:t>人或物</w:t>
      </w:r>
      <w:r>
        <w:rPr>
          <w:bCs/>
          <w:sz w:val="24"/>
          <w:szCs w:val="20"/>
        </w:rPr>
        <w:t>)</w:t>
      </w:r>
      <w:r>
        <w:rPr>
          <w:bCs/>
          <w:sz w:val="24"/>
          <w:szCs w:val="20"/>
        </w:rPr>
        <w:t>、伤害主体</w:t>
      </w:r>
      <w:r>
        <w:rPr>
          <w:bCs/>
          <w:sz w:val="24"/>
          <w:szCs w:val="20"/>
        </w:rPr>
        <w:t>(</w:t>
      </w:r>
      <w:r>
        <w:rPr>
          <w:bCs/>
          <w:sz w:val="24"/>
          <w:szCs w:val="20"/>
        </w:rPr>
        <w:t>机械、临时结构、外界条件等</w:t>
      </w:r>
      <w:r>
        <w:rPr>
          <w:bCs/>
          <w:sz w:val="24"/>
          <w:szCs w:val="20"/>
        </w:rPr>
        <w:t>)</w:t>
      </w:r>
      <w:r>
        <w:rPr>
          <w:bCs/>
          <w:sz w:val="24"/>
          <w:szCs w:val="20"/>
        </w:rPr>
        <w:t>、损失程度</w:t>
      </w:r>
      <w:r>
        <w:rPr>
          <w:bCs/>
          <w:sz w:val="24"/>
          <w:szCs w:val="20"/>
        </w:rPr>
        <w:t>(</w:t>
      </w:r>
      <w:r>
        <w:rPr>
          <w:bCs/>
          <w:sz w:val="24"/>
          <w:szCs w:val="20"/>
        </w:rPr>
        <w:t>人员伤亡、经济损失、环境和社会影响、工期延误等</w:t>
      </w:r>
      <w:r>
        <w:rPr>
          <w:bCs/>
          <w:sz w:val="24"/>
          <w:szCs w:val="20"/>
        </w:rPr>
        <w:t>)</w:t>
      </w:r>
      <w:r>
        <w:rPr>
          <w:bCs/>
          <w:sz w:val="24"/>
          <w:szCs w:val="20"/>
        </w:rPr>
        <w:t>、事故原因等。</w:t>
      </w:r>
    </w:p>
    <w:p w:rsidR="0073700B" w:rsidRDefault="001A2FFC" w:rsidP="00F80BAC">
      <w:pPr>
        <w:spacing w:beforeLines="50" w:before="156" w:line="360" w:lineRule="auto"/>
        <w:ind w:firstLineChars="200" w:firstLine="480"/>
        <w:jc w:val="left"/>
        <w:rPr>
          <w:bCs/>
          <w:sz w:val="24"/>
          <w:szCs w:val="20"/>
        </w:rPr>
      </w:pPr>
      <w:r>
        <w:rPr>
          <w:rFonts w:hint="eastAsia"/>
          <w:bCs/>
          <w:sz w:val="24"/>
          <w:szCs w:val="20"/>
        </w:rPr>
        <w:t>②</w:t>
      </w:r>
      <w:r>
        <w:rPr>
          <w:bCs/>
          <w:sz w:val="24"/>
          <w:szCs w:val="20"/>
        </w:rPr>
        <w:t>对于物的不安全状态可能引起的风险事件，主要从地质条件、施工方案、</w:t>
      </w:r>
      <w:r>
        <w:rPr>
          <w:bCs/>
          <w:sz w:val="24"/>
          <w:szCs w:val="20"/>
        </w:rPr>
        <w:lastRenderedPageBreak/>
        <w:t>施工环境、施工机械、自然灾害等方面分析。</w:t>
      </w:r>
      <w:bookmarkStart w:id="34" w:name="OLE_LINK1"/>
      <w:r>
        <w:rPr>
          <w:bCs/>
          <w:sz w:val="24"/>
          <w:szCs w:val="20"/>
        </w:rPr>
        <w:fldChar w:fldCharType="begin"/>
      </w:r>
      <w:r>
        <w:rPr>
          <w:bCs/>
          <w:sz w:val="24"/>
          <w:szCs w:val="20"/>
        </w:rPr>
        <w:instrText xml:space="preserve"> REF _Ref535832859 \h  \* MERGEFORMAT </w:instrText>
      </w:r>
      <w:r>
        <w:rPr>
          <w:bCs/>
          <w:sz w:val="24"/>
          <w:szCs w:val="20"/>
        </w:rPr>
      </w:r>
      <w:r>
        <w:rPr>
          <w:bCs/>
          <w:sz w:val="24"/>
          <w:szCs w:val="20"/>
        </w:rPr>
        <w:fldChar w:fldCharType="separate"/>
      </w:r>
      <w:r>
        <w:rPr>
          <w:bCs/>
          <w:sz w:val="24"/>
          <w:szCs w:val="20"/>
        </w:rPr>
        <w:t>表</w:t>
      </w:r>
      <w:r>
        <w:rPr>
          <w:bCs/>
          <w:sz w:val="24"/>
          <w:szCs w:val="20"/>
        </w:rPr>
        <w:t>6</w:t>
      </w:r>
      <w:r>
        <w:rPr>
          <w:bCs/>
          <w:sz w:val="24"/>
          <w:szCs w:val="20"/>
        </w:rPr>
        <w:noBreakHyphen/>
        <w:t>1</w:t>
      </w:r>
      <w:r>
        <w:rPr>
          <w:bCs/>
          <w:sz w:val="24"/>
          <w:szCs w:val="20"/>
        </w:rPr>
        <w:fldChar w:fldCharType="end"/>
      </w:r>
      <w:r>
        <w:rPr>
          <w:bCs/>
          <w:sz w:val="24"/>
          <w:szCs w:val="20"/>
        </w:rPr>
        <w:t>为企业职工伤亡事故分类（</w:t>
      </w:r>
      <w:r>
        <w:rPr>
          <w:bCs/>
          <w:sz w:val="24"/>
          <w:szCs w:val="20"/>
        </w:rPr>
        <w:t>GB/T 6441-1986</w:t>
      </w:r>
      <w:r>
        <w:rPr>
          <w:bCs/>
          <w:sz w:val="24"/>
          <w:szCs w:val="20"/>
        </w:rPr>
        <w:t>）</w:t>
      </w:r>
      <w:r>
        <w:rPr>
          <w:bCs/>
          <w:sz w:val="24"/>
          <w:szCs w:val="20"/>
        </w:rPr>
        <w:fldChar w:fldCharType="begin"/>
      </w:r>
      <w:r>
        <w:rPr>
          <w:bCs/>
          <w:sz w:val="24"/>
          <w:szCs w:val="20"/>
        </w:rPr>
        <w:instrText xml:space="preserve"> ADDIN NE.Ref.{5665E540-9E91-47F9-8CF1-C040C69E1DE0}</w:instrText>
      </w:r>
      <w:r>
        <w:rPr>
          <w:bCs/>
          <w:sz w:val="24"/>
          <w:szCs w:val="20"/>
        </w:rPr>
        <w:fldChar w:fldCharType="separate"/>
      </w:r>
      <w:r>
        <w:rPr>
          <w:color w:val="080000"/>
          <w:kern w:val="0"/>
          <w:sz w:val="24"/>
          <w:szCs w:val="24"/>
          <w:vertAlign w:val="superscript"/>
        </w:rPr>
        <w:t>[3]</w:t>
      </w:r>
      <w:r>
        <w:rPr>
          <w:bCs/>
          <w:sz w:val="24"/>
          <w:szCs w:val="20"/>
        </w:rPr>
        <w:fldChar w:fldCharType="end"/>
      </w:r>
      <w:r>
        <w:rPr>
          <w:bCs/>
          <w:sz w:val="24"/>
          <w:szCs w:val="20"/>
        </w:rPr>
        <w:t>中的不安全状态分类。</w:t>
      </w:r>
    </w:p>
    <w:bookmarkEnd w:id="34"/>
    <w:p w:rsidR="0073700B" w:rsidRDefault="001A2FFC" w:rsidP="00F80BAC">
      <w:pPr>
        <w:spacing w:beforeLines="50" w:before="156" w:line="360" w:lineRule="auto"/>
        <w:ind w:firstLineChars="200" w:firstLine="480"/>
        <w:jc w:val="left"/>
        <w:rPr>
          <w:bCs/>
          <w:sz w:val="24"/>
          <w:szCs w:val="20"/>
        </w:rPr>
      </w:pPr>
      <w:r>
        <w:rPr>
          <w:bCs/>
          <w:sz w:val="24"/>
          <w:szCs w:val="20"/>
        </w:rPr>
        <w:t>a</w:t>
      </w:r>
      <w:r>
        <w:rPr>
          <w:rFonts w:hint="eastAsia"/>
          <w:bCs/>
          <w:sz w:val="24"/>
          <w:szCs w:val="20"/>
        </w:rPr>
        <w:t>）</w:t>
      </w:r>
      <w:r>
        <w:rPr>
          <w:bCs/>
          <w:sz w:val="24"/>
          <w:szCs w:val="20"/>
        </w:rPr>
        <w:t>地质条件变化。主要是分析设计文件中所依据的地质资料和现场开挖揭露的实际地质情况的差异。当地质条件</w:t>
      </w:r>
      <w:r>
        <w:rPr>
          <w:bCs/>
          <w:sz w:val="24"/>
          <w:szCs w:val="20"/>
        </w:rPr>
        <w:t>变化较大时，原施工方法可能不当，从而产生较大的施工安全风险。</w:t>
      </w:r>
    </w:p>
    <w:p w:rsidR="0073700B" w:rsidRDefault="001A2FFC" w:rsidP="00F80BAC">
      <w:pPr>
        <w:spacing w:beforeLines="50" w:before="156" w:line="360" w:lineRule="auto"/>
        <w:ind w:firstLineChars="200" w:firstLine="480"/>
        <w:jc w:val="left"/>
        <w:rPr>
          <w:bCs/>
          <w:sz w:val="24"/>
          <w:szCs w:val="20"/>
        </w:rPr>
      </w:pPr>
      <w:r>
        <w:rPr>
          <w:bCs/>
          <w:sz w:val="24"/>
          <w:szCs w:val="20"/>
        </w:rPr>
        <w:t>b</w:t>
      </w:r>
      <w:r>
        <w:rPr>
          <w:rFonts w:hint="eastAsia"/>
          <w:bCs/>
          <w:sz w:val="24"/>
          <w:szCs w:val="20"/>
        </w:rPr>
        <w:t>）</w:t>
      </w:r>
      <w:r>
        <w:rPr>
          <w:bCs/>
          <w:sz w:val="24"/>
          <w:szCs w:val="20"/>
        </w:rPr>
        <w:t>施工方案。主要分析隧道施工所有的分项工程，分析其施工方法和工艺是否得当、相互间的施工工序与衔接是否合理。</w:t>
      </w:r>
    </w:p>
    <w:p w:rsidR="0073700B" w:rsidRDefault="001A2FFC" w:rsidP="00F80BAC">
      <w:pPr>
        <w:spacing w:beforeLines="50" w:before="156" w:line="360" w:lineRule="auto"/>
        <w:ind w:firstLineChars="200" w:firstLine="480"/>
        <w:jc w:val="left"/>
        <w:rPr>
          <w:bCs/>
          <w:sz w:val="24"/>
          <w:szCs w:val="20"/>
        </w:rPr>
      </w:pPr>
      <w:r>
        <w:rPr>
          <w:bCs/>
          <w:sz w:val="24"/>
          <w:szCs w:val="20"/>
        </w:rPr>
        <w:t>c</w:t>
      </w:r>
      <w:r>
        <w:rPr>
          <w:rFonts w:hint="eastAsia"/>
          <w:bCs/>
          <w:sz w:val="24"/>
          <w:szCs w:val="20"/>
        </w:rPr>
        <w:t>）</w:t>
      </w:r>
      <w:r>
        <w:rPr>
          <w:bCs/>
          <w:sz w:val="24"/>
          <w:szCs w:val="20"/>
        </w:rPr>
        <w:t>施工环境方面存在的风险源。主要调查和分析施工场地周边的建筑物、构筑物、埋藏物、管道（油、气、水）、缆线、国防设施、铁路、公路、外电架空线路、地下水体、地表水体等可能造成安全事故的外部环境。</w:t>
      </w:r>
    </w:p>
    <w:p w:rsidR="0073700B" w:rsidRDefault="001A2FFC" w:rsidP="00F80BAC">
      <w:pPr>
        <w:spacing w:beforeLines="50" w:before="156" w:line="360" w:lineRule="auto"/>
        <w:ind w:firstLineChars="200" w:firstLine="480"/>
        <w:jc w:val="left"/>
        <w:rPr>
          <w:bCs/>
          <w:sz w:val="24"/>
          <w:szCs w:val="20"/>
        </w:rPr>
      </w:pPr>
      <w:r>
        <w:rPr>
          <w:bCs/>
          <w:sz w:val="24"/>
          <w:szCs w:val="20"/>
        </w:rPr>
        <w:t>d</w:t>
      </w:r>
      <w:r>
        <w:rPr>
          <w:rFonts w:hint="eastAsia"/>
          <w:bCs/>
          <w:sz w:val="24"/>
          <w:szCs w:val="20"/>
        </w:rPr>
        <w:t>）</w:t>
      </w:r>
      <w:r>
        <w:rPr>
          <w:bCs/>
          <w:sz w:val="24"/>
          <w:szCs w:val="20"/>
        </w:rPr>
        <w:t>施工设备。主要分析爆破开挖、混凝土喷射、仰拱施工、高压供风、高压注浆等使用的可能造成安全事故的施工机械设备。</w:t>
      </w:r>
    </w:p>
    <w:p w:rsidR="0073700B" w:rsidRDefault="001A2FFC" w:rsidP="00F80BAC">
      <w:pPr>
        <w:spacing w:beforeLines="50" w:before="156" w:line="360" w:lineRule="auto"/>
        <w:ind w:firstLineChars="200" w:firstLine="480"/>
        <w:jc w:val="left"/>
        <w:rPr>
          <w:bCs/>
          <w:sz w:val="24"/>
          <w:szCs w:val="20"/>
        </w:rPr>
      </w:pPr>
      <w:r>
        <w:rPr>
          <w:bCs/>
          <w:sz w:val="24"/>
          <w:szCs w:val="20"/>
        </w:rPr>
        <w:t>e</w:t>
      </w:r>
      <w:r>
        <w:rPr>
          <w:rFonts w:hint="eastAsia"/>
          <w:bCs/>
          <w:sz w:val="24"/>
          <w:szCs w:val="20"/>
        </w:rPr>
        <w:t>）</w:t>
      </w:r>
      <w:r>
        <w:rPr>
          <w:bCs/>
          <w:sz w:val="24"/>
          <w:szCs w:val="20"/>
        </w:rPr>
        <w:t>施工材料。主要分析材料过期、</w:t>
      </w:r>
      <w:r>
        <w:rPr>
          <w:bCs/>
          <w:sz w:val="24"/>
          <w:szCs w:val="20"/>
        </w:rPr>
        <w:t>失效等质量问题，施工中可能遇到的有毒有害、易燃易爆等物质。</w:t>
      </w:r>
    </w:p>
    <w:p w:rsidR="0073700B" w:rsidRDefault="001A2FFC" w:rsidP="00F80BAC">
      <w:pPr>
        <w:spacing w:beforeLines="50" w:before="156" w:line="360" w:lineRule="auto"/>
        <w:ind w:firstLineChars="200" w:firstLine="480"/>
        <w:jc w:val="left"/>
        <w:rPr>
          <w:bCs/>
          <w:sz w:val="24"/>
          <w:szCs w:val="20"/>
        </w:rPr>
      </w:pPr>
      <w:r>
        <w:rPr>
          <w:bCs/>
          <w:sz w:val="24"/>
          <w:szCs w:val="20"/>
        </w:rPr>
        <w:t>f</w:t>
      </w:r>
      <w:r>
        <w:rPr>
          <w:rFonts w:hint="eastAsia"/>
          <w:bCs/>
          <w:sz w:val="24"/>
          <w:szCs w:val="20"/>
        </w:rPr>
        <w:t>）</w:t>
      </w:r>
      <w:r>
        <w:rPr>
          <w:bCs/>
          <w:sz w:val="24"/>
          <w:szCs w:val="20"/>
        </w:rPr>
        <w:t>自然灾害。主要分析生产、生活区域可能受到暴雨、洪水、泥石流、地震、大风、雨雪等突发自然灾害造成的风险。</w:t>
      </w:r>
    </w:p>
    <w:p w:rsidR="0073700B" w:rsidRDefault="001A2FFC">
      <w:pPr>
        <w:pStyle w:val="a6"/>
        <w:rPr>
          <w:rFonts w:ascii="黑体" w:eastAsia="黑体" w:hAnsi="黑体"/>
          <w:b w:val="0"/>
          <w:bCs/>
        </w:rPr>
      </w:pPr>
      <w:bookmarkStart w:id="35" w:name="_Ref535832859"/>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w:t>
      </w:r>
      <w:r>
        <w:rPr>
          <w:rFonts w:ascii="黑体" w:eastAsia="黑体" w:hAnsi="黑体"/>
          <w:b w:val="0"/>
          <w:bCs/>
        </w:rPr>
        <w:fldChar w:fldCharType="end"/>
      </w:r>
      <w:bookmarkEnd w:id="35"/>
      <w:r>
        <w:rPr>
          <w:rFonts w:ascii="黑体" w:eastAsia="黑体" w:hAnsi="黑体"/>
          <w:b w:val="0"/>
          <w:bCs/>
        </w:rPr>
        <w:t xml:space="preserve">  </w:t>
      </w:r>
      <w:r>
        <w:rPr>
          <w:rFonts w:ascii="黑体" w:eastAsia="黑体" w:hAnsi="黑体"/>
          <w:b w:val="0"/>
          <w:bCs/>
        </w:rPr>
        <w:t>不安全状态分类</w:t>
      </w:r>
    </w:p>
    <w:tbl>
      <w:tblPr>
        <w:tblW w:w="8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6"/>
        <w:gridCol w:w="6254"/>
      </w:tblGrid>
      <w:tr w:rsidR="0073700B">
        <w:trPr>
          <w:trHeight w:val="238"/>
          <w:tblHeader/>
          <w:jc w:val="center"/>
        </w:trPr>
        <w:tc>
          <w:tcPr>
            <w:tcW w:w="1836" w:type="dxa"/>
            <w:tcBorders>
              <w:top w:val="single" w:sz="8" w:space="0" w:color="auto"/>
              <w:bottom w:val="single" w:sz="8" w:space="0" w:color="auto"/>
            </w:tcBorders>
          </w:tcPr>
          <w:p w:rsidR="0073700B" w:rsidRDefault="001A2FFC">
            <w:pPr>
              <w:snapToGrid w:val="0"/>
              <w:jc w:val="center"/>
              <w:rPr>
                <w:bCs/>
                <w:szCs w:val="21"/>
              </w:rPr>
            </w:pPr>
            <w:r>
              <w:rPr>
                <w:bCs/>
                <w:szCs w:val="21"/>
              </w:rPr>
              <w:t>分类号</w:t>
            </w:r>
          </w:p>
        </w:tc>
        <w:tc>
          <w:tcPr>
            <w:tcW w:w="6254" w:type="dxa"/>
            <w:tcBorders>
              <w:top w:val="single" w:sz="8" w:space="0" w:color="auto"/>
              <w:bottom w:val="single" w:sz="8" w:space="0" w:color="auto"/>
            </w:tcBorders>
          </w:tcPr>
          <w:p w:rsidR="0073700B" w:rsidRDefault="001A2FFC">
            <w:pPr>
              <w:snapToGrid w:val="0"/>
              <w:jc w:val="center"/>
              <w:rPr>
                <w:bCs/>
                <w:szCs w:val="21"/>
              </w:rPr>
            </w:pPr>
            <w:r>
              <w:rPr>
                <w:bCs/>
                <w:szCs w:val="21"/>
              </w:rPr>
              <w:t>不安全状态</w:t>
            </w:r>
          </w:p>
        </w:tc>
      </w:tr>
      <w:tr w:rsidR="0073700B">
        <w:trPr>
          <w:trHeight w:val="238"/>
          <w:jc w:val="center"/>
        </w:trPr>
        <w:tc>
          <w:tcPr>
            <w:tcW w:w="1836" w:type="dxa"/>
            <w:tcBorders>
              <w:top w:val="single" w:sz="8" w:space="0" w:color="auto"/>
              <w:bottom w:val="single" w:sz="8" w:space="0" w:color="auto"/>
            </w:tcBorders>
          </w:tcPr>
          <w:p w:rsidR="0073700B" w:rsidRDefault="001A2FFC">
            <w:pPr>
              <w:snapToGrid w:val="0"/>
              <w:spacing w:line="271" w:lineRule="auto"/>
              <w:rPr>
                <w:bCs/>
                <w:szCs w:val="21"/>
              </w:rPr>
            </w:pPr>
            <w:r>
              <w:rPr>
                <w:bCs/>
                <w:szCs w:val="21"/>
              </w:rPr>
              <w:t>6.01</w:t>
            </w:r>
          </w:p>
          <w:p w:rsidR="0073700B" w:rsidRDefault="001A2FFC">
            <w:pPr>
              <w:snapToGrid w:val="0"/>
              <w:spacing w:line="271" w:lineRule="auto"/>
              <w:rPr>
                <w:bCs/>
                <w:szCs w:val="21"/>
              </w:rPr>
            </w:pPr>
            <w:r>
              <w:rPr>
                <w:bCs/>
                <w:szCs w:val="21"/>
              </w:rPr>
              <w:t>6.01.1</w:t>
            </w:r>
          </w:p>
          <w:p w:rsidR="0073700B" w:rsidRDefault="001A2FFC">
            <w:pPr>
              <w:snapToGrid w:val="0"/>
              <w:spacing w:line="271" w:lineRule="auto"/>
              <w:rPr>
                <w:bCs/>
                <w:szCs w:val="21"/>
              </w:rPr>
            </w:pPr>
            <w:r>
              <w:rPr>
                <w:bCs/>
                <w:szCs w:val="21"/>
              </w:rPr>
              <w:t>6.01.1.01</w:t>
            </w:r>
          </w:p>
          <w:p w:rsidR="0073700B" w:rsidRDefault="001A2FFC">
            <w:pPr>
              <w:snapToGrid w:val="0"/>
              <w:spacing w:line="271" w:lineRule="auto"/>
              <w:rPr>
                <w:bCs/>
                <w:szCs w:val="21"/>
              </w:rPr>
            </w:pPr>
            <w:r>
              <w:rPr>
                <w:bCs/>
                <w:szCs w:val="21"/>
              </w:rPr>
              <w:t>6.01.1.02</w:t>
            </w:r>
          </w:p>
          <w:p w:rsidR="0073700B" w:rsidRDefault="001A2FFC">
            <w:pPr>
              <w:snapToGrid w:val="0"/>
              <w:spacing w:line="271" w:lineRule="auto"/>
              <w:rPr>
                <w:bCs/>
                <w:szCs w:val="21"/>
              </w:rPr>
            </w:pPr>
            <w:r>
              <w:rPr>
                <w:bCs/>
                <w:szCs w:val="21"/>
              </w:rPr>
              <w:t>6.01.1.03</w:t>
            </w:r>
          </w:p>
          <w:p w:rsidR="0073700B" w:rsidRDefault="001A2FFC">
            <w:pPr>
              <w:snapToGrid w:val="0"/>
              <w:spacing w:line="271" w:lineRule="auto"/>
              <w:rPr>
                <w:bCs/>
                <w:szCs w:val="21"/>
              </w:rPr>
            </w:pPr>
            <w:r>
              <w:rPr>
                <w:bCs/>
                <w:szCs w:val="21"/>
              </w:rPr>
              <w:t>6.01.1.04</w:t>
            </w:r>
          </w:p>
          <w:p w:rsidR="0073700B" w:rsidRDefault="001A2FFC">
            <w:pPr>
              <w:snapToGrid w:val="0"/>
              <w:spacing w:line="271" w:lineRule="auto"/>
              <w:rPr>
                <w:bCs/>
                <w:szCs w:val="21"/>
              </w:rPr>
            </w:pPr>
            <w:r>
              <w:rPr>
                <w:bCs/>
                <w:szCs w:val="21"/>
              </w:rPr>
              <w:t>6.01.1.05</w:t>
            </w:r>
          </w:p>
          <w:p w:rsidR="0073700B" w:rsidRDefault="001A2FFC">
            <w:pPr>
              <w:snapToGrid w:val="0"/>
              <w:spacing w:line="271" w:lineRule="auto"/>
              <w:rPr>
                <w:bCs/>
                <w:szCs w:val="21"/>
              </w:rPr>
            </w:pPr>
            <w:r>
              <w:rPr>
                <w:bCs/>
                <w:szCs w:val="21"/>
              </w:rPr>
              <w:t>6.01.1.06</w:t>
            </w:r>
          </w:p>
          <w:p w:rsidR="0073700B" w:rsidRDefault="001A2FFC">
            <w:pPr>
              <w:snapToGrid w:val="0"/>
              <w:spacing w:line="271" w:lineRule="auto"/>
              <w:rPr>
                <w:bCs/>
                <w:szCs w:val="21"/>
              </w:rPr>
            </w:pPr>
            <w:r>
              <w:rPr>
                <w:bCs/>
                <w:szCs w:val="21"/>
              </w:rPr>
              <w:t>6.01.1.07</w:t>
            </w:r>
          </w:p>
          <w:p w:rsidR="0073700B" w:rsidRDefault="001A2FFC">
            <w:pPr>
              <w:snapToGrid w:val="0"/>
              <w:spacing w:line="271" w:lineRule="auto"/>
              <w:rPr>
                <w:bCs/>
                <w:szCs w:val="21"/>
              </w:rPr>
            </w:pPr>
            <w:r>
              <w:rPr>
                <w:bCs/>
                <w:szCs w:val="21"/>
              </w:rPr>
              <w:t>6.01.1.08</w:t>
            </w:r>
          </w:p>
          <w:p w:rsidR="0073700B" w:rsidRDefault="001A2FFC">
            <w:pPr>
              <w:snapToGrid w:val="0"/>
              <w:spacing w:line="271" w:lineRule="auto"/>
              <w:rPr>
                <w:bCs/>
                <w:szCs w:val="21"/>
              </w:rPr>
            </w:pPr>
            <w:r>
              <w:rPr>
                <w:bCs/>
                <w:szCs w:val="21"/>
              </w:rPr>
              <w:t>6.01.1.09</w:t>
            </w:r>
          </w:p>
          <w:p w:rsidR="0073700B" w:rsidRDefault="001A2FFC">
            <w:pPr>
              <w:snapToGrid w:val="0"/>
              <w:spacing w:line="271" w:lineRule="auto"/>
              <w:rPr>
                <w:bCs/>
                <w:szCs w:val="21"/>
              </w:rPr>
            </w:pPr>
            <w:r>
              <w:rPr>
                <w:bCs/>
                <w:szCs w:val="21"/>
              </w:rPr>
              <w:t>6.01.1.10</w:t>
            </w:r>
          </w:p>
          <w:p w:rsidR="0073700B" w:rsidRDefault="001A2FFC">
            <w:pPr>
              <w:snapToGrid w:val="0"/>
              <w:spacing w:line="271" w:lineRule="auto"/>
              <w:rPr>
                <w:bCs/>
                <w:szCs w:val="21"/>
              </w:rPr>
            </w:pPr>
            <w:r>
              <w:rPr>
                <w:bCs/>
                <w:szCs w:val="21"/>
              </w:rPr>
              <w:t>6.01.1.11</w:t>
            </w:r>
          </w:p>
          <w:p w:rsidR="0073700B" w:rsidRDefault="001A2FFC">
            <w:pPr>
              <w:snapToGrid w:val="0"/>
              <w:spacing w:line="271" w:lineRule="auto"/>
              <w:rPr>
                <w:bCs/>
                <w:szCs w:val="21"/>
              </w:rPr>
            </w:pPr>
            <w:r>
              <w:rPr>
                <w:bCs/>
                <w:szCs w:val="21"/>
              </w:rPr>
              <w:t>6.01.2</w:t>
            </w:r>
          </w:p>
          <w:p w:rsidR="0073700B" w:rsidRDefault="001A2FFC">
            <w:pPr>
              <w:snapToGrid w:val="0"/>
              <w:spacing w:line="271" w:lineRule="auto"/>
              <w:rPr>
                <w:bCs/>
                <w:szCs w:val="21"/>
              </w:rPr>
            </w:pPr>
            <w:r>
              <w:rPr>
                <w:bCs/>
                <w:szCs w:val="21"/>
              </w:rPr>
              <w:t>6.01.2.1</w:t>
            </w:r>
          </w:p>
          <w:p w:rsidR="0073700B" w:rsidRDefault="001A2FFC">
            <w:pPr>
              <w:snapToGrid w:val="0"/>
              <w:spacing w:line="271" w:lineRule="auto"/>
              <w:rPr>
                <w:bCs/>
                <w:szCs w:val="21"/>
              </w:rPr>
            </w:pPr>
            <w:r>
              <w:rPr>
                <w:bCs/>
                <w:szCs w:val="21"/>
              </w:rPr>
              <w:t>6.01.2.2</w:t>
            </w:r>
          </w:p>
          <w:p w:rsidR="0073700B" w:rsidRDefault="001A2FFC">
            <w:pPr>
              <w:snapToGrid w:val="0"/>
              <w:spacing w:line="271" w:lineRule="auto"/>
              <w:rPr>
                <w:bCs/>
                <w:szCs w:val="21"/>
              </w:rPr>
            </w:pPr>
            <w:r>
              <w:rPr>
                <w:bCs/>
                <w:szCs w:val="21"/>
              </w:rPr>
              <w:lastRenderedPageBreak/>
              <w:t>6.01.2.3</w:t>
            </w:r>
          </w:p>
          <w:p w:rsidR="0073700B" w:rsidRDefault="001A2FFC">
            <w:pPr>
              <w:snapToGrid w:val="0"/>
              <w:spacing w:line="271" w:lineRule="auto"/>
              <w:rPr>
                <w:bCs/>
                <w:szCs w:val="21"/>
              </w:rPr>
            </w:pPr>
            <w:r>
              <w:rPr>
                <w:bCs/>
                <w:szCs w:val="21"/>
              </w:rPr>
              <w:t>6.01.2.4</w:t>
            </w:r>
          </w:p>
          <w:p w:rsidR="0073700B" w:rsidRDefault="001A2FFC">
            <w:pPr>
              <w:snapToGrid w:val="0"/>
              <w:spacing w:line="271" w:lineRule="auto"/>
              <w:rPr>
                <w:bCs/>
                <w:szCs w:val="21"/>
              </w:rPr>
            </w:pPr>
            <w:r>
              <w:rPr>
                <w:bCs/>
                <w:szCs w:val="21"/>
              </w:rPr>
              <w:t>6.01.2.5</w:t>
            </w:r>
          </w:p>
          <w:p w:rsidR="0073700B" w:rsidRDefault="001A2FFC">
            <w:pPr>
              <w:snapToGrid w:val="0"/>
              <w:spacing w:line="271" w:lineRule="auto"/>
              <w:rPr>
                <w:bCs/>
                <w:szCs w:val="21"/>
              </w:rPr>
            </w:pPr>
            <w:r>
              <w:rPr>
                <w:bCs/>
                <w:szCs w:val="21"/>
              </w:rPr>
              <w:t>6.01.2.6</w:t>
            </w:r>
          </w:p>
          <w:p w:rsidR="0073700B" w:rsidRDefault="001A2FFC">
            <w:pPr>
              <w:snapToGrid w:val="0"/>
              <w:spacing w:line="271" w:lineRule="auto"/>
              <w:rPr>
                <w:bCs/>
                <w:szCs w:val="21"/>
              </w:rPr>
            </w:pPr>
            <w:r>
              <w:rPr>
                <w:bCs/>
                <w:szCs w:val="21"/>
              </w:rPr>
              <w:t>6.01.2.7</w:t>
            </w:r>
          </w:p>
          <w:p w:rsidR="0073700B" w:rsidRDefault="001A2FFC">
            <w:pPr>
              <w:snapToGrid w:val="0"/>
              <w:spacing w:line="271" w:lineRule="auto"/>
              <w:rPr>
                <w:bCs/>
                <w:szCs w:val="21"/>
              </w:rPr>
            </w:pPr>
            <w:r>
              <w:rPr>
                <w:bCs/>
                <w:szCs w:val="21"/>
              </w:rPr>
              <w:t>6.01.2.8</w:t>
            </w:r>
          </w:p>
          <w:p w:rsidR="0073700B" w:rsidRDefault="001A2FFC">
            <w:pPr>
              <w:snapToGrid w:val="0"/>
              <w:spacing w:line="271" w:lineRule="auto"/>
              <w:rPr>
                <w:bCs/>
                <w:szCs w:val="21"/>
              </w:rPr>
            </w:pPr>
            <w:r>
              <w:rPr>
                <w:bCs/>
                <w:szCs w:val="21"/>
              </w:rPr>
              <w:t>6.02</w:t>
            </w:r>
          </w:p>
          <w:p w:rsidR="0073700B" w:rsidRDefault="001A2FFC">
            <w:pPr>
              <w:snapToGrid w:val="0"/>
              <w:spacing w:line="271" w:lineRule="auto"/>
              <w:rPr>
                <w:bCs/>
                <w:szCs w:val="21"/>
              </w:rPr>
            </w:pPr>
            <w:r>
              <w:rPr>
                <w:bCs/>
                <w:szCs w:val="21"/>
              </w:rPr>
              <w:t>6.02.1</w:t>
            </w:r>
          </w:p>
          <w:p w:rsidR="0073700B" w:rsidRDefault="001A2FFC">
            <w:pPr>
              <w:snapToGrid w:val="0"/>
              <w:spacing w:line="271" w:lineRule="auto"/>
              <w:rPr>
                <w:bCs/>
                <w:szCs w:val="21"/>
              </w:rPr>
            </w:pPr>
            <w:r>
              <w:rPr>
                <w:bCs/>
                <w:szCs w:val="21"/>
              </w:rPr>
              <w:t>6.02.1.1</w:t>
            </w:r>
          </w:p>
          <w:p w:rsidR="0073700B" w:rsidRDefault="001A2FFC">
            <w:pPr>
              <w:snapToGrid w:val="0"/>
              <w:spacing w:line="271" w:lineRule="auto"/>
              <w:rPr>
                <w:bCs/>
                <w:szCs w:val="21"/>
              </w:rPr>
            </w:pPr>
            <w:r>
              <w:rPr>
                <w:bCs/>
                <w:szCs w:val="21"/>
              </w:rPr>
              <w:t>6.02.1.2</w:t>
            </w:r>
          </w:p>
          <w:p w:rsidR="0073700B" w:rsidRDefault="001A2FFC">
            <w:pPr>
              <w:snapToGrid w:val="0"/>
              <w:spacing w:line="271" w:lineRule="auto"/>
              <w:rPr>
                <w:bCs/>
                <w:szCs w:val="21"/>
              </w:rPr>
            </w:pPr>
            <w:r>
              <w:rPr>
                <w:bCs/>
                <w:szCs w:val="21"/>
              </w:rPr>
              <w:t>6.02.1.3</w:t>
            </w:r>
          </w:p>
          <w:p w:rsidR="0073700B" w:rsidRDefault="001A2FFC">
            <w:pPr>
              <w:snapToGrid w:val="0"/>
              <w:spacing w:line="271" w:lineRule="auto"/>
              <w:rPr>
                <w:bCs/>
                <w:szCs w:val="21"/>
              </w:rPr>
            </w:pPr>
            <w:r>
              <w:rPr>
                <w:bCs/>
                <w:szCs w:val="21"/>
              </w:rPr>
              <w:t>6.02.1.4</w:t>
            </w:r>
          </w:p>
          <w:p w:rsidR="0073700B" w:rsidRDefault="001A2FFC">
            <w:pPr>
              <w:snapToGrid w:val="0"/>
              <w:spacing w:line="271" w:lineRule="auto"/>
              <w:rPr>
                <w:bCs/>
                <w:szCs w:val="21"/>
              </w:rPr>
            </w:pPr>
            <w:r>
              <w:rPr>
                <w:bCs/>
                <w:szCs w:val="21"/>
              </w:rPr>
              <w:t>6.02.1.5</w:t>
            </w:r>
          </w:p>
          <w:p w:rsidR="0073700B" w:rsidRDefault="001A2FFC">
            <w:pPr>
              <w:snapToGrid w:val="0"/>
              <w:spacing w:line="271" w:lineRule="auto"/>
              <w:rPr>
                <w:bCs/>
                <w:szCs w:val="21"/>
              </w:rPr>
            </w:pPr>
            <w:r>
              <w:rPr>
                <w:bCs/>
                <w:szCs w:val="21"/>
              </w:rPr>
              <w:t>6.02.1.6</w:t>
            </w:r>
          </w:p>
          <w:p w:rsidR="0073700B" w:rsidRDefault="001A2FFC">
            <w:pPr>
              <w:snapToGrid w:val="0"/>
              <w:spacing w:line="271" w:lineRule="auto"/>
              <w:rPr>
                <w:bCs/>
                <w:szCs w:val="21"/>
              </w:rPr>
            </w:pPr>
            <w:r>
              <w:rPr>
                <w:bCs/>
                <w:szCs w:val="21"/>
              </w:rPr>
              <w:t>6.02.1.7</w:t>
            </w:r>
          </w:p>
          <w:p w:rsidR="0073700B" w:rsidRDefault="001A2FFC">
            <w:pPr>
              <w:snapToGrid w:val="0"/>
              <w:spacing w:line="271" w:lineRule="auto"/>
              <w:rPr>
                <w:bCs/>
                <w:szCs w:val="21"/>
              </w:rPr>
            </w:pPr>
            <w:r>
              <w:rPr>
                <w:bCs/>
                <w:szCs w:val="21"/>
              </w:rPr>
              <w:t>6.02.2</w:t>
            </w:r>
          </w:p>
          <w:p w:rsidR="0073700B" w:rsidRDefault="001A2FFC">
            <w:pPr>
              <w:snapToGrid w:val="0"/>
              <w:spacing w:line="271" w:lineRule="auto"/>
              <w:rPr>
                <w:bCs/>
                <w:szCs w:val="21"/>
              </w:rPr>
            </w:pPr>
            <w:r>
              <w:rPr>
                <w:bCs/>
                <w:szCs w:val="21"/>
              </w:rPr>
              <w:t>6.02.2.1</w:t>
            </w:r>
          </w:p>
          <w:p w:rsidR="0073700B" w:rsidRDefault="001A2FFC">
            <w:pPr>
              <w:snapToGrid w:val="0"/>
              <w:spacing w:line="271" w:lineRule="auto"/>
              <w:rPr>
                <w:bCs/>
                <w:szCs w:val="21"/>
              </w:rPr>
            </w:pPr>
            <w:r>
              <w:rPr>
                <w:bCs/>
                <w:szCs w:val="21"/>
              </w:rPr>
              <w:t>6.02.2.2</w:t>
            </w:r>
          </w:p>
          <w:p w:rsidR="0073700B" w:rsidRDefault="001A2FFC">
            <w:pPr>
              <w:snapToGrid w:val="0"/>
              <w:spacing w:line="271" w:lineRule="auto"/>
              <w:rPr>
                <w:bCs/>
                <w:szCs w:val="21"/>
              </w:rPr>
            </w:pPr>
            <w:r>
              <w:rPr>
                <w:bCs/>
                <w:szCs w:val="21"/>
              </w:rPr>
              <w:t>6.02.2.3</w:t>
            </w:r>
          </w:p>
          <w:p w:rsidR="0073700B" w:rsidRDefault="001A2FFC">
            <w:pPr>
              <w:snapToGrid w:val="0"/>
              <w:spacing w:line="271" w:lineRule="auto"/>
              <w:rPr>
                <w:bCs/>
                <w:szCs w:val="21"/>
              </w:rPr>
            </w:pPr>
            <w:r>
              <w:rPr>
                <w:bCs/>
                <w:szCs w:val="21"/>
              </w:rPr>
              <w:t>6.01.2.4</w:t>
            </w:r>
          </w:p>
          <w:p w:rsidR="0073700B" w:rsidRDefault="001A2FFC">
            <w:pPr>
              <w:snapToGrid w:val="0"/>
              <w:spacing w:line="271" w:lineRule="auto"/>
              <w:rPr>
                <w:bCs/>
                <w:szCs w:val="21"/>
              </w:rPr>
            </w:pPr>
            <w:r>
              <w:rPr>
                <w:bCs/>
                <w:szCs w:val="21"/>
              </w:rPr>
              <w:t>6.02.3</w:t>
            </w:r>
          </w:p>
          <w:p w:rsidR="0073700B" w:rsidRDefault="001A2FFC">
            <w:pPr>
              <w:snapToGrid w:val="0"/>
              <w:spacing w:line="271" w:lineRule="auto"/>
              <w:rPr>
                <w:bCs/>
                <w:szCs w:val="21"/>
              </w:rPr>
            </w:pPr>
            <w:r>
              <w:rPr>
                <w:bCs/>
                <w:szCs w:val="21"/>
              </w:rPr>
              <w:t>6.02.3.1</w:t>
            </w:r>
          </w:p>
          <w:p w:rsidR="0073700B" w:rsidRDefault="001A2FFC">
            <w:pPr>
              <w:snapToGrid w:val="0"/>
              <w:spacing w:line="271" w:lineRule="auto"/>
              <w:rPr>
                <w:bCs/>
                <w:szCs w:val="21"/>
              </w:rPr>
            </w:pPr>
            <w:r>
              <w:rPr>
                <w:bCs/>
                <w:szCs w:val="21"/>
              </w:rPr>
              <w:t>6.02.3.2</w:t>
            </w:r>
          </w:p>
          <w:p w:rsidR="0073700B" w:rsidRDefault="001A2FFC">
            <w:pPr>
              <w:snapToGrid w:val="0"/>
              <w:spacing w:line="271" w:lineRule="auto"/>
              <w:rPr>
                <w:bCs/>
                <w:szCs w:val="21"/>
              </w:rPr>
            </w:pPr>
            <w:r>
              <w:rPr>
                <w:bCs/>
                <w:szCs w:val="21"/>
              </w:rPr>
              <w:t>6.02.3.3</w:t>
            </w:r>
          </w:p>
          <w:p w:rsidR="0073700B" w:rsidRDefault="001A2FFC">
            <w:pPr>
              <w:snapToGrid w:val="0"/>
              <w:spacing w:line="271" w:lineRule="auto"/>
              <w:rPr>
                <w:bCs/>
                <w:szCs w:val="21"/>
              </w:rPr>
            </w:pPr>
            <w:r>
              <w:rPr>
                <w:bCs/>
                <w:szCs w:val="21"/>
              </w:rPr>
              <w:t xml:space="preserve">6.02.4  </w:t>
            </w:r>
          </w:p>
          <w:p w:rsidR="0073700B" w:rsidRDefault="001A2FFC">
            <w:pPr>
              <w:snapToGrid w:val="0"/>
              <w:spacing w:line="271" w:lineRule="auto"/>
              <w:rPr>
                <w:bCs/>
                <w:szCs w:val="21"/>
              </w:rPr>
            </w:pPr>
            <w:r>
              <w:rPr>
                <w:bCs/>
                <w:szCs w:val="21"/>
              </w:rPr>
              <w:t>6.02.4.1</w:t>
            </w:r>
          </w:p>
          <w:p w:rsidR="0073700B" w:rsidRDefault="001A2FFC">
            <w:pPr>
              <w:snapToGrid w:val="0"/>
              <w:spacing w:line="271" w:lineRule="auto"/>
              <w:rPr>
                <w:bCs/>
                <w:szCs w:val="21"/>
              </w:rPr>
            </w:pPr>
            <w:r>
              <w:rPr>
                <w:bCs/>
                <w:szCs w:val="21"/>
              </w:rPr>
              <w:t>6.02.4.2</w:t>
            </w:r>
          </w:p>
          <w:p w:rsidR="0073700B" w:rsidRDefault="001A2FFC">
            <w:pPr>
              <w:snapToGrid w:val="0"/>
              <w:spacing w:line="271" w:lineRule="auto"/>
              <w:rPr>
                <w:bCs/>
                <w:szCs w:val="21"/>
              </w:rPr>
            </w:pPr>
            <w:r>
              <w:rPr>
                <w:bCs/>
                <w:szCs w:val="21"/>
              </w:rPr>
              <w:t>6.02.4.3</w:t>
            </w:r>
          </w:p>
          <w:p w:rsidR="0073700B" w:rsidRDefault="001A2FFC">
            <w:pPr>
              <w:snapToGrid w:val="0"/>
              <w:spacing w:line="271" w:lineRule="auto"/>
              <w:rPr>
                <w:bCs/>
                <w:szCs w:val="21"/>
              </w:rPr>
            </w:pPr>
            <w:r>
              <w:rPr>
                <w:bCs/>
                <w:szCs w:val="21"/>
              </w:rPr>
              <w:t>6.02.4.4</w:t>
            </w:r>
          </w:p>
          <w:p w:rsidR="0073700B" w:rsidRDefault="001A2FFC">
            <w:pPr>
              <w:snapToGrid w:val="0"/>
              <w:spacing w:line="271" w:lineRule="auto"/>
              <w:rPr>
                <w:bCs/>
                <w:szCs w:val="21"/>
              </w:rPr>
            </w:pPr>
            <w:r>
              <w:rPr>
                <w:bCs/>
                <w:szCs w:val="21"/>
              </w:rPr>
              <w:t>6.03</w:t>
            </w:r>
          </w:p>
          <w:p w:rsidR="0073700B" w:rsidRDefault="0073700B">
            <w:pPr>
              <w:snapToGrid w:val="0"/>
              <w:spacing w:line="271" w:lineRule="auto"/>
              <w:rPr>
                <w:bCs/>
                <w:szCs w:val="21"/>
              </w:rPr>
            </w:pPr>
          </w:p>
          <w:p w:rsidR="0073700B" w:rsidRDefault="001A2FFC">
            <w:pPr>
              <w:snapToGrid w:val="0"/>
              <w:spacing w:line="271" w:lineRule="auto"/>
              <w:rPr>
                <w:bCs/>
                <w:szCs w:val="21"/>
              </w:rPr>
            </w:pPr>
            <w:r>
              <w:rPr>
                <w:bCs/>
                <w:szCs w:val="21"/>
              </w:rPr>
              <w:t>6.03.1</w:t>
            </w:r>
          </w:p>
          <w:p w:rsidR="0073700B" w:rsidRDefault="001A2FFC">
            <w:pPr>
              <w:snapToGrid w:val="0"/>
              <w:spacing w:line="271" w:lineRule="auto"/>
              <w:rPr>
                <w:bCs/>
                <w:szCs w:val="21"/>
              </w:rPr>
            </w:pPr>
            <w:r>
              <w:rPr>
                <w:bCs/>
                <w:szCs w:val="21"/>
              </w:rPr>
              <w:t>6.03.2</w:t>
            </w:r>
          </w:p>
          <w:p w:rsidR="0073700B" w:rsidRDefault="001A2FFC">
            <w:pPr>
              <w:snapToGrid w:val="0"/>
              <w:spacing w:line="271" w:lineRule="auto"/>
              <w:rPr>
                <w:bCs/>
                <w:szCs w:val="21"/>
              </w:rPr>
            </w:pPr>
            <w:r>
              <w:rPr>
                <w:bCs/>
                <w:szCs w:val="21"/>
              </w:rPr>
              <w:t>6.04</w:t>
            </w:r>
          </w:p>
          <w:p w:rsidR="0073700B" w:rsidRDefault="001A2FFC">
            <w:pPr>
              <w:snapToGrid w:val="0"/>
              <w:spacing w:line="271" w:lineRule="auto"/>
              <w:rPr>
                <w:bCs/>
                <w:szCs w:val="21"/>
              </w:rPr>
            </w:pPr>
            <w:r>
              <w:rPr>
                <w:bCs/>
                <w:szCs w:val="21"/>
              </w:rPr>
              <w:t>6.04.1</w:t>
            </w:r>
          </w:p>
          <w:p w:rsidR="0073700B" w:rsidRDefault="001A2FFC">
            <w:pPr>
              <w:snapToGrid w:val="0"/>
              <w:spacing w:line="271" w:lineRule="auto"/>
              <w:rPr>
                <w:bCs/>
                <w:szCs w:val="21"/>
              </w:rPr>
            </w:pPr>
            <w:r>
              <w:rPr>
                <w:bCs/>
                <w:szCs w:val="21"/>
              </w:rPr>
              <w:t>6.04.1.1</w:t>
            </w:r>
          </w:p>
          <w:p w:rsidR="0073700B" w:rsidRDefault="001A2FFC">
            <w:pPr>
              <w:snapToGrid w:val="0"/>
              <w:spacing w:line="271" w:lineRule="auto"/>
              <w:rPr>
                <w:bCs/>
                <w:szCs w:val="21"/>
              </w:rPr>
            </w:pPr>
            <w:r>
              <w:rPr>
                <w:bCs/>
                <w:szCs w:val="21"/>
              </w:rPr>
              <w:t>6.04.1.2</w:t>
            </w:r>
          </w:p>
          <w:p w:rsidR="0073700B" w:rsidRDefault="001A2FFC">
            <w:pPr>
              <w:snapToGrid w:val="0"/>
              <w:spacing w:line="271" w:lineRule="auto"/>
              <w:rPr>
                <w:bCs/>
                <w:szCs w:val="21"/>
              </w:rPr>
            </w:pPr>
            <w:r>
              <w:rPr>
                <w:bCs/>
                <w:szCs w:val="21"/>
              </w:rPr>
              <w:t>6.04.1.3</w:t>
            </w:r>
          </w:p>
          <w:p w:rsidR="0073700B" w:rsidRDefault="001A2FFC">
            <w:pPr>
              <w:snapToGrid w:val="0"/>
              <w:spacing w:line="271" w:lineRule="auto"/>
              <w:rPr>
                <w:bCs/>
                <w:szCs w:val="21"/>
              </w:rPr>
            </w:pPr>
            <w:r>
              <w:rPr>
                <w:bCs/>
                <w:szCs w:val="21"/>
              </w:rPr>
              <w:t>6.04.2</w:t>
            </w:r>
          </w:p>
          <w:p w:rsidR="0073700B" w:rsidRDefault="001A2FFC">
            <w:pPr>
              <w:snapToGrid w:val="0"/>
              <w:spacing w:line="271" w:lineRule="auto"/>
              <w:rPr>
                <w:bCs/>
                <w:szCs w:val="21"/>
              </w:rPr>
            </w:pPr>
            <w:r>
              <w:rPr>
                <w:bCs/>
                <w:szCs w:val="21"/>
              </w:rPr>
              <w:t>6.04.2.1</w:t>
            </w:r>
          </w:p>
          <w:p w:rsidR="0073700B" w:rsidRDefault="001A2FFC">
            <w:pPr>
              <w:snapToGrid w:val="0"/>
              <w:spacing w:line="271" w:lineRule="auto"/>
              <w:rPr>
                <w:bCs/>
                <w:szCs w:val="21"/>
              </w:rPr>
            </w:pPr>
            <w:r>
              <w:rPr>
                <w:bCs/>
                <w:szCs w:val="21"/>
              </w:rPr>
              <w:t>6.04.2.2</w:t>
            </w:r>
          </w:p>
          <w:p w:rsidR="0073700B" w:rsidRDefault="001A2FFC">
            <w:pPr>
              <w:snapToGrid w:val="0"/>
              <w:spacing w:line="271" w:lineRule="auto"/>
              <w:rPr>
                <w:bCs/>
                <w:szCs w:val="21"/>
              </w:rPr>
            </w:pPr>
            <w:r>
              <w:rPr>
                <w:bCs/>
                <w:szCs w:val="21"/>
              </w:rPr>
              <w:t>6.04.2.3</w:t>
            </w:r>
          </w:p>
          <w:p w:rsidR="0073700B" w:rsidRDefault="001A2FFC">
            <w:pPr>
              <w:snapToGrid w:val="0"/>
              <w:spacing w:line="271" w:lineRule="auto"/>
              <w:rPr>
                <w:bCs/>
                <w:szCs w:val="21"/>
              </w:rPr>
            </w:pPr>
            <w:r>
              <w:rPr>
                <w:bCs/>
                <w:szCs w:val="21"/>
              </w:rPr>
              <w:t>6.04.2.4</w:t>
            </w:r>
          </w:p>
          <w:p w:rsidR="0073700B" w:rsidRDefault="001A2FFC">
            <w:pPr>
              <w:snapToGrid w:val="0"/>
              <w:spacing w:line="271" w:lineRule="auto"/>
              <w:rPr>
                <w:bCs/>
                <w:szCs w:val="21"/>
              </w:rPr>
            </w:pPr>
            <w:r>
              <w:rPr>
                <w:bCs/>
                <w:szCs w:val="21"/>
              </w:rPr>
              <w:t>6.04.2.5</w:t>
            </w:r>
          </w:p>
          <w:p w:rsidR="0073700B" w:rsidRDefault="001A2FFC">
            <w:pPr>
              <w:snapToGrid w:val="0"/>
              <w:spacing w:line="271" w:lineRule="auto"/>
              <w:rPr>
                <w:bCs/>
                <w:szCs w:val="21"/>
              </w:rPr>
            </w:pPr>
            <w:r>
              <w:rPr>
                <w:bCs/>
                <w:szCs w:val="21"/>
              </w:rPr>
              <w:t>6.04.2.6</w:t>
            </w:r>
          </w:p>
          <w:p w:rsidR="0073700B" w:rsidRDefault="001A2FFC">
            <w:pPr>
              <w:snapToGrid w:val="0"/>
              <w:spacing w:line="271" w:lineRule="auto"/>
              <w:rPr>
                <w:bCs/>
                <w:szCs w:val="21"/>
              </w:rPr>
            </w:pPr>
            <w:r>
              <w:rPr>
                <w:bCs/>
                <w:szCs w:val="21"/>
              </w:rPr>
              <w:t>6.04.2.7</w:t>
            </w:r>
          </w:p>
          <w:p w:rsidR="0073700B" w:rsidRDefault="001A2FFC">
            <w:pPr>
              <w:snapToGrid w:val="0"/>
              <w:spacing w:line="271" w:lineRule="auto"/>
              <w:rPr>
                <w:bCs/>
                <w:szCs w:val="21"/>
              </w:rPr>
            </w:pPr>
            <w:r>
              <w:rPr>
                <w:bCs/>
                <w:szCs w:val="21"/>
              </w:rPr>
              <w:t>6.04.3</w:t>
            </w:r>
          </w:p>
          <w:p w:rsidR="0073700B" w:rsidRDefault="001A2FFC">
            <w:pPr>
              <w:snapToGrid w:val="0"/>
              <w:spacing w:line="271" w:lineRule="auto"/>
              <w:rPr>
                <w:bCs/>
                <w:szCs w:val="21"/>
              </w:rPr>
            </w:pPr>
            <w:r>
              <w:rPr>
                <w:bCs/>
                <w:szCs w:val="21"/>
              </w:rPr>
              <w:t>6.04.4</w:t>
            </w:r>
          </w:p>
          <w:p w:rsidR="0073700B" w:rsidRDefault="001A2FFC">
            <w:pPr>
              <w:snapToGrid w:val="0"/>
              <w:spacing w:line="271" w:lineRule="auto"/>
              <w:rPr>
                <w:bCs/>
                <w:szCs w:val="21"/>
              </w:rPr>
            </w:pPr>
            <w:r>
              <w:rPr>
                <w:bCs/>
                <w:szCs w:val="21"/>
              </w:rPr>
              <w:lastRenderedPageBreak/>
              <w:t>6.04.4.1</w:t>
            </w:r>
          </w:p>
          <w:p w:rsidR="0073700B" w:rsidRDefault="001A2FFC">
            <w:pPr>
              <w:snapToGrid w:val="0"/>
              <w:spacing w:line="271" w:lineRule="auto"/>
              <w:rPr>
                <w:bCs/>
                <w:szCs w:val="21"/>
              </w:rPr>
            </w:pPr>
            <w:r>
              <w:rPr>
                <w:bCs/>
                <w:szCs w:val="21"/>
              </w:rPr>
              <w:t>6.04.4.2</w:t>
            </w:r>
          </w:p>
          <w:p w:rsidR="0073700B" w:rsidRDefault="001A2FFC">
            <w:pPr>
              <w:snapToGrid w:val="0"/>
              <w:spacing w:line="271" w:lineRule="auto"/>
              <w:rPr>
                <w:bCs/>
                <w:szCs w:val="21"/>
              </w:rPr>
            </w:pPr>
            <w:r>
              <w:rPr>
                <w:bCs/>
                <w:szCs w:val="21"/>
              </w:rPr>
              <w:t>6.04.4.3</w:t>
            </w:r>
          </w:p>
          <w:p w:rsidR="0073700B" w:rsidRDefault="001A2FFC">
            <w:pPr>
              <w:snapToGrid w:val="0"/>
              <w:spacing w:line="271" w:lineRule="auto"/>
              <w:rPr>
                <w:bCs/>
                <w:szCs w:val="21"/>
              </w:rPr>
            </w:pPr>
            <w:r>
              <w:rPr>
                <w:bCs/>
                <w:szCs w:val="21"/>
              </w:rPr>
              <w:t>6.04.4.4</w:t>
            </w:r>
          </w:p>
          <w:p w:rsidR="0073700B" w:rsidRDefault="001A2FFC">
            <w:pPr>
              <w:snapToGrid w:val="0"/>
              <w:spacing w:line="271" w:lineRule="auto"/>
              <w:rPr>
                <w:bCs/>
                <w:szCs w:val="21"/>
              </w:rPr>
            </w:pPr>
            <w:r>
              <w:rPr>
                <w:bCs/>
                <w:szCs w:val="21"/>
              </w:rPr>
              <w:t>6.04.5</w:t>
            </w:r>
          </w:p>
          <w:p w:rsidR="0073700B" w:rsidRDefault="001A2FFC">
            <w:pPr>
              <w:snapToGrid w:val="0"/>
              <w:spacing w:line="271" w:lineRule="auto"/>
              <w:rPr>
                <w:bCs/>
                <w:szCs w:val="21"/>
              </w:rPr>
            </w:pPr>
            <w:r>
              <w:rPr>
                <w:bCs/>
                <w:szCs w:val="21"/>
              </w:rPr>
              <w:t>6.04.6</w:t>
            </w:r>
          </w:p>
          <w:p w:rsidR="0073700B" w:rsidRDefault="001A2FFC">
            <w:pPr>
              <w:snapToGrid w:val="0"/>
              <w:spacing w:line="271" w:lineRule="auto"/>
              <w:rPr>
                <w:bCs/>
                <w:szCs w:val="21"/>
              </w:rPr>
            </w:pPr>
            <w:r>
              <w:rPr>
                <w:bCs/>
                <w:szCs w:val="21"/>
              </w:rPr>
              <w:t>6.04.7</w:t>
            </w:r>
          </w:p>
          <w:p w:rsidR="0073700B" w:rsidRDefault="001A2FFC">
            <w:pPr>
              <w:snapToGrid w:val="0"/>
              <w:spacing w:line="271" w:lineRule="auto"/>
              <w:rPr>
                <w:bCs/>
                <w:szCs w:val="21"/>
              </w:rPr>
            </w:pPr>
            <w:r>
              <w:rPr>
                <w:bCs/>
                <w:szCs w:val="21"/>
              </w:rPr>
              <w:t>6.04.7.1</w:t>
            </w:r>
          </w:p>
          <w:p w:rsidR="0073700B" w:rsidRDefault="001A2FFC">
            <w:pPr>
              <w:snapToGrid w:val="0"/>
              <w:spacing w:line="271" w:lineRule="auto"/>
              <w:rPr>
                <w:bCs/>
                <w:szCs w:val="21"/>
              </w:rPr>
            </w:pPr>
            <w:r>
              <w:rPr>
                <w:bCs/>
                <w:szCs w:val="21"/>
              </w:rPr>
              <w:t>6.04.7.2</w:t>
            </w:r>
          </w:p>
          <w:p w:rsidR="0073700B" w:rsidRDefault="001A2FFC">
            <w:pPr>
              <w:snapToGrid w:val="0"/>
              <w:spacing w:line="271" w:lineRule="auto"/>
              <w:rPr>
                <w:bCs/>
                <w:szCs w:val="21"/>
              </w:rPr>
            </w:pPr>
            <w:r>
              <w:rPr>
                <w:bCs/>
                <w:szCs w:val="21"/>
              </w:rPr>
              <w:t>6.04.7.3</w:t>
            </w:r>
          </w:p>
          <w:p w:rsidR="0073700B" w:rsidRDefault="001A2FFC">
            <w:pPr>
              <w:snapToGrid w:val="0"/>
              <w:spacing w:line="271" w:lineRule="auto"/>
              <w:rPr>
                <w:bCs/>
                <w:szCs w:val="21"/>
              </w:rPr>
            </w:pPr>
            <w:r>
              <w:rPr>
                <w:bCs/>
                <w:szCs w:val="21"/>
              </w:rPr>
              <w:t>6.04.8</w:t>
            </w:r>
          </w:p>
          <w:p w:rsidR="0073700B" w:rsidRDefault="001A2FFC">
            <w:pPr>
              <w:snapToGrid w:val="0"/>
              <w:spacing w:line="271" w:lineRule="auto"/>
              <w:rPr>
                <w:bCs/>
                <w:szCs w:val="21"/>
              </w:rPr>
            </w:pPr>
            <w:r>
              <w:rPr>
                <w:bCs/>
                <w:szCs w:val="21"/>
              </w:rPr>
              <w:t>6.04.9</w:t>
            </w:r>
          </w:p>
        </w:tc>
        <w:tc>
          <w:tcPr>
            <w:tcW w:w="6254" w:type="dxa"/>
            <w:tcBorders>
              <w:top w:val="single" w:sz="8" w:space="0" w:color="auto"/>
              <w:bottom w:val="single" w:sz="8" w:space="0" w:color="auto"/>
            </w:tcBorders>
          </w:tcPr>
          <w:p w:rsidR="0073700B" w:rsidRDefault="001A2FFC">
            <w:pPr>
              <w:snapToGrid w:val="0"/>
              <w:rPr>
                <w:bCs/>
                <w:szCs w:val="21"/>
              </w:rPr>
            </w:pPr>
            <w:r>
              <w:rPr>
                <w:bCs/>
                <w:szCs w:val="21"/>
              </w:rPr>
              <w:lastRenderedPageBreak/>
              <w:t>防护、保险、信号等装置缺乏或有缺陷</w:t>
            </w:r>
          </w:p>
          <w:p w:rsidR="0073700B" w:rsidRDefault="001A2FFC">
            <w:pPr>
              <w:snapToGrid w:val="0"/>
              <w:rPr>
                <w:bCs/>
                <w:szCs w:val="21"/>
              </w:rPr>
            </w:pPr>
            <w:r>
              <w:rPr>
                <w:bCs/>
                <w:szCs w:val="21"/>
              </w:rPr>
              <w:t>无防护</w:t>
            </w:r>
          </w:p>
          <w:p w:rsidR="0073700B" w:rsidRDefault="001A2FFC">
            <w:pPr>
              <w:snapToGrid w:val="0"/>
              <w:rPr>
                <w:bCs/>
                <w:szCs w:val="21"/>
              </w:rPr>
            </w:pPr>
            <w:r>
              <w:rPr>
                <w:bCs/>
                <w:szCs w:val="21"/>
              </w:rPr>
              <w:t>无防护罩</w:t>
            </w:r>
          </w:p>
          <w:p w:rsidR="0073700B" w:rsidRDefault="001A2FFC">
            <w:pPr>
              <w:snapToGrid w:val="0"/>
              <w:rPr>
                <w:bCs/>
                <w:szCs w:val="21"/>
              </w:rPr>
            </w:pPr>
            <w:r>
              <w:rPr>
                <w:bCs/>
                <w:szCs w:val="21"/>
              </w:rPr>
              <w:t>无安全保险装置</w:t>
            </w:r>
          </w:p>
          <w:p w:rsidR="0073700B" w:rsidRDefault="001A2FFC">
            <w:pPr>
              <w:snapToGrid w:val="0"/>
              <w:rPr>
                <w:bCs/>
                <w:szCs w:val="21"/>
              </w:rPr>
            </w:pPr>
            <w:r>
              <w:rPr>
                <w:bCs/>
                <w:szCs w:val="21"/>
              </w:rPr>
              <w:t>无报警装置</w:t>
            </w:r>
          </w:p>
          <w:p w:rsidR="0073700B" w:rsidRDefault="001A2FFC">
            <w:pPr>
              <w:snapToGrid w:val="0"/>
              <w:rPr>
                <w:bCs/>
                <w:szCs w:val="21"/>
              </w:rPr>
            </w:pPr>
            <w:r>
              <w:rPr>
                <w:bCs/>
                <w:szCs w:val="21"/>
              </w:rPr>
              <w:t>无安全标志</w:t>
            </w:r>
          </w:p>
          <w:p w:rsidR="0073700B" w:rsidRDefault="001A2FFC">
            <w:pPr>
              <w:snapToGrid w:val="0"/>
              <w:rPr>
                <w:bCs/>
                <w:szCs w:val="21"/>
              </w:rPr>
            </w:pPr>
            <w:r>
              <w:rPr>
                <w:bCs/>
                <w:szCs w:val="21"/>
              </w:rPr>
              <w:t>无护栏、或护栏损坏</w:t>
            </w:r>
          </w:p>
          <w:p w:rsidR="0073700B" w:rsidRDefault="001A2FFC">
            <w:pPr>
              <w:snapToGrid w:val="0"/>
              <w:rPr>
                <w:bCs/>
                <w:szCs w:val="21"/>
              </w:rPr>
            </w:pPr>
            <w:r>
              <w:rPr>
                <w:bCs/>
                <w:szCs w:val="21"/>
              </w:rPr>
              <w:t>(</w:t>
            </w:r>
            <w:r>
              <w:rPr>
                <w:bCs/>
                <w:szCs w:val="21"/>
              </w:rPr>
              <w:t>电气</w:t>
            </w:r>
            <w:r>
              <w:rPr>
                <w:bCs/>
                <w:szCs w:val="21"/>
              </w:rPr>
              <w:t>)</w:t>
            </w:r>
            <w:r>
              <w:rPr>
                <w:bCs/>
                <w:szCs w:val="21"/>
              </w:rPr>
              <w:t>未接地</w:t>
            </w:r>
          </w:p>
          <w:p w:rsidR="0073700B" w:rsidRDefault="001A2FFC">
            <w:pPr>
              <w:snapToGrid w:val="0"/>
              <w:rPr>
                <w:bCs/>
                <w:szCs w:val="21"/>
              </w:rPr>
            </w:pPr>
            <w:r>
              <w:rPr>
                <w:bCs/>
                <w:szCs w:val="21"/>
              </w:rPr>
              <w:t>绝缘不良</w:t>
            </w:r>
          </w:p>
          <w:p w:rsidR="0073700B" w:rsidRDefault="001A2FFC">
            <w:pPr>
              <w:snapToGrid w:val="0"/>
              <w:rPr>
                <w:bCs/>
                <w:szCs w:val="21"/>
              </w:rPr>
            </w:pPr>
            <w:r>
              <w:rPr>
                <w:bCs/>
                <w:szCs w:val="21"/>
              </w:rPr>
              <w:t>局扇无消音系统、噪声大</w:t>
            </w:r>
          </w:p>
          <w:p w:rsidR="0073700B" w:rsidRDefault="001A2FFC">
            <w:pPr>
              <w:snapToGrid w:val="0"/>
              <w:rPr>
                <w:bCs/>
                <w:szCs w:val="21"/>
              </w:rPr>
            </w:pPr>
            <w:r>
              <w:rPr>
                <w:bCs/>
                <w:szCs w:val="21"/>
              </w:rPr>
              <w:t>危房内作业</w:t>
            </w:r>
          </w:p>
          <w:p w:rsidR="0073700B" w:rsidRDefault="001A2FFC">
            <w:pPr>
              <w:snapToGrid w:val="0"/>
              <w:rPr>
                <w:bCs/>
                <w:szCs w:val="21"/>
              </w:rPr>
            </w:pPr>
            <w:r>
              <w:rPr>
                <w:bCs/>
                <w:szCs w:val="21"/>
              </w:rPr>
              <w:t>未安装防止</w:t>
            </w:r>
            <w:r>
              <w:rPr>
                <w:bCs/>
                <w:szCs w:val="21"/>
              </w:rPr>
              <w:t>“</w:t>
            </w:r>
            <w:r>
              <w:rPr>
                <w:bCs/>
                <w:szCs w:val="21"/>
              </w:rPr>
              <w:t>跑车</w:t>
            </w:r>
            <w:r>
              <w:rPr>
                <w:bCs/>
                <w:szCs w:val="21"/>
              </w:rPr>
              <w:t>”</w:t>
            </w:r>
            <w:r>
              <w:rPr>
                <w:bCs/>
                <w:szCs w:val="21"/>
              </w:rPr>
              <w:t>的挡车器或挡车栏</w:t>
            </w:r>
          </w:p>
          <w:p w:rsidR="0073700B" w:rsidRDefault="001A2FFC">
            <w:pPr>
              <w:snapToGrid w:val="0"/>
              <w:rPr>
                <w:bCs/>
                <w:szCs w:val="21"/>
              </w:rPr>
            </w:pPr>
            <w:r>
              <w:rPr>
                <w:bCs/>
                <w:szCs w:val="21"/>
              </w:rPr>
              <w:t>其它</w:t>
            </w:r>
          </w:p>
          <w:p w:rsidR="0073700B" w:rsidRDefault="001A2FFC">
            <w:pPr>
              <w:snapToGrid w:val="0"/>
              <w:rPr>
                <w:bCs/>
                <w:szCs w:val="21"/>
              </w:rPr>
            </w:pPr>
            <w:r>
              <w:rPr>
                <w:bCs/>
                <w:szCs w:val="21"/>
              </w:rPr>
              <w:t>防护不当</w:t>
            </w:r>
          </w:p>
          <w:p w:rsidR="0073700B" w:rsidRDefault="001A2FFC">
            <w:pPr>
              <w:snapToGrid w:val="0"/>
              <w:rPr>
                <w:bCs/>
                <w:szCs w:val="21"/>
              </w:rPr>
            </w:pPr>
            <w:r>
              <w:rPr>
                <w:bCs/>
                <w:szCs w:val="21"/>
              </w:rPr>
              <w:t>防护罩未在适应位置</w:t>
            </w:r>
          </w:p>
          <w:p w:rsidR="0073700B" w:rsidRDefault="001A2FFC">
            <w:pPr>
              <w:snapToGrid w:val="0"/>
              <w:rPr>
                <w:bCs/>
                <w:szCs w:val="21"/>
              </w:rPr>
            </w:pPr>
            <w:r>
              <w:rPr>
                <w:bCs/>
                <w:szCs w:val="21"/>
              </w:rPr>
              <w:t>防护装置调整不当</w:t>
            </w:r>
          </w:p>
          <w:p w:rsidR="0073700B" w:rsidRDefault="001A2FFC">
            <w:pPr>
              <w:snapToGrid w:val="0"/>
              <w:rPr>
                <w:bCs/>
                <w:szCs w:val="21"/>
              </w:rPr>
            </w:pPr>
            <w:r>
              <w:rPr>
                <w:bCs/>
                <w:szCs w:val="21"/>
              </w:rPr>
              <w:lastRenderedPageBreak/>
              <w:t>坑道掘进，隧道开凿支撑不当</w:t>
            </w:r>
          </w:p>
          <w:p w:rsidR="0073700B" w:rsidRDefault="001A2FFC">
            <w:pPr>
              <w:snapToGrid w:val="0"/>
              <w:rPr>
                <w:bCs/>
                <w:szCs w:val="21"/>
              </w:rPr>
            </w:pPr>
            <w:r>
              <w:rPr>
                <w:bCs/>
                <w:szCs w:val="21"/>
              </w:rPr>
              <w:t>防爆装置不当</w:t>
            </w:r>
          </w:p>
          <w:p w:rsidR="0073700B" w:rsidRDefault="001A2FFC">
            <w:pPr>
              <w:snapToGrid w:val="0"/>
              <w:rPr>
                <w:bCs/>
                <w:szCs w:val="21"/>
              </w:rPr>
            </w:pPr>
            <w:r>
              <w:rPr>
                <w:bCs/>
                <w:szCs w:val="21"/>
              </w:rPr>
              <w:t>采伐、集材作业安全距离不够</w:t>
            </w:r>
          </w:p>
          <w:p w:rsidR="0073700B" w:rsidRDefault="001A2FFC">
            <w:pPr>
              <w:snapToGrid w:val="0"/>
              <w:rPr>
                <w:bCs/>
                <w:szCs w:val="21"/>
              </w:rPr>
            </w:pPr>
            <w:r>
              <w:rPr>
                <w:bCs/>
                <w:szCs w:val="21"/>
              </w:rPr>
              <w:t>放炮作业隐蔽所有缺陷</w:t>
            </w:r>
          </w:p>
          <w:p w:rsidR="0073700B" w:rsidRDefault="001A2FFC">
            <w:pPr>
              <w:snapToGrid w:val="0"/>
              <w:rPr>
                <w:bCs/>
                <w:szCs w:val="21"/>
              </w:rPr>
            </w:pPr>
            <w:r>
              <w:rPr>
                <w:bCs/>
                <w:szCs w:val="21"/>
              </w:rPr>
              <w:t>电气装置带电部分裸露</w:t>
            </w:r>
          </w:p>
          <w:p w:rsidR="0073700B" w:rsidRDefault="001A2FFC">
            <w:pPr>
              <w:snapToGrid w:val="0"/>
              <w:rPr>
                <w:bCs/>
                <w:szCs w:val="21"/>
              </w:rPr>
            </w:pPr>
            <w:r>
              <w:rPr>
                <w:bCs/>
                <w:szCs w:val="21"/>
              </w:rPr>
              <w:t>其它</w:t>
            </w:r>
          </w:p>
          <w:p w:rsidR="0073700B" w:rsidRDefault="001A2FFC">
            <w:pPr>
              <w:snapToGrid w:val="0"/>
              <w:rPr>
                <w:bCs/>
                <w:szCs w:val="21"/>
              </w:rPr>
            </w:pPr>
            <w:r>
              <w:rPr>
                <w:bCs/>
                <w:szCs w:val="21"/>
              </w:rPr>
              <w:t>设备、设施、工具、附件有缺陷</w:t>
            </w:r>
          </w:p>
          <w:p w:rsidR="0073700B" w:rsidRDefault="001A2FFC">
            <w:pPr>
              <w:snapToGrid w:val="0"/>
              <w:rPr>
                <w:bCs/>
                <w:szCs w:val="21"/>
              </w:rPr>
            </w:pPr>
            <w:r>
              <w:rPr>
                <w:bCs/>
                <w:szCs w:val="21"/>
              </w:rPr>
              <w:t>设计不当，结构不合安全要求</w:t>
            </w:r>
          </w:p>
          <w:p w:rsidR="0073700B" w:rsidRDefault="001A2FFC">
            <w:pPr>
              <w:snapToGrid w:val="0"/>
              <w:rPr>
                <w:bCs/>
                <w:szCs w:val="21"/>
              </w:rPr>
            </w:pPr>
            <w:r>
              <w:rPr>
                <w:bCs/>
                <w:szCs w:val="21"/>
              </w:rPr>
              <w:t>通道门遮挡视线</w:t>
            </w:r>
          </w:p>
          <w:p w:rsidR="0073700B" w:rsidRDefault="001A2FFC">
            <w:pPr>
              <w:snapToGrid w:val="0"/>
              <w:rPr>
                <w:bCs/>
                <w:szCs w:val="21"/>
              </w:rPr>
            </w:pPr>
            <w:r>
              <w:rPr>
                <w:bCs/>
                <w:szCs w:val="21"/>
              </w:rPr>
              <w:t>制动装置有缺欠</w:t>
            </w:r>
          </w:p>
          <w:p w:rsidR="0073700B" w:rsidRDefault="001A2FFC">
            <w:pPr>
              <w:snapToGrid w:val="0"/>
              <w:rPr>
                <w:bCs/>
                <w:szCs w:val="21"/>
              </w:rPr>
            </w:pPr>
            <w:r>
              <w:rPr>
                <w:bCs/>
                <w:szCs w:val="21"/>
              </w:rPr>
              <w:t>安全间距不够</w:t>
            </w:r>
          </w:p>
          <w:p w:rsidR="0073700B" w:rsidRDefault="001A2FFC">
            <w:pPr>
              <w:snapToGrid w:val="0"/>
              <w:rPr>
                <w:bCs/>
                <w:szCs w:val="21"/>
              </w:rPr>
            </w:pPr>
            <w:r>
              <w:rPr>
                <w:bCs/>
                <w:szCs w:val="21"/>
              </w:rPr>
              <w:t>拦车网有缺欠</w:t>
            </w:r>
          </w:p>
          <w:p w:rsidR="0073700B" w:rsidRDefault="001A2FFC">
            <w:pPr>
              <w:snapToGrid w:val="0"/>
              <w:rPr>
                <w:bCs/>
                <w:szCs w:val="21"/>
              </w:rPr>
            </w:pPr>
            <w:r>
              <w:rPr>
                <w:bCs/>
                <w:szCs w:val="21"/>
              </w:rPr>
              <w:t>工件有锋利毛刺、毛边</w:t>
            </w:r>
          </w:p>
          <w:p w:rsidR="0073700B" w:rsidRDefault="001A2FFC">
            <w:pPr>
              <w:snapToGrid w:val="0"/>
              <w:rPr>
                <w:bCs/>
                <w:szCs w:val="21"/>
              </w:rPr>
            </w:pPr>
            <w:r>
              <w:rPr>
                <w:bCs/>
                <w:szCs w:val="21"/>
              </w:rPr>
              <w:t>设施上有锋利倒棱</w:t>
            </w:r>
          </w:p>
          <w:p w:rsidR="0073700B" w:rsidRDefault="001A2FFC">
            <w:pPr>
              <w:snapToGrid w:val="0"/>
              <w:rPr>
                <w:bCs/>
                <w:szCs w:val="21"/>
              </w:rPr>
            </w:pPr>
            <w:r>
              <w:rPr>
                <w:bCs/>
                <w:szCs w:val="21"/>
              </w:rPr>
              <w:t>其它</w:t>
            </w:r>
          </w:p>
          <w:p w:rsidR="0073700B" w:rsidRDefault="001A2FFC">
            <w:pPr>
              <w:snapToGrid w:val="0"/>
              <w:rPr>
                <w:bCs/>
                <w:szCs w:val="21"/>
              </w:rPr>
            </w:pPr>
            <w:r>
              <w:rPr>
                <w:bCs/>
                <w:szCs w:val="21"/>
              </w:rPr>
              <w:t>强度不够</w:t>
            </w:r>
          </w:p>
          <w:p w:rsidR="0073700B" w:rsidRDefault="001A2FFC">
            <w:pPr>
              <w:snapToGrid w:val="0"/>
              <w:rPr>
                <w:bCs/>
                <w:szCs w:val="21"/>
              </w:rPr>
            </w:pPr>
            <w:r>
              <w:rPr>
                <w:bCs/>
                <w:szCs w:val="21"/>
              </w:rPr>
              <w:t>机械强度不够</w:t>
            </w:r>
          </w:p>
          <w:p w:rsidR="0073700B" w:rsidRDefault="001A2FFC">
            <w:pPr>
              <w:snapToGrid w:val="0"/>
              <w:rPr>
                <w:bCs/>
                <w:szCs w:val="21"/>
              </w:rPr>
            </w:pPr>
            <w:r>
              <w:rPr>
                <w:bCs/>
                <w:szCs w:val="21"/>
              </w:rPr>
              <w:t>绝缘强度不够</w:t>
            </w:r>
          </w:p>
          <w:p w:rsidR="0073700B" w:rsidRDefault="001A2FFC">
            <w:pPr>
              <w:snapToGrid w:val="0"/>
              <w:rPr>
                <w:bCs/>
                <w:szCs w:val="21"/>
              </w:rPr>
            </w:pPr>
            <w:r>
              <w:rPr>
                <w:bCs/>
                <w:szCs w:val="21"/>
              </w:rPr>
              <w:t>起吊重物的绳索不合安全要求</w:t>
            </w:r>
          </w:p>
          <w:p w:rsidR="0073700B" w:rsidRDefault="001A2FFC">
            <w:pPr>
              <w:snapToGrid w:val="0"/>
              <w:rPr>
                <w:bCs/>
                <w:szCs w:val="21"/>
              </w:rPr>
            </w:pPr>
            <w:r>
              <w:rPr>
                <w:bCs/>
                <w:szCs w:val="21"/>
              </w:rPr>
              <w:t>其它</w:t>
            </w:r>
          </w:p>
          <w:p w:rsidR="0073700B" w:rsidRDefault="001A2FFC">
            <w:pPr>
              <w:snapToGrid w:val="0"/>
              <w:rPr>
                <w:bCs/>
                <w:szCs w:val="21"/>
              </w:rPr>
            </w:pPr>
            <w:r>
              <w:rPr>
                <w:bCs/>
                <w:szCs w:val="21"/>
              </w:rPr>
              <w:t>设备在非正常状态下运行</w:t>
            </w:r>
          </w:p>
          <w:p w:rsidR="0073700B" w:rsidRDefault="001A2FFC">
            <w:pPr>
              <w:snapToGrid w:val="0"/>
              <w:rPr>
                <w:bCs/>
                <w:szCs w:val="21"/>
              </w:rPr>
            </w:pPr>
            <w:r>
              <w:rPr>
                <w:bCs/>
                <w:szCs w:val="21"/>
              </w:rPr>
              <w:t>设备带</w:t>
            </w:r>
            <w:r>
              <w:rPr>
                <w:bCs/>
                <w:szCs w:val="21"/>
              </w:rPr>
              <w:t>“</w:t>
            </w:r>
            <w:r>
              <w:rPr>
                <w:bCs/>
                <w:szCs w:val="21"/>
              </w:rPr>
              <w:t>病</w:t>
            </w:r>
            <w:r>
              <w:rPr>
                <w:bCs/>
                <w:szCs w:val="21"/>
              </w:rPr>
              <w:t>”</w:t>
            </w:r>
            <w:r>
              <w:rPr>
                <w:bCs/>
                <w:szCs w:val="21"/>
              </w:rPr>
              <w:t>运转</w:t>
            </w:r>
          </w:p>
          <w:p w:rsidR="0073700B" w:rsidRDefault="001A2FFC">
            <w:pPr>
              <w:snapToGrid w:val="0"/>
              <w:rPr>
                <w:bCs/>
                <w:szCs w:val="21"/>
              </w:rPr>
            </w:pPr>
            <w:r>
              <w:rPr>
                <w:bCs/>
                <w:szCs w:val="21"/>
              </w:rPr>
              <w:t>超负荷运转</w:t>
            </w:r>
          </w:p>
          <w:p w:rsidR="0073700B" w:rsidRDefault="001A2FFC">
            <w:pPr>
              <w:snapToGrid w:val="0"/>
              <w:rPr>
                <w:bCs/>
                <w:szCs w:val="21"/>
              </w:rPr>
            </w:pPr>
            <w:r>
              <w:rPr>
                <w:bCs/>
                <w:szCs w:val="21"/>
              </w:rPr>
              <w:t>其它</w:t>
            </w:r>
          </w:p>
          <w:p w:rsidR="0073700B" w:rsidRDefault="001A2FFC">
            <w:pPr>
              <w:snapToGrid w:val="0"/>
              <w:rPr>
                <w:bCs/>
                <w:szCs w:val="21"/>
              </w:rPr>
            </w:pPr>
            <w:r>
              <w:rPr>
                <w:bCs/>
                <w:szCs w:val="21"/>
              </w:rPr>
              <w:t>维修、调整不良</w:t>
            </w:r>
          </w:p>
          <w:p w:rsidR="0073700B" w:rsidRDefault="001A2FFC">
            <w:pPr>
              <w:snapToGrid w:val="0"/>
              <w:rPr>
                <w:bCs/>
                <w:szCs w:val="21"/>
              </w:rPr>
            </w:pPr>
            <w:r>
              <w:rPr>
                <w:bCs/>
                <w:szCs w:val="21"/>
              </w:rPr>
              <w:t>设备失修</w:t>
            </w:r>
          </w:p>
          <w:p w:rsidR="0073700B" w:rsidRDefault="001A2FFC">
            <w:pPr>
              <w:snapToGrid w:val="0"/>
              <w:rPr>
                <w:bCs/>
                <w:szCs w:val="21"/>
              </w:rPr>
            </w:pPr>
            <w:r>
              <w:rPr>
                <w:bCs/>
                <w:szCs w:val="21"/>
              </w:rPr>
              <w:t>地面不平</w:t>
            </w:r>
          </w:p>
          <w:p w:rsidR="0073700B" w:rsidRDefault="001A2FFC">
            <w:pPr>
              <w:snapToGrid w:val="0"/>
              <w:rPr>
                <w:bCs/>
                <w:szCs w:val="21"/>
              </w:rPr>
            </w:pPr>
            <w:r>
              <w:rPr>
                <w:bCs/>
                <w:szCs w:val="21"/>
              </w:rPr>
              <w:t>保养不当、设备失灵</w:t>
            </w:r>
          </w:p>
          <w:p w:rsidR="0073700B" w:rsidRDefault="001A2FFC">
            <w:pPr>
              <w:snapToGrid w:val="0"/>
              <w:rPr>
                <w:bCs/>
                <w:szCs w:val="21"/>
              </w:rPr>
            </w:pPr>
            <w:r>
              <w:rPr>
                <w:bCs/>
                <w:szCs w:val="21"/>
              </w:rPr>
              <w:t>其它</w:t>
            </w:r>
          </w:p>
          <w:p w:rsidR="0073700B" w:rsidRDefault="001A2FFC">
            <w:pPr>
              <w:snapToGrid w:val="0"/>
              <w:rPr>
                <w:bCs/>
                <w:szCs w:val="21"/>
              </w:rPr>
            </w:pPr>
            <w:r>
              <w:rPr>
                <w:bCs/>
                <w:szCs w:val="21"/>
              </w:rPr>
              <w:t>个人防护用品用具</w:t>
            </w:r>
            <w:r>
              <w:rPr>
                <w:bCs/>
                <w:szCs w:val="21"/>
              </w:rPr>
              <w:t>——</w:t>
            </w:r>
            <w:r>
              <w:rPr>
                <w:bCs/>
                <w:szCs w:val="21"/>
              </w:rPr>
              <w:t>防护服、手套、护目镜及面罩、呼吸器官护具、听力护具、安全带、安全帽、安全鞋等缺少或有缺陷</w:t>
            </w:r>
          </w:p>
          <w:p w:rsidR="0073700B" w:rsidRDefault="001A2FFC">
            <w:pPr>
              <w:snapToGrid w:val="0"/>
              <w:rPr>
                <w:bCs/>
                <w:szCs w:val="21"/>
              </w:rPr>
            </w:pPr>
            <w:r>
              <w:rPr>
                <w:bCs/>
                <w:szCs w:val="21"/>
              </w:rPr>
              <w:t>无个人防护用品、用具</w:t>
            </w:r>
          </w:p>
          <w:p w:rsidR="0073700B" w:rsidRDefault="001A2FFC">
            <w:pPr>
              <w:snapToGrid w:val="0"/>
              <w:rPr>
                <w:bCs/>
                <w:szCs w:val="21"/>
              </w:rPr>
            </w:pPr>
            <w:r>
              <w:rPr>
                <w:bCs/>
                <w:szCs w:val="21"/>
              </w:rPr>
              <w:t>所用防护用品、用具不符合安全要求</w:t>
            </w:r>
          </w:p>
          <w:p w:rsidR="0073700B" w:rsidRDefault="001A2FFC">
            <w:pPr>
              <w:snapToGrid w:val="0"/>
              <w:rPr>
                <w:bCs/>
                <w:szCs w:val="21"/>
              </w:rPr>
            </w:pPr>
            <w:r>
              <w:rPr>
                <w:bCs/>
                <w:szCs w:val="21"/>
              </w:rPr>
              <w:t>生产</w:t>
            </w:r>
            <w:r>
              <w:rPr>
                <w:bCs/>
                <w:szCs w:val="21"/>
              </w:rPr>
              <w:t>(</w:t>
            </w:r>
            <w:r>
              <w:rPr>
                <w:bCs/>
                <w:szCs w:val="21"/>
              </w:rPr>
              <w:t>施工</w:t>
            </w:r>
            <w:r>
              <w:rPr>
                <w:bCs/>
                <w:szCs w:val="21"/>
              </w:rPr>
              <w:t>)</w:t>
            </w:r>
            <w:r>
              <w:rPr>
                <w:bCs/>
                <w:szCs w:val="21"/>
              </w:rPr>
              <w:t>场地环境不良</w:t>
            </w:r>
          </w:p>
          <w:p w:rsidR="0073700B" w:rsidRDefault="001A2FFC">
            <w:pPr>
              <w:snapToGrid w:val="0"/>
              <w:rPr>
                <w:bCs/>
                <w:szCs w:val="21"/>
              </w:rPr>
            </w:pPr>
            <w:r>
              <w:rPr>
                <w:bCs/>
                <w:szCs w:val="21"/>
              </w:rPr>
              <w:t>照明光线不良</w:t>
            </w:r>
          </w:p>
          <w:p w:rsidR="0073700B" w:rsidRDefault="001A2FFC">
            <w:pPr>
              <w:snapToGrid w:val="0"/>
              <w:rPr>
                <w:bCs/>
                <w:szCs w:val="21"/>
              </w:rPr>
            </w:pPr>
            <w:r>
              <w:rPr>
                <w:bCs/>
                <w:szCs w:val="21"/>
              </w:rPr>
              <w:t>照度不足</w:t>
            </w:r>
          </w:p>
          <w:p w:rsidR="0073700B" w:rsidRDefault="001A2FFC">
            <w:pPr>
              <w:snapToGrid w:val="0"/>
              <w:rPr>
                <w:bCs/>
                <w:szCs w:val="21"/>
              </w:rPr>
            </w:pPr>
            <w:r>
              <w:rPr>
                <w:bCs/>
                <w:szCs w:val="21"/>
              </w:rPr>
              <w:t>作业场地烟雾尘弥漫视物不清</w:t>
            </w:r>
          </w:p>
          <w:p w:rsidR="0073700B" w:rsidRDefault="001A2FFC">
            <w:pPr>
              <w:snapToGrid w:val="0"/>
              <w:rPr>
                <w:bCs/>
                <w:szCs w:val="21"/>
              </w:rPr>
            </w:pPr>
            <w:r>
              <w:rPr>
                <w:bCs/>
                <w:szCs w:val="21"/>
              </w:rPr>
              <w:t>光线过强</w:t>
            </w:r>
          </w:p>
          <w:p w:rsidR="0073700B" w:rsidRDefault="001A2FFC">
            <w:pPr>
              <w:snapToGrid w:val="0"/>
              <w:rPr>
                <w:bCs/>
                <w:szCs w:val="21"/>
              </w:rPr>
            </w:pPr>
            <w:r>
              <w:rPr>
                <w:bCs/>
                <w:szCs w:val="21"/>
              </w:rPr>
              <w:t>通风不良</w:t>
            </w:r>
          </w:p>
          <w:p w:rsidR="0073700B" w:rsidRDefault="001A2FFC">
            <w:pPr>
              <w:snapToGrid w:val="0"/>
              <w:rPr>
                <w:bCs/>
                <w:szCs w:val="21"/>
              </w:rPr>
            </w:pPr>
            <w:r>
              <w:rPr>
                <w:bCs/>
                <w:szCs w:val="21"/>
              </w:rPr>
              <w:t>无通风</w:t>
            </w:r>
          </w:p>
          <w:p w:rsidR="0073700B" w:rsidRDefault="001A2FFC">
            <w:pPr>
              <w:snapToGrid w:val="0"/>
              <w:rPr>
                <w:bCs/>
                <w:szCs w:val="21"/>
              </w:rPr>
            </w:pPr>
            <w:r>
              <w:rPr>
                <w:bCs/>
                <w:szCs w:val="21"/>
              </w:rPr>
              <w:t>通风系统效率低</w:t>
            </w:r>
          </w:p>
          <w:p w:rsidR="0073700B" w:rsidRDefault="001A2FFC">
            <w:pPr>
              <w:snapToGrid w:val="0"/>
              <w:rPr>
                <w:bCs/>
                <w:szCs w:val="21"/>
              </w:rPr>
            </w:pPr>
            <w:r>
              <w:rPr>
                <w:bCs/>
                <w:szCs w:val="21"/>
              </w:rPr>
              <w:t>风流短路</w:t>
            </w:r>
          </w:p>
          <w:p w:rsidR="0073700B" w:rsidRDefault="001A2FFC">
            <w:pPr>
              <w:snapToGrid w:val="0"/>
              <w:rPr>
                <w:bCs/>
                <w:szCs w:val="21"/>
              </w:rPr>
            </w:pPr>
            <w:r>
              <w:rPr>
                <w:bCs/>
                <w:szCs w:val="21"/>
              </w:rPr>
              <w:t>停电停风时放炮作业</w:t>
            </w:r>
          </w:p>
          <w:p w:rsidR="0073700B" w:rsidRDefault="001A2FFC">
            <w:pPr>
              <w:snapToGrid w:val="0"/>
              <w:rPr>
                <w:bCs/>
                <w:szCs w:val="21"/>
              </w:rPr>
            </w:pPr>
            <w:r>
              <w:rPr>
                <w:bCs/>
                <w:szCs w:val="21"/>
              </w:rPr>
              <w:t>瓦斯排放未达到安全浓度放炮作业</w:t>
            </w:r>
          </w:p>
          <w:p w:rsidR="0073700B" w:rsidRDefault="001A2FFC">
            <w:pPr>
              <w:snapToGrid w:val="0"/>
              <w:rPr>
                <w:bCs/>
                <w:szCs w:val="21"/>
              </w:rPr>
            </w:pPr>
            <w:r>
              <w:rPr>
                <w:bCs/>
                <w:szCs w:val="21"/>
              </w:rPr>
              <w:t>瓦斯超限</w:t>
            </w:r>
          </w:p>
          <w:p w:rsidR="0073700B" w:rsidRDefault="001A2FFC">
            <w:pPr>
              <w:snapToGrid w:val="0"/>
              <w:rPr>
                <w:bCs/>
                <w:szCs w:val="21"/>
              </w:rPr>
            </w:pPr>
            <w:r>
              <w:rPr>
                <w:bCs/>
                <w:szCs w:val="21"/>
              </w:rPr>
              <w:t>其它</w:t>
            </w:r>
          </w:p>
          <w:p w:rsidR="0073700B" w:rsidRDefault="001A2FFC">
            <w:pPr>
              <w:snapToGrid w:val="0"/>
              <w:rPr>
                <w:bCs/>
                <w:szCs w:val="21"/>
              </w:rPr>
            </w:pPr>
            <w:r>
              <w:rPr>
                <w:bCs/>
                <w:szCs w:val="21"/>
              </w:rPr>
              <w:t>作业场所狭窄</w:t>
            </w:r>
          </w:p>
          <w:p w:rsidR="0073700B" w:rsidRDefault="001A2FFC">
            <w:pPr>
              <w:snapToGrid w:val="0"/>
              <w:rPr>
                <w:bCs/>
                <w:szCs w:val="21"/>
              </w:rPr>
            </w:pPr>
            <w:r>
              <w:rPr>
                <w:bCs/>
                <w:szCs w:val="21"/>
              </w:rPr>
              <w:t>作业场地杂乱</w:t>
            </w:r>
          </w:p>
          <w:p w:rsidR="0073700B" w:rsidRDefault="001A2FFC">
            <w:pPr>
              <w:snapToGrid w:val="0"/>
              <w:rPr>
                <w:bCs/>
                <w:szCs w:val="21"/>
              </w:rPr>
            </w:pPr>
            <w:r>
              <w:rPr>
                <w:bCs/>
                <w:szCs w:val="21"/>
              </w:rPr>
              <w:lastRenderedPageBreak/>
              <w:t>工具、制品、材料堆放不安全</w:t>
            </w:r>
          </w:p>
          <w:p w:rsidR="0073700B" w:rsidRDefault="001A2FFC">
            <w:pPr>
              <w:snapToGrid w:val="0"/>
              <w:rPr>
                <w:bCs/>
                <w:szCs w:val="21"/>
              </w:rPr>
            </w:pPr>
            <w:r>
              <w:rPr>
                <w:bCs/>
                <w:szCs w:val="21"/>
              </w:rPr>
              <w:t>采伐时，未开</w:t>
            </w:r>
            <w:r>
              <w:rPr>
                <w:bCs/>
                <w:szCs w:val="21"/>
              </w:rPr>
              <w:t>“</w:t>
            </w:r>
            <w:r>
              <w:rPr>
                <w:bCs/>
                <w:szCs w:val="21"/>
              </w:rPr>
              <w:t>安全道</w:t>
            </w:r>
            <w:r>
              <w:rPr>
                <w:bCs/>
                <w:szCs w:val="21"/>
              </w:rPr>
              <w:t>”</w:t>
            </w:r>
          </w:p>
          <w:p w:rsidR="0073700B" w:rsidRDefault="001A2FFC">
            <w:pPr>
              <w:snapToGrid w:val="0"/>
              <w:rPr>
                <w:bCs/>
                <w:szCs w:val="21"/>
              </w:rPr>
            </w:pPr>
            <w:r>
              <w:rPr>
                <w:bCs/>
                <w:szCs w:val="21"/>
              </w:rPr>
              <w:t>迎门树、坐殿树、搭挂树未作处理</w:t>
            </w:r>
          </w:p>
          <w:p w:rsidR="0073700B" w:rsidRDefault="001A2FFC">
            <w:pPr>
              <w:snapToGrid w:val="0"/>
              <w:rPr>
                <w:bCs/>
                <w:szCs w:val="21"/>
              </w:rPr>
            </w:pPr>
            <w:r>
              <w:rPr>
                <w:bCs/>
                <w:szCs w:val="21"/>
              </w:rPr>
              <w:t>其它</w:t>
            </w:r>
          </w:p>
          <w:p w:rsidR="0073700B" w:rsidRDefault="001A2FFC">
            <w:pPr>
              <w:snapToGrid w:val="0"/>
              <w:rPr>
                <w:bCs/>
                <w:szCs w:val="21"/>
              </w:rPr>
            </w:pPr>
            <w:r>
              <w:rPr>
                <w:bCs/>
                <w:szCs w:val="21"/>
              </w:rPr>
              <w:t>交通线路的配置不安全</w:t>
            </w:r>
          </w:p>
          <w:p w:rsidR="0073700B" w:rsidRDefault="001A2FFC">
            <w:pPr>
              <w:snapToGrid w:val="0"/>
              <w:rPr>
                <w:bCs/>
                <w:szCs w:val="21"/>
              </w:rPr>
            </w:pPr>
            <w:r>
              <w:rPr>
                <w:bCs/>
                <w:szCs w:val="21"/>
              </w:rPr>
              <w:t>操作工序设计或配置不安全</w:t>
            </w:r>
          </w:p>
          <w:p w:rsidR="0073700B" w:rsidRDefault="001A2FFC">
            <w:pPr>
              <w:snapToGrid w:val="0"/>
              <w:rPr>
                <w:bCs/>
                <w:szCs w:val="21"/>
              </w:rPr>
            </w:pPr>
            <w:r>
              <w:rPr>
                <w:bCs/>
                <w:szCs w:val="21"/>
              </w:rPr>
              <w:t>地面滑</w:t>
            </w:r>
          </w:p>
          <w:p w:rsidR="0073700B" w:rsidRDefault="001A2FFC">
            <w:pPr>
              <w:snapToGrid w:val="0"/>
              <w:rPr>
                <w:bCs/>
                <w:szCs w:val="21"/>
              </w:rPr>
            </w:pPr>
            <w:r>
              <w:rPr>
                <w:bCs/>
                <w:szCs w:val="21"/>
              </w:rPr>
              <w:t>地面有油或其它液体</w:t>
            </w:r>
          </w:p>
          <w:p w:rsidR="0073700B" w:rsidRDefault="001A2FFC">
            <w:pPr>
              <w:snapToGrid w:val="0"/>
              <w:rPr>
                <w:bCs/>
                <w:szCs w:val="21"/>
              </w:rPr>
            </w:pPr>
            <w:r>
              <w:rPr>
                <w:bCs/>
                <w:szCs w:val="21"/>
              </w:rPr>
              <w:t>冰雪覆盖</w:t>
            </w:r>
          </w:p>
          <w:p w:rsidR="0073700B" w:rsidRDefault="001A2FFC">
            <w:pPr>
              <w:snapToGrid w:val="0"/>
              <w:rPr>
                <w:bCs/>
                <w:szCs w:val="21"/>
              </w:rPr>
            </w:pPr>
            <w:r>
              <w:rPr>
                <w:bCs/>
                <w:szCs w:val="21"/>
              </w:rPr>
              <w:t>地面有其它易滑物</w:t>
            </w:r>
          </w:p>
          <w:p w:rsidR="0073700B" w:rsidRDefault="001A2FFC">
            <w:pPr>
              <w:snapToGrid w:val="0"/>
              <w:rPr>
                <w:bCs/>
                <w:szCs w:val="21"/>
              </w:rPr>
            </w:pPr>
            <w:r>
              <w:rPr>
                <w:bCs/>
                <w:szCs w:val="21"/>
              </w:rPr>
              <w:t>贮存方法不安全</w:t>
            </w:r>
          </w:p>
          <w:p w:rsidR="0073700B" w:rsidRDefault="001A2FFC">
            <w:pPr>
              <w:snapToGrid w:val="0"/>
              <w:rPr>
                <w:bCs/>
                <w:szCs w:val="21"/>
              </w:rPr>
            </w:pPr>
            <w:r>
              <w:rPr>
                <w:bCs/>
                <w:szCs w:val="21"/>
              </w:rPr>
              <w:t>环境温度、湿度不当</w:t>
            </w:r>
          </w:p>
        </w:tc>
      </w:tr>
    </w:tbl>
    <w:p w:rsidR="0073700B" w:rsidRDefault="001A2FFC" w:rsidP="00F80BAC">
      <w:pPr>
        <w:spacing w:beforeLines="50" w:before="156" w:line="360" w:lineRule="auto"/>
        <w:ind w:firstLineChars="200" w:firstLine="480"/>
        <w:rPr>
          <w:bCs/>
          <w:color w:val="191919"/>
          <w:sz w:val="24"/>
        </w:rPr>
      </w:pPr>
      <w:bookmarkStart w:id="36" w:name="_Hlk13299867"/>
      <w:r>
        <w:rPr>
          <w:rFonts w:hint="eastAsia"/>
          <w:bCs/>
          <w:color w:val="191919"/>
          <w:sz w:val="24"/>
        </w:rPr>
        <w:lastRenderedPageBreak/>
        <w:t>③</w:t>
      </w:r>
      <w:r>
        <w:rPr>
          <w:bCs/>
          <w:color w:val="191919"/>
          <w:sz w:val="24"/>
        </w:rPr>
        <w:t>对于人的不安全行为可能引起的风险事件，主要从操作错误、违反安全规程和管理缺陷等方面分析。</w:t>
      </w:r>
      <w:r>
        <w:fldChar w:fldCharType="begin"/>
      </w:r>
      <w:r>
        <w:instrText xml:space="preserve"> REF _Ref535833132 \h  \* MERGEFORMAT </w:instrText>
      </w:r>
      <w:r>
        <w:fldChar w:fldCharType="separate"/>
      </w:r>
      <w:r>
        <w:rPr>
          <w:bCs/>
          <w:sz w:val="24"/>
        </w:rPr>
        <w:t>表</w:t>
      </w:r>
      <w:r>
        <w:rPr>
          <w:bCs/>
          <w:sz w:val="24"/>
        </w:rPr>
        <w:t>6</w:t>
      </w:r>
      <w:r>
        <w:rPr>
          <w:bCs/>
          <w:sz w:val="24"/>
        </w:rPr>
        <w:noBreakHyphen/>
        <w:t>2</w:t>
      </w:r>
      <w:r>
        <w:rPr>
          <w:bCs/>
          <w:sz w:val="24"/>
        </w:rPr>
        <w:fldChar w:fldCharType="end"/>
      </w:r>
      <w:r>
        <w:rPr>
          <w:bCs/>
          <w:color w:val="191919"/>
          <w:sz w:val="24"/>
        </w:rPr>
        <w:t>为企业职工伤亡事故分类（</w:t>
      </w:r>
      <w:r>
        <w:rPr>
          <w:bCs/>
          <w:color w:val="191919"/>
          <w:sz w:val="24"/>
        </w:rPr>
        <w:t>GB/T 6441-1986</w:t>
      </w:r>
      <w:r>
        <w:rPr>
          <w:bCs/>
          <w:color w:val="191919"/>
          <w:sz w:val="24"/>
        </w:rPr>
        <w:t>）</w:t>
      </w:r>
      <w:r>
        <w:rPr>
          <w:bCs/>
          <w:color w:val="191919"/>
          <w:sz w:val="24"/>
        </w:rPr>
        <w:fldChar w:fldCharType="begin"/>
      </w:r>
      <w:r>
        <w:rPr>
          <w:bCs/>
          <w:color w:val="191919"/>
          <w:sz w:val="24"/>
        </w:rPr>
        <w:instrText xml:space="preserve"> ADDIN NE.Ref.{C6EF2E9A-3FC5-40EC-AFA7-DD1F584D6443}</w:instrText>
      </w:r>
      <w:r>
        <w:rPr>
          <w:bCs/>
          <w:color w:val="191919"/>
          <w:sz w:val="24"/>
        </w:rPr>
        <w:fldChar w:fldCharType="separate"/>
      </w:r>
      <w:r>
        <w:rPr>
          <w:color w:val="080000"/>
          <w:kern w:val="0"/>
          <w:sz w:val="24"/>
          <w:szCs w:val="24"/>
          <w:vertAlign w:val="superscript"/>
        </w:rPr>
        <w:t>[3]</w:t>
      </w:r>
      <w:r>
        <w:rPr>
          <w:bCs/>
          <w:color w:val="191919"/>
          <w:sz w:val="24"/>
        </w:rPr>
        <w:fldChar w:fldCharType="end"/>
      </w:r>
      <w:r>
        <w:rPr>
          <w:bCs/>
          <w:color w:val="191919"/>
          <w:sz w:val="24"/>
        </w:rPr>
        <w:t>中</w:t>
      </w:r>
      <w:r>
        <w:rPr>
          <w:bCs/>
          <w:sz w:val="24"/>
          <w:szCs w:val="32"/>
        </w:rPr>
        <w:t>不安全行为分类。</w:t>
      </w:r>
    </w:p>
    <w:p w:rsidR="0073700B" w:rsidRDefault="001A2FFC" w:rsidP="00F80BAC">
      <w:pPr>
        <w:spacing w:beforeLines="50" w:before="156" w:line="360" w:lineRule="auto"/>
        <w:ind w:firstLineChars="200" w:firstLine="480"/>
        <w:rPr>
          <w:bCs/>
          <w:color w:val="191919"/>
          <w:sz w:val="24"/>
        </w:rPr>
      </w:pPr>
      <w:r>
        <w:rPr>
          <w:bCs/>
          <w:color w:val="191919"/>
          <w:sz w:val="24"/>
        </w:rPr>
        <w:t>a</w:t>
      </w:r>
      <w:r>
        <w:rPr>
          <w:rFonts w:hint="eastAsia"/>
          <w:bCs/>
          <w:color w:val="191919"/>
          <w:sz w:val="24"/>
        </w:rPr>
        <w:t>）</w:t>
      </w:r>
      <w:r>
        <w:rPr>
          <w:bCs/>
          <w:color w:val="191919"/>
          <w:sz w:val="24"/>
        </w:rPr>
        <w:t>操作错误。不按设计文件和施工组织要求的顺序施工、偷工减料、偷工减序、设备操作错误、易燃易爆品操作不</w:t>
      </w:r>
      <w:r>
        <w:rPr>
          <w:bCs/>
          <w:color w:val="191919"/>
          <w:sz w:val="24"/>
        </w:rPr>
        <w:t>当、多人配合作业不协调、空中抛掷物件、材料工具存放不当等。</w:t>
      </w:r>
    </w:p>
    <w:p w:rsidR="0073700B" w:rsidRDefault="001A2FFC" w:rsidP="00F80BAC">
      <w:pPr>
        <w:spacing w:beforeLines="50" w:before="156" w:line="360" w:lineRule="auto"/>
        <w:ind w:firstLineChars="200" w:firstLine="480"/>
        <w:rPr>
          <w:bCs/>
          <w:color w:val="191919"/>
          <w:sz w:val="24"/>
        </w:rPr>
      </w:pPr>
      <w:r>
        <w:rPr>
          <w:bCs/>
          <w:color w:val="191919"/>
          <w:sz w:val="24"/>
        </w:rPr>
        <w:t>b</w:t>
      </w:r>
      <w:r>
        <w:rPr>
          <w:rFonts w:hint="eastAsia"/>
          <w:bCs/>
          <w:color w:val="191919"/>
          <w:sz w:val="24"/>
        </w:rPr>
        <w:t>）</w:t>
      </w:r>
      <w:r>
        <w:rPr>
          <w:bCs/>
          <w:color w:val="191919"/>
          <w:sz w:val="24"/>
        </w:rPr>
        <w:t>违反安全规程。高处作业没有个人安全防护用品（安全带、安全帽、安全网）、设备带病运转不维修、设备外露旋转部分不加防护罩、隧道安全监测不到位、酒后作业等。</w:t>
      </w:r>
    </w:p>
    <w:p w:rsidR="0073700B" w:rsidRDefault="001A2FFC" w:rsidP="00F80BAC">
      <w:pPr>
        <w:spacing w:beforeLines="50" w:before="156" w:line="360" w:lineRule="auto"/>
        <w:ind w:firstLineChars="200" w:firstLine="480"/>
        <w:rPr>
          <w:bCs/>
          <w:color w:val="191919"/>
          <w:sz w:val="24"/>
        </w:rPr>
      </w:pPr>
      <w:r>
        <w:rPr>
          <w:bCs/>
          <w:color w:val="191919"/>
          <w:sz w:val="24"/>
        </w:rPr>
        <w:t>c</w:t>
      </w:r>
      <w:r>
        <w:rPr>
          <w:rFonts w:hint="eastAsia"/>
          <w:bCs/>
          <w:color w:val="191919"/>
          <w:sz w:val="24"/>
        </w:rPr>
        <w:t>）</w:t>
      </w:r>
      <w:r>
        <w:rPr>
          <w:bCs/>
          <w:color w:val="191919"/>
          <w:sz w:val="24"/>
        </w:rPr>
        <w:t>管理缺陷。主要从制度管理和现场管理两方面分析：</w:t>
      </w:r>
      <w:r>
        <w:rPr>
          <w:bCs/>
          <w:color w:val="191919"/>
          <w:sz w:val="24"/>
        </w:rPr>
        <w:t xml:space="preserve">1) </w:t>
      </w:r>
      <w:r>
        <w:rPr>
          <w:bCs/>
          <w:color w:val="191919"/>
          <w:sz w:val="24"/>
        </w:rPr>
        <w:t>制度管理：从安全管理机构、安全管理人员配备、安全管理责任制、安全培训、安全投入、事故处理、事故应急预案等方面分析；</w:t>
      </w:r>
      <w:r>
        <w:rPr>
          <w:bCs/>
          <w:color w:val="191919"/>
          <w:sz w:val="24"/>
        </w:rPr>
        <w:t xml:space="preserve">2) </w:t>
      </w:r>
      <w:r>
        <w:rPr>
          <w:bCs/>
          <w:color w:val="191919"/>
          <w:sz w:val="24"/>
        </w:rPr>
        <w:t>现场管理：现场安全巡查、安全隐患查处和事故应急处理等方面分析。</w:t>
      </w:r>
    </w:p>
    <w:p w:rsidR="0073700B" w:rsidRDefault="001A2FFC">
      <w:pPr>
        <w:pStyle w:val="a6"/>
        <w:rPr>
          <w:rFonts w:ascii="黑体" w:eastAsia="黑体" w:hAnsi="黑体"/>
          <w:b w:val="0"/>
          <w:bCs/>
        </w:rPr>
      </w:pPr>
      <w:bookmarkStart w:id="37" w:name="_Ref535833132"/>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w:instrText>
      </w:r>
      <w:r>
        <w:rPr>
          <w:rFonts w:ascii="黑体" w:eastAsia="黑体" w:hAnsi="黑体"/>
          <w:b w:val="0"/>
          <w:bCs/>
        </w:rPr>
        <w:instrText xml:space="preserve">\* ARABIC \s 3 </w:instrText>
      </w:r>
      <w:r>
        <w:rPr>
          <w:rFonts w:ascii="黑体" w:eastAsia="黑体" w:hAnsi="黑体"/>
          <w:b w:val="0"/>
          <w:bCs/>
        </w:rPr>
        <w:fldChar w:fldCharType="separate"/>
      </w:r>
      <w:r>
        <w:rPr>
          <w:rFonts w:ascii="黑体" w:eastAsia="黑体" w:hAnsi="黑体"/>
          <w:b w:val="0"/>
          <w:bCs/>
        </w:rPr>
        <w:t>2</w:t>
      </w:r>
      <w:r>
        <w:rPr>
          <w:rFonts w:ascii="黑体" w:eastAsia="黑体" w:hAnsi="黑体"/>
          <w:b w:val="0"/>
          <w:bCs/>
        </w:rPr>
        <w:fldChar w:fldCharType="end"/>
      </w:r>
      <w:bookmarkEnd w:id="37"/>
      <w:r>
        <w:rPr>
          <w:rFonts w:ascii="黑体" w:eastAsia="黑体" w:hAnsi="黑体"/>
          <w:b w:val="0"/>
          <w:bCs/>
        </w:rPr>
        <w:t xml:space="preserve">  </w:t>
      </w:r>
      <w:r>
        <w:rPr>
          <w:rFonts w:ascii="黑体" w:eastAsia="黑体" w:hAnsi="黑体"/>
          <w:b w:val="0"/>
          <w:bCs/>
        </w:rPr>
        <w:t>不安全行为分类</w:t>
      </w:r>
    </w:p>
    <w:tbl>
      <w:tblPr>
        <w:tblW w:w="8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6"/>
        <w:gridCol w:w="6254"/>
      </w:tblGrid>
      <w:tr w:rsidR="0073700B">
        <w:trPr>
          <w:jc w:val="center"/>
        </w:trPr>
        <w:tc>
          <w:tcPr>
            <w:tcW w:w="1836" w:type="dxa"/>
            <w:tcBorders>
              <w:top w:val="single" w:sz="8" w:space="0" w:color="auto"/>
              <w:bottom w:val="single" w:sz="8" w:space="0" w:color="auto"/>
            </w:tcBorders>
          </w:tcPr>
          <w:p w:rsidR="0073700B" w:rsidRDefault="001A2FFC">
            <w:pPr>
              <w:snapToGrid w:val="0"/>
              <w:jc w:val="center"/>
              <w:rPr>
                <w:bCs/>
              </w:rPr>
            </w:pPr>
            <w:r>
              <w:rPr>
                <w:bCs/>
              </w:rPr>
              <w:t>分类号</w:t>
            </w:r>
          </w:p>
        </w:tc>
        <w:tc>
          <w:tcPr>
            <w:tcW w:w="6254" w:type="dxa"/>
            <w:tcBorders>
              <w:top w:val="single" w:sz="8" w:space="0" w:color="auto"/>
              <w:bottom w:val="single" w:sz="8" w:space="0" w:color="auto"/>
            </w:tcBorders>
          </w:tcPr>
          <w:p w:rsidR="0073700B" w:rsidRDefault="001A2FFC">
            <w:pPr>
              <w:snapToGrid w:val="0"/>
              <w:jc w:val="center"/>
              <w:rPr>
                <w:bCs/>
              </w:rPr>
            </w:pPr>
            <w:r>
              <w:rPr>
                <w:bCs/>
              </w:rPr>
              <w:t>不安全行为</w:t>
            </w:r>
          </w:p>
        </w:tc>
      </w:tr>
      <w:tr w:rsidR="0073700B">
        <w:trPr>
          <w:jc w:val="center"/>
        </w:trPr>
        <w:tc>
          <w:tcPr>
            <w:tcW w:w="1836" w:type="dxa"/>
            <w:tcBorders>
              <w:top w:val="single" w:sz="8" w:space="0" w:color="auto"/>
            </w:tcBorders>
          </w:tcPr>
          <w:p w:rsidR="0073700B" w:rsidRDefault="001A2FFC">
            <w:pPr>
              <w:snapToGrid w:val="0"/>
              <w:spacing w:line="271" w:lineRule="auto"/>
              <w:rPr>
                <w:bCs/>
              </w:rPr>
            </w:pPr>
            <w:r>
              <w:rPr>
                <w:bCs/>
              </w:rPr>
              <w:t>7.01</w:t>
            </w:r>
          </w:p>
          <w:p w:rsidR="0073700B" w:rsidRDefault="001A2FFC">
            <w:pPr>
              <w:snapToGrid w:val="0"/>
              <w:spacing w:line="271" w:lineRule="auto"/>
              <w:rPr>
                <w:bCs/>
              </w:rPr>
            </w:pPr>
            <w:r>
              <w:rPr>
                <w:bCs/>
              </w:rPr>
              <w:t>7.01.1</w:t>
            </w:r>
          </w:p>
          <w:p w:rsidR="0073700B" w:rsidRDefault="001A2FFC">
            <w:pPr>
              <w:snapToGrid w:val="0"/>
              <w:spacing w:line="271" w:lineRule="auto"/>
              <w:rPr>
                <w:bCs/>
              </w:rPr>
            </w:pPr>
            <w:r>
              <w:rPr>
                <w:bCs/>
              </w:rPr>
              <w:t>7.01.2</w:t>
            </w:r>
          </w:p>
          <w:p w:rsidR="0073700B" w:rsidRDefault="001A2FFC">
            <w:pPr>
              <w:snapToGrid w:val="0"/>
              <w:spacing w:line="271" w:lineRule="auto"/>
              <w:rPr>
                <w:bCs/>
              </w:rPr>
            </w:pPr>
            <w:r>
              <w:rPr>
                <w:bCs/>
              </w:rPr>
              <w:t>7.01.3</w:t>
            </w:r>
          </w:p>
          <w:p w:rsidR="0073700B" w:rsidRDefault="001A2FFC">
            <w:pPr>
              <w:snapToGrid w:val="0"/>
              <w:spacing w:line="271" w:lineRule="auto"/>
              <w:rPr>
                <w:bCs/>
              </w:rPr>
            </w:pPr>
            <w:r>
              <w:rPr>
                <w:bCs/>
              </w:rPr>
              <w:t>7.01.4</w:t>
            </w:r>
          </w:p>
          <w:p w:rsidR="0073700B" w:rsidRDefault="001A2FFC">
            <w:pPr>
              <w:snapToGrid w:val="0"/>
              <w:spacing w:line="271" w:lineRule="auto"/>
              <w:rPr>
                <w:bCs/>
              </w:rPr>
            </w:pPr>
            <w:r>
              <w:rPr>
                <w:bCs/>
              </w:rPr>
              <w:t>7.01.5</w:t>
            </w:r>
          </w:p>
          <w:p w:rsidR="0073700B" w:rsidRDefault="001A2FFC">
            <w:pPr>
              <w:snapToGrid w:val="0"/>
              <w:spacing w:line="271" w:lineRule="auto"/>
              <w:rPr>
                <w:bCs/>
              </w:rPr>
            </w:pPr>
            <w:r>
              <w:rPr>
                <w:bCs/>
              </w:rPr>
              <w:t>7.01.6</w:t>
            </w:r>
          </w:p>
          <w:p w:rsidR="0073700B" w:rsidRDefault="001A2FFC">
            <w:pPr>
              <w:snapToGrid w:val="0"/>
              <w:spacing w:line="271" w:lineRule="auto"/>
              <w:rPr>
                <w:bCs/>
              </w:rPr>
            </w:pPr>
            <w:r>
              <w:rPr>
                <w:bCs/>
              </w:rPr>
              <w:t>7.01.7</w:t>
            </w:r>
          </w:p>
          <w:p w:rsidR="0073700B" w:rsidRDefault="001A2FFC">
            <w:pPr>
              <w:snapToGrid w:val="0"/>
              <w:spacing w:line="271" w:lineRule="auto"/>
              <w:rPr>
                <w:bCs/>
              </w:rPr>
            </w:pPr>
            <w:r>
              <w:rPr>
                <w:bCs/>
              </w:rPr>
              <w:t>7.01.8</w:t>
            </w:r>
          </w:p>
          <w:p w:rsidR="0073700B" w:rsidRDefault="001A2FFC">
            <w:pPr>
              <w:snapToGrid w:val="0"/>
              <w:spacing w:line="271" w:lineRule="auto"/>
              <w:rPr>
                <w:bCs/>
              </w:rPr>
            </w:pPr>
            <w:r>
              <w:rPr>
                <w:bCs/>
              </w:rPr>
              <w:lastRenderedPageBreak/>
              <w:t>7.01.9</w:t>
            </w:r>
          </w:p>
          <w:p w:rsidR="0073700B" w:rsidRDefault="001A2FFC">
            <w:pPr>
              <w:snapToGrid w:val="0"/>
              <w:spacing w:line="271" w:lineRule="auto"/>
              <w:rPr>
                <w:bCs/>
              </w:rPr>
            </w:pPr>
            <w:r>
              <w:rPr>
                <w:bCs/>
              </w:rPr>
              <w:t>7.01.10</w:t>
            </w:r>
          </w:p>
          <w:p w:rsidR="0073700B" w:rsidRDefault="001A2FFC">
            <w:pPr>
              <w:snapToGrid w:val="0"/>
              <w:spacing w:line="271" w:lineRule="auto"/>
              <w:rPr>
                <w:bCs/>
              </w:rPr>
            </w:pPr>
            <w:r>
              <w:rPr>
                <w:bCs/>
              </w:rPr>
              <w:t>7.01.11</w:t>
            </w:r>
          </w:p>
          <w:p w:rsidR="0073700B" w:rsidRDefault="001A2FFC">
            <w:pPr>
              <w:snapToGrid w:val="0"/>
              <w:spacing w:line="271" w:lineRule="auto"/>
              <w:rPr>
                <w:bCs/>
              </w:rPr>
            </w:pPr>
            <w:r>
              <w:rPr>
                <w:bCs/>
              </w:rPr>
              <w:t>7.01.12</w:t>
            </w:r>
          </w:p>
          <w:p w:rsidR="0073700B" w:rsidRDefault="001A2FFC">
            <w:pPr>
              <w:snapToGrid w:val="0"/>
              <w:spacing w:line="271" w:lineRule="auto"/>
              <w:rPr>
                <w:bCs/>
              </w:rPr>
            </w:pPr>
            <w:r>
              <w:rPr>
                <w:bCs/>
              </w:rPr>
              <w:t>7.01.13</w:t>
            </w:r>
          </w:p>
          <w:p w:rsidR="0073700B" w:rsidRDefault="001A2FFC">
            <w:pPr>
              <w:snapToGrid w:val="0"/>
              <w:spacing w:line="271" w:lineRule="auto"/>
              <w:rPr>
                <w:bCs/>
              </w:rPr>
            </w:pPr>
            <w:r>
              <w:rPr>
                <w:bCs/>
              </w:rPr>
              <w:t>7.01.14</w:t>
            </w:r>
          </w:p>
          <w:p w:rsidR="0073700B" w:rsidRDefault="001A2FFC">
            <w:pPr>
              <w:snapToGrid w:val="0"/>
              <w:spacing w:line="271" w:lineRule="auto"/>
              <w:rPr>
                <w:bCs/>
              </w:rPr>
            </w:pPr>
            <w:r>
              <w:rPr>
                <w:bCs/>
              </w:rPr>
              <w:t>7.01.15</w:t>
            </w:r>
          </w:p>
          <w:p w:rsidR="0073700B" w:rsidRDefault="001A2FFC">
            <w:pPr>
              <w:snapToGrid w:val="0"/>
              <w:spacing w:line="271" w:lineRule="auto"/>
              <w:rPr>
                <w:bCs/>
              </w:rPr>
            </w:pPr>
            <w:r>
              <w:rPr>
                <w:bCs/>
              </w:rPr>
              <w:t>7.01.16</w:t>
            </w:r>
          </w:p>
          <w:p w:rsidR="0073700B" w:rsidRDefault="001A2FFC">
            <w:pPr>
              <w:snapToGrid w:val="0"/>
              <w:spacing w:line="271" w:lineRule="auto"/>
              <w:rPr>
                <w:bCs/>
              </w:rPr>
            </w:pPr>
            <w:r>
              <w:rPr>
                <w:bCs/>
              </w:rPr>
              <w:t>7.02</w:t>
            </w:r>
          </w:p>
          <w:p w:rsidR="0073700B" w:rsidRDefault="001A2FFC">
            <w:pPr>
              <w:snapToGrid w:val="0"/>
              <w:spacing w:line="271" w:lineRule="auto"/>
              <w:rPr>
                <w:bCs/>
              </w:rPr>
            </w:pPr>
            <w:r>
              <w:rPr>
                <w:bCs/>
              </w:rPr>
              <w:t>7.02.1</w:t>
            </w:r>
          </w:p>
          <w:p w:rsidR="0073700B" w:rsidRDefault="001A2FFC">
            <w:pPr>
              <w:snapToGrid w:val="0"/>
              <w:spacing w:line="271" w:lineRule="auto"/>
              <w:rPr>
                <w:bCs/>
              </w:rPr>
            </w:pPr>
            <w:r>
              <w:rPr>
                <w:bCs/>
              </w:rPr>
              <w:t>7.02.2</w:t>
            </w:r>
          </w:p>
          <w:p w:rsidR="0073700B" w:rsidRDefault="001A2FFC">
            <w:pPr>
              <w:snapToGrid w:val="0"/>
              <w:spacing w:line="271" w:lineRule="auto"/>
              <w:rPr>
                <w:bCs/>
              </w:rPr>
            </w:pPr>
            <w:r>
              <w:rPr>
                <w:bCs/>
              </w:rPr>
              <w:t>7.02.3</w:t>
            </w:r>
          </w:p>
          <w:p w:rsidR="0073700B" w:rsidRDefault="001A2FFC">
            <w:pPr>
              <w:snapToGrid w:val="0"/>
              <w:spacing w:line="271" w:lineRule="auto"/>
              <w:rPr>
                <w:bCs/>
              </w:rPr>
            </w:pPr>
            <w:r>
              <w:rPr>
                <w:bCs/>
              </w:rPr>
              <w:t>7.02.4</w:t>
            </w:r>
          </w:p>
          <w:p w:rsidR="0073700B" w:rsidRDefault="001A2FFC">
            <w:pPr>
              <w:snapToGrid w:val="0"/>
              <w:spacing w:line="271" w:lineRule="auto"/>
              <w:rPr>
                <w:bCs/>
              </w:rPr>
            </w:pPr>
            <w:r>
              <w:rPr>
                <w:bCs/>
              </w:rPr>
              <w:t>7.03</w:t>
            </w:r>
          </w:p>
          <w:p w:rsidR="0073700B" w:rsidRDefault="001A2FFC">
            <w:pPr>
              <w:snapToGrid w:val="0"/>
              <w:spacing w:line="271" w:lineRule="auto"/>
              <w:rPr>
                <w:bCs/>
              </w:rPr>
            </w:pPr>
            <w:r>
              <w:rPr>
                <w:bCs/>
              </w:rPr>
              <w:t>7.03.1</w:t>
            </w:r>
          </w:p>
          <w:p w:rsidR="0073700B" w:rsidRDefault="001A2FFC">
            <w:pPr>
              <w:snapToGrid w:val="0"/>
              <w:spacing w:line="271" w:lineRule="auto"/>
              <w:rPr>
                <w:bCs/>
              </w:rPr>
            </w:pPr>
            <w:r>
              <w:rPr>
                <w:bCs/>
              </w:rPr>
              <w:t>7.03.2</w:t>
            </w:r>
          </w:p>
          <w:p w:rsidR="0073700B" w:rsidRDefault="001A2FFC">
            <w:pPr>
              <w:snapToGrid w:val="0"/>
              <w:spacing w:line="271" w:lineRule="auto"/>
              <w:rPr>
                <w:bCs/>
              </w:rPr>
            </w:pPr>
            <w:r>
              <w:rPr>
                <w:bCs/>
              </w:rPr>
              <w:t>7.03.3</w:t>
            </w:r>
          </w:p>
          <w:p w:rsidR="0073700B" w:rsidRDefault="001A2FFC">
            <w:pPr>
              <w:snapToGrid w:val="0"/>
              <w:spacing w:line="271" w:lineRule="auto"/>
              <w:rPr>
                <w:bCs/>
              </w:rPr>
            </w:pPr>
            <w:r>
              <w:rPr>
                <w:bCs/>
              </w:rPr>
              <w:t>7.04</w:t>
            </w:r>
          </w:p>
          <w:p w:rsidR="0073700B" w:rsidRDefault="001A2FFC">
            <w:pPr>
              <w:snapToGrid w:val="0"/>
              <w:spacing w:line="271" w:lineRule="auto"/>
              <w:rPr>
                <w:bCs/>
              </w:rPr>
            </w:pPr>
            <w:r>
              <w:rPr>
                <w:bCs/>
              </w:rPr>
              <w:t>7.04.1</w:t>
            </w:r>
          </w:p>
          <w:p w:rsidR="0073700B" w:rsidRDefault="001A2FFC">
            <w:pPr>
              <w:snapToGrid w:val="0"/>
              <w:spacing w:line="271" w:lineRule="auto"/>
              <w:rPr>
                <w:bCs/>
              </w:rPr>
            </w:pPr>
            <w:r>
              <w:rPr>
                <w:bCs/>
              </w:rPr>
              <w:t>7.04.2</w:t>
            </w:r>
          </w:p>
          <w:p w:rsidR="0073700B" w:rsidRDefault="001A2FFC">
            <w:pPr>
              <w:snapToGrid w:val="0"/>
              <w:spacing w:line="271" w:lineRule="auto"/>
              <w:rPr>
                <w:bCs/>
              </w:rPr>
            </w:pPr>
            <w:r>
              <w:rPr>
                <w:bCs/>
              </w:rPr>
              <w:t>7.04.3</w:t>
            </w:r>
          </w:p>
          <w:p w:rsidR="0073700B" w:rsidRDefault="001A2FFC">
            <w:pPr>
              <w:snapToGrid w:val="0"/>
              <w:spacing w:line="271" w:lineRule="auto"/>
              <w:rPr>
                <w:bCs/>
              </w:rPr>
            </w:pPr>
            <w:r>
              <w:rPr>
                <w:bCs/>
              </w:rPr>
              <w:t>7.05</w:t>
            </w:r>
          </w:p>
          <w:p w:rsidR="0073700B" w:rsidRDefault="001A2FFC">
            <w:pPr>
              <w:snapToGrid w:val="0"/>
              <w:spacing w:line="271" w:lineRule="auto"/>
              <w:rPr>
                <w:bCs/>
              </w:rPr>
            </w:pPr>
            <w:r>
              <w:rPr>
                <w:bCs/>
              </w:rPr>
              <w:t>7.06</w:t>
            </w:r>
          </w:p>
          <w:p w:rsidR="0073700B" w:rsidRDefault="001A2FFC">
            <w:pPr>
              <w:snapToGrid w:val="0"/>
              <w:spacing w:line="271" w:lineRule="auto"/>
              <w:rPr>
                <w:bCs/>
              </w:rPr>
            </w:pPr>
            <w:r>
              <w:rPr>
                <w:bCs/>
              </w:rPr>
              <w:t>7.06.1</w:t>
            </w:r>
          </w:p>
          <w:p w:rsidR="0073700B" w:rsidRDefault="001A2FFC">
            <w:pPr>
              <w:snapToGrid w:val="0"/>
              <w:spacing w:line="271" w:lineRule="auto"/>
              <w:rPr>
                <w:bCs/>
              </w:rPr>
            </w:pPr>
            <w:r>
              <w:rPr>
                <w:bCs/>
              </w:rPr>
              <w:t>7.06.2</w:t>
            </w:r>
          </w:p>
          <w:p w:rsidR="0073700B" w:rsidRDefault="001A2FFC">
            <w:pPr>
              <w:snapToGrid w:val="0"/>
              <w:spacing w:line="271" w:lineRule="auto"/>
              <w:rPr>
                <w:bCs/>
              </w:rPr>
            </w:pPr>
            <w:r>
              <w:rPr>
                <w:bCs/>
              </w:rPr>
              <w:t>7.06.3</w:t>
            </w:r>
          </w:p>
          <w:p w:rsidR="0073700B" w:rsidRDefault="001A2FFC">
            <w:pPr>
              <w:snapToGrid w:val="0"/>
              <w:spacing w:line="271" w:lineRule="auto"/>
              <w:rPr>
                <w:bCs/>
              </w:rPr>
            </w:pPr>
            <w:r>
              <w:rPr>
                <w:bCs/>
              </w:rPr>
              <w:t>7.06.4</w:t>
            </w:r>
          </w:p>
          <w:p w:rsidR="0073700B" w:rsidRDefault="001A2FFC">
            <w:pPr>
              <w:snapToGrid w:val="0"/>
              <w:spacing w:line="271" w:lineRule="auto"/>
              <w:rPr>
                <w:bCs/>
              </w:rPr>
            </w:pPr>
            <w:r>
              <w:rPr>
                <w:bCs/>
              </w:rPr>
              <w:t>7.06.5</w:t>
            </w:r>
          </w:p>
          <w:p w:rsidR="0073700B" w:rsidRDefault="001A2FFC">
            <w:pPr>
              <w:snapToGrid w:val="0"/>
              <w:spacing w:line="271" w:lineRule="auto"/>
              <w:rPr>
                <w:bCs/>
              </w:rPr>
            </w:pPr>
            <w:r>
              <w:rPr>
                <w:bCs/>
              </w:rPr>
              <w:t>7.06.6</w:t>
            </w:r>
          </w:p>
          <w:p w:rsidR="0073700B" w:rsidRDefault="001A2FFC">
            <w:pPr>
              <w:snapToGrid w:val="0"/>
              <w:spacing w:line="271" w:lineRule="auto"/>
              <w:rPr>
                <w:bCs/>
              </w:rPr>
            </w:pPr>
            <w:r>
              <w:rPr>
                <w:bCs/>
              </w:rPr>
              <w:t>7.06.7</w:t>
            </w:r>
          </w:p>
          <w:p w:rsidR="0073700B" w:rsidRDefault="001A2FFC">
            <w:pPr>
              <w:snapToGrid w:val="0"/>
              <w:spacing w:line="271" w:lineRule="auto"/>
              <w:rPr>
                <w:bCs/>
              </w:rPr>
            </w:pPr>
            <w:r>
              <w:rPr>
                <w:bCs/>
              </w:rPr>
              <w:t>7.06.8</w:t>
            </w:r>
          </w:p>
          <w:p w:rsidR="0073700B" w:rsidRDefault="001A2FFC">
            <w:pPr>
              <w:snapToGrid w:val="0"/>
              <w:spacing w:line="271" w:lineRule="auto"/>
              <w:rPr>
                <w:bCs/>
              </w:rPr>
            </w:pPr>
            <w:r>
              <w:rPr>
                <w:bCs/>
              </w:rPr>
              <w:t>7.06.9</w:t>
            </w:r>
          </w:p>
          <w:p w:rsidR="0073700B" w:rsidRDefault="001A2FFC">
            <w:pPr>
              <w:snapToGrid w:val="0"/>
              <w:spacing w:line="271" w:lineRule="auto"/>
              <w:rPr>
                <w:bCs/>
              </w:rPr>
            </w:pPr>
            <w:r>
              <w:rPr>
                <w:bCs/>
              </w:rPr>
              <w:t>7.06.10</w:t>
            </w:r>
          </w:p>
          <w:p w:rsidR="0073700B" w:rsidRDefault="001A2FFC">
            <w:pPr>
              <w:snapToGrid w:val="0"/>
              <w:spacing w:line="271" w:lineRule="auto"/>
              <w:rPr>
                <w:bCs/>
              </w:rPr>
            </w:pPr>
            <w:r>
              <w:rPr>
                <w:bCs/>
              </w:rPr>
              <w:t>7.06.11</w:t>
            </w:r>
          </w:p>
          <w:p w:rsidR="0073700B" w:rsidRDefault="001A2FFC">
            <w:pPr>
              <w:snapToGrid w:val="0"/>
              <w:spacing w:line="271" w:lineRule="auto"/>
              <w:rPr>
                <w:bCs/>
              </w:rPr>
            </w:pPr>
            <w:r>
              <w:rPr>
                <w:bCs/>
              </w:rPr>
              <w:t>7.07</w:t>
            </w:r>
          </w:p>
          <w:p w:rsidR="0073700B" w:rsidRDefault="001A2FFC">
            <w:pPr>
              <w:snapToGrid w:val="0"/>
              <w:spacing w:line="271" w:lineRule="auto"/>
              <w:rPr>
                <w:bCs/>
              </w:rPr>
            </w:pPr>
            <w:r>
              <w:rPr>
                <w:bCs/>
              </w:rPr>
              <w:t>7.08</w:t>
            </w:r>
          </w:p>
          <w:p w:rsidR="0073700B" w:rsidRDefault="001A2FFC">
            <w:pPr>
              <w:snapToGrid w:val="0"/>
              <w:spacing w:line="271" w:lineRule="auto"/>
              <w:rPr>
                <w:bCs/>
              </w:rPr>
            </w:pPr>
            <w:r>
              <w:rPr>
                <w:bCs/>
              </w:rPr>
              <w:t>7.09</w:t>
            </w:r>
          </w:p>
          <w:p w:rsidR="0073700B" w:rsidRDefault="001A2FFC">
            <w:pPr>
              <w:snapToGrid w:val="0"/>
              <w:spacing w:line="271" w:lineRule="auto"/>
              <w:rPr>
                <w:bCs/>
              </w:rPr>
            </w:pPr>
            <w:r>
              <w:rPr>
                <w:bCs/>
              </w:rPr>
              <w:t>7.10</w:t>
            </w:r>
          </w:p>
          <w:p w:rsidR="0073700B" w:rsidRDefault="001A2FFC">
            <w:pPr>
              <w:snapToGrid w:val="0"/>
              <w:spacing w:line="271" w:lineRule="auto"/>
              <w:rPr>
                <w:bCs/>
              </w:rPr>
            </w:pPr>
            <w:r>
              <w:rPr>
                <w:bCs/>
              </w:rPr>
              <w:t>7.11</w:t>
            </w:r>
          </w:p>
          <w:p w:rsidR="0073700B" w:rsidRDefault="001A2FFC">
            <w:pPr>
              <w:snapToGrid w:val="0"/>
              <w:spacing w:line="271" w:lineRule="auto"/>
              <w:rPr>
                <w:bCs/>
              </w:rPr>
            </w:pPr>
            <w:r>
              <w:rPr>
                <w:bCs/>
              </w:rPr>
              <w:t>7.11.1</w:t>
            </w:r>
          </w:p>
          <w:p w:rsidR="0073700B" w:rsidRDefault="001A2FFC">
            <w:pPr>
              <w:snapToGrid w:val="0"/>
              <w:spacing w:line="271" w:lineRule="auto"/>
              <w:rPr>
                <w:bCs/>
              </w:rPr>
            </w:pPr>
            <w:r>
              <w:rPr>
                <w:bCs/>
              </w:rPr>
              <w:t>7.11.2</w:t>
            </w:r>
          </w:p>
          <w:p w:rsidR="0073700B" w:rsidRDefault="001A2FFC">
            <w:pPr>
              <w:snapToGrid w:val="0"/>
              <w:spacing w:line="271" w:lineRule="auto"/>
              <w:rPr>
                <w:bCs/>
              </w:rPr>
            </w:pPr>
            <w:r>
              <w:rPr>
                <w:bCs/>
              </w:rPr>
              <w:t>7.11.3</w:t>
            </w:r>
          </w:p>
          <w:p w:rsidR="0073700B" w:rsidRDefault="001A2FFC">
            <w:pPr>
              <w:snapToGrid w:val="0"/>
              <w:spacing w:line="271" w:lineRule="auto"/>
              <w:rPr>
                <w:bCs/>
              </w:rPr>
            </w:pPr>
            <w:r>
              <w:rPr>
                <w:bCs/>
              </w:rPr>
              <w:t>7.11.4</w:t>
            </w:r>
          </w:p>
          <w:p w:rsidR="0073700B" w:rsidRDefault="001A2FFC">
            <w:pPr>
              <w:snapToGrid w:val="0"/>
              <w:spacing w:line="271" w:lineRule="auto"/>
              <w:rPr>
                <w:bCs/>
              </w:rPr>
            </w:pPr>
            <w:r>
              <w:rPr>
                <w:bCs/>
              </w:rPr>
              <w:t>7.11.5</w:t>
            </w:r>
          </w:p>
          <w:p w:rsidR="0073700B" w:rsidRDefault="001A2FFC">
            <w:pPr>
              <w:snapToGrid w:val="0"/>
              <w:spacing w:line="271" w:lineRule="auto"/>
              <w:rPr>
                <w:bCs/>
              </w:rPr>
            </w:pPr>
            <w:r>
              <w:rPr>
                <w:bCs/>
              </w:rPr>
              <w:t>7.11.6</w:t>
            </w:r>
          </w:p>
          <w:p w:rsidR="0073700B" w:rsidRDefault="001A2FFC">
            <w:pPr>
              <w:snapToGrid w:val="0"/>
              <w:spacing w:line="271" w:lineRule="auto"/>
              <w:rPr>
                <w:bCs/>
              </w:rPr>
            </w:pPr>
            <w:r>
              <w:rPr>
                <w:bCs/>
              </w:rPr>
              <w:t>7.11.7</w:t>
            </w:r>
          </w:p>
          <w:p w:rsidR="0073700B" w:rsidRDefault="001A2FFC">
            <w:pPr>
              <w:snapToGrid w:val="0"/>
              <w:spacing w:line="271" w:lineRule="auto"/>
              <w:rPr>
                <w:bCs/>
              </w:rPr>
            </w:pPr>
            <w:r>
              <w:rPr>
                <w:bCs/>
              </w:rPr>
              <w:t>7.11.8</w:t>
            </w:r>
          </w:p>
          <w:p w:rsidR="0073700B" w:rsidRDefault="001A2FFC">
            <w:pPr>
              <w:snapToGrid w:val="0"/>
              <w:spacing w:line="271" w:lineRule="auto"/>
              <w:rPr>
                <w:bCs/>
              </w:rPr>
            </w:pPr>
            <w:r>
              <w:rPr>
                <w:bCs/>
              </w:rPr>
              <w:t>7.12</w:t>
            </w:r>
          </w:p>
          <w:p w:rsidR="0073700B" w:rsidRDefault="001A2FFC">
            <w:pPr>
              <w:snapToGrid w:val="0"/>
              <w:spacing w:line="271" w:lineRule="auto"/>
              <w:rPr>
                <w:bCs/>
              </w:rPr>
            </w:pPr>
            <w:r>
              <w:rPr>
                <w:bCs/>
              </w:rPr>
              <w:t>7.12.1</w:t>
            </w:r>
          </w:p>
          <w:p w:rsidR="0073700B" w:rsidRDefault="001A2FFC">
            <w:pPr>
              <w:snapToGrid w:val="0"/>
              <w:spacing w:line="271" w:lineRule="auto"/>
              <w:rPr>
                <w:bCs/>
              </w:rPr>
            </w:pPr>
            <w:r>
              <w:rPr>
                <w:bCs/>
              </w:rPr>
              <w:lastRenderedPageBreak/>
              <w:t>7.12.2</w:t>
            </w:r>
          </w:p>
          <w:p w:rsidR="0073700B" w:rsidRDefault="001A2FFC">
            <w:pPr>
              <w:snapToGrid w:val="0"/>
              <w:spacing w:line="271" w:lineRule="auto"/>
              <w:rPr>
                <w:bCs/>
              </w:rPr>
            </w:pPr>
            <w:r>
              <w:rPr>
                <w:bCs/>
              </w:rPr>
              <w:t>7.12.3</w:t>
            </w:r>
          </w:p>
          <w:p w:rsidR="0073700B" w:rsidRDefault="001A2FFC">
            <w:pPr>
              <w:snapToGrid w:val="0"/>
              <w:spacing w:line="271" w:lineRule="auto"/>
              <w:rPr>
                <w:bCs/>
              </w:rPr>
            </w:pPr>
            <w:r>
              <w:rPr>
                <w:bCs/>
              </w:rPr>
              <w:t>7.13</w:t>
            </w:r>
          </w:p>
        </w:tc>
        <w:tc>
          <w:tcPr>
            <w:tcW w:w="6254" w:type="dxa"/>
            <w:tcBorders>
              <w:top w:val="single" w:sz="8" w:space="0" w:color="auto"/>
            </w:tcBorders>
          </w:tcPr>
          <w:p w:rsidR="0073700B" w:rsidRDefault="001A2FFC">
            <w:pPr>
              <w:snapToGrid w:val="0"/>
              <w:rPr>
                <w:bCs/>
              </w:rPr>
            </w:pPr>
            <w:r>
              <w:rPr>
                <w:bCs/>
              </w:rPr>
              <w:lastRenderedPageBreak/>
              <w:t>操作错误、忽视安全、忽视警告</w:t>
            </w:r>
          </w:p>
          <w:p w:rsidR="0073700B" w:rsidRDefault="001A2FFC">
            <w:pPr>
              <w:snapToGrid w:val="0"/>
              <w:rPr>
                <w:bCs/>
              </w:rPr>
            </w:pPr>
            <w:r>
              <w:rPr>
                <w:bCs/>
              </w:rPr>
              <w:t>未经许可开动、关停、移动机器</w:t>
            </w:r>
          </w:p>
          <w:p w:rsidR="0073700B" w:rsidRDefault="001A2FFC">
            <w:pPr>
              <w:snapToGrid w:val="0"/>
              <w:rPr>
                <w:bCs/>
              </w:rPr>
            </w:pPr>
            <w:r>
              <w:rPr>
                <w:bCs/>
              </w:rPr>
              <w:t>开动、关停机器时未给信号</w:t>
            </w:r>
          </w:p>
          <w:p w:rsidR="0073700B" w:rsidRDefault="001A2FFC">
            <w:pPr>
              <w:snapToGrid w:val="0"/>
              <w:rPr>
                <w:bCs/>
              </w:rPr>
            </w:pPr>
            <w:r>
              <w:rPr>
                <w:bCs/>
              </w:rPr>
              <w:t>开关未锁紧，造成意外转动、通电、或泄漏等</w:t>
            </w:r>
          </w:p>
          <w:p w:rsidR="0073700B" w:rsidRDefault="001A2FFC">
            <w:pPr>
              <w:snapToGrid w:val="0"/>
              <w:rPr>
                <w:bCs/>
              </w:rPr>
            </w:pPr>
            <w:r>
              <w:rPr>
                <w:bCs/>
              </w:rPr>
              <w:t>忘记关闭设备</w:t>
            </w:r>
          </w:p>
          <w:p w:rsidR="0073700B" w:rsidRDefault="001A2FFC">
            <w:pPr>
              <w:snapToGrid w:val="0"/>
              <w:rPr>
                <w:bCs/>
              </w:rPr>
            </w:pPr>
            <w:r>
              <w:rPr>
                <w:bCs/>
              </w:rPr>
              <w:t>忽视警告标志、警告信号</w:t>
            </w:r>
          </w:p>
          <w:p w:rsidR="0073700B" w:rsidRDefault="001A2FFC">
            <w:pPr>
              <w:snapToGrid w:val="0"/>
              <w:rPr>
                <w:bCs/>
              </w:rPr>
            </w:pPr>
            <w:r>
              <w:rPr>
                <w:bCs/>
              </w:rPr>
              <w:t>操作错误</w:t>
            </w:r>
            <w:r>
              <w:rPr>
                <w:bCs/>
              </w:rPr>
              <w:t>(</w:t>
            </w:r>
            <w:r>
              <w:rPr>
                <w:bCs/>
              </w:rPr>
              <w:t>指按钮、阀门、搬手、把柄等的操作</w:t>
            </w:r>
            <w:r>
              <w:rPr>
                <w:bCs/>
              </w:rPr>
              <w:t>)</w:t>
            </w:r>
          </w:p>
          <w:p w:rsidR="0073700B" w:rsidRDefault="001A2FFC">
            <w:pPr>
              <w:snapToGrid w:val="0"/>
              <w:rPr>
                <w:bCs/>
              </w:rPr>
            </w:pPr>
            <w:r>
              <w:rPr>
                <w:bCs/>
              </w:rPr>
              <w:t>奔跑作业</w:t>
            </w:r>
          </w:p>
          <w:p w:rsidR="0073700B" w:rsidRDefault="001A2FFC">
            <w:pPr>
              <w:snapToGrid w:val="0"/>
              <w:rPr>
                <w:bCs/>
              </w:rPr>
            </w:pPr>
            <w:r>
              <w:rPr>
                <w:bCs/>
              </w:rPr>
              <w:t>供料或送料速度过快</w:t>
            </w:r>
          </w:p>
          <w:p w:rsidR="0073700B" w:rsidRDefault="001A2FFC">
            <w:pPr>
              <w:snapToGrid w:val="0"/>
              <w:rPr>
                <w:bCs/>
              </w:rPr>
            </w:pPr>
            <w:r>
              <w:rPr>
                <w:bCs/>
              </w:rPr>
              <w:lastRenderedPageBreak/>
              <w:t>机器超速运转</w:t>
            </w:r>
          </w:p>
          <w:p w:rsidR="0073700B" w:rsidRDefault="001A2FFC">
            <w:pPr>
              <w:snapToGrid w:val="0"/>
              <w:rPr>
                <w:bCs/>
              </w:rPr>
            </w:pPr>
            <w:r>
              <w:rPr>
                <w:bCs/>
              </w:rPr>
              <w:t>违章驾驶机动车</w:t>
            </w:r>
          </w:p>
          <w:p w:rsidR="0073700B" w:rsidRDefault="001A2FFC">
            <w:pPr>
              <w:snapToGrid w:val="0"/>
              <w:rPr>
                <w:bCs/>
              </w:rPr>
            </w:pPr>
            <w:r>
              <w:rPr>
                <w:bCs/>
              </w:rPr>
              <w:t>酒后作业</w:t>
            </w:r>
          </w:p>
          <w:p w:rsidR="0073700B" w:rsidRDefault="001A2FFC">
            <w:pPr>
              <w:snapToGrid w:val="0"/>
              <w:rPr>
                <w:bCs/>
              </w:rPr>
            </w:pPr>
            <w:r>
              <w:rPr>
                <w:bCs/>
              </w:rPr>
              <w:t>客货混载</w:t>
            </w:r>
          </w:p>
          <w:p w:rsidR="0073700B" w:rsidRDefault="001A2FFC">
            <w:pPr>
              <w:snapToGrid w:val="0"/>
              <w:rPr>
                <w:bCs/>
              </w:rPr>
            </w:pPr>
            <w:r>
              <w:rPr>
                <w:bCs/>
              </w:rPr>
              <w:t>冲压机作业时，手伸进冲压模</w:t>
            </w:r>
          </w:p>
          <w:p w:rsidR="0073700B" w:rsidRDefault="001A2FFC">
            <w:pPr>
              <w:snapToGrid w:val="0"/>
              <w:rPr>
                <w:bCs/>
              </w:rPr>
            </w:pPr>
            <w:r>
              <w:rPr>
                <w:bCs/>
              </w:rPr>
              <w:t>工件紧固不牢</w:t>
            </w:r>
          </w:p>
          <w:p w:rsidR="0073700B" w:rsidRDefault="001A2FFC">
            <w:pPr>
              <w:snapToGrid w:val="0"/>
              <w:rPr>
                <w:bCs/>
              </w:rPr>
            </w:pPr>
            <w:r>
              <w:rPr>
                <w:bCs/>
              </w:rPr>
              <w:t>压缩空气吹铁屑</w:t>
            </w:r>
          </w:p>
          <w:p w:rsidR="0073700B" w:rsidRDefault="001A2FFC">
            <w:pPr>
              <w:snapToGrid w:val="0"/>
              <w:rPr>
                <w:bCs/>
              </w:rPr>
            </w:pPr>
            <w:r>
              <w:rPr>
                <w:bCs/>
              </w:rPr>
              <w:t>其它</w:t>
            </w:r>
          </w:p>
          <w:p w:rsidR="0073700B" w:rsidRDefault="001A2FFC">
            <w:pPr>
              <w:snapToGrid w:val="0"/>
              <w:rPr>
                <w:bCs/>
              </w:rPr>
            </w:pPr>
            <w:r>
              <w:rPr>
                <w:bCs/>
              </w:rPr>
              <w:t>造成安全装置失效</w:t>
            </w:r>
          </w:p>
          <w:p w:rsidR="0073700B" w:rsidRDefault="001A2FFC">
            <w:pPr>
              <w:snapToGrid w:val="0"/>
              <w:rPr>
                <w:bCs/>
              </w:rPr>
            </w:pPr>
            <w:r>
              <w:rPr>
                <w:bCs/>
              </w:rPr>
              <w:t>拆除了安全装置</w:t>
            </w:r>
          </w:p>
          <w:p w:rsidR="0073700B" w:rsidRDefault="001A2FFC">
            <w:pPr>
              <w:snapToGrid w:val="0"/>
              <w:rPr>
                <w:bCs/>
              </w:rPr>
            </w:pPr>
            <w:r>
              <w:rPr>
                <w:bCs/>
              </w:rPr>
              <w:t>安全装置堵塞，失掉了作用</w:t>
            </w:r>
          </w:p>
          <w:p w:rsidR="0073700B" w:rsidRDefault="001A2FFC">
            <w:pPr>
              <w:snapToGrid w:val="0"/>
              <w:rPr>
                <w:bCs/>
              </w:rPr>
            </w:pPr>
            <w:r>
              <w:rPr>
                <w:bCs/>
              </w:rPr>
              <w:t>调整的错误造成安全装置失效</w:t>
            </w:r>
          </w:p>
          <w:p w:rsidR="0073700B" w:rsidRDefault="001A2FFC">
            <w:pPr>
              <w:snapToGrid w:val="0"/>
              <w:rPr>
                <w:bCs/>
              </w:rPr>
            </w:pPr>
            <w:r>
              <w:rPr>
                <w:bCs/>
              </w:rPr>
              <w:t>其它</w:t>
            </w:r>
          </w:p>
          <w:p w:rsidR="0073700B" w:rsidRDefault="001A2FFC">
            <w:pPr>
              <w:snapToGrid w:val="0"/>
              <w:rPr>
                <w:bCs/>
              </w:rPr>
            </w:pPr>
            <w:r>
              <w:rPr>
                <w:bCs/>
              </w:rPr>
              <w:t>使用不安全设备</w:t>
            </w:r>
          </w:p>
          <w:p w:rsidR="0073700B" w:rsidRDefault="001A2FFC">
            <w:pPr>
              <w:snapToGrid w:val="0"/>
              <w:rPr>
                <w:bCs/>
              </w:rPr>
            </w:pPr>
            <w:r>
              <w:rPr>
                <w:bCs/>
              </w:rPr>
              <w:t>临时使用不牢固的设施</w:t>
            </w:r>
          </w:p>
          <w:p w:rsidR="0073700B" w:rsidRDefault="001A2FFC">
            <w:pPr>
              <w:snapToGrid w:val="0"/>
              <w:rPr>
                <w:bCs/>
              </w:rPr>
            </w:pPr>
            <w:r>
              <w:rPr>
                <w:bCs/>
              </w:rPr>
              <w:t>使用无安全装置的设备</w:t>
            </w:r>
          </w:p>
          <w:p w:rsidR="0073700B" w:rsidRDefault="001A2FFC">
            <w:pPr>
              <w:snapToGrid w:val="0"/>
              <w:rPr>
                <w:bCs/>
              </w:rPr>
            </w:pPr>
            <w:r>
              <w:rPr>
                <w:bCs/>
              </w:rPr>
              <w:t>其它</w:t>
            </w:r>
          </w:p>
          <w:p w:rsidR="0073700B" w:rsidRDefault="001A2FFC">
            <w:pPr>
              <w:snapToGrid w:val="0"/>
              <w:rPr>
                <w:bCs/>
              </w:rPr>
            </w:pPr>
            <w:r>
              <w:rPr>
                <w:bCs/>
              </w:rPr>
              <w:t>手代替工具操作</w:t>
            </w:r>
          </w:p>
          <w:p w:rsidR="0073700B" w:rsidRDefault="001A2FFC">
            <w:pPr>
              <w:snapToGrid w:val="0"/>
              <w:rPr>
                <w:bCs/>
              </w:rPr>
            </w:pPr>
            <w:r>
              <w:rPr>
                <w:bCs/>
              </w:rPr>
              <w:t>用手代替手动工具</w:t>
            </w:r>
          </w:p>
          <w:p w:rsidR="0073700B" w:rsidRDefault="001A2FFC">
            <w:pPr>
              <w:snapToGrid w:val="0"/>
              <w:rPr>
                <w:bCs/>
              </w:rPr>
            </w:pPr>
            <w:r>
              <w:rPr>
                <w:bCs/>
              </w:rPr>
              <w:t>用手清除切屑</w:t>
            </w:r>
          </w:p>
          <w:p w:rsidR="0073700B" w:rsidRDefault="001A2FFC">
            <w:pPr>
              <w:snapToGrid w:val="0"/>
              <w:rPr>
                <w:bCs/>
              </w:rPr>
            </w:pPr>
            <w:r>
              <w:rPr>
                <w:bCs/>
              </w:rPr>
              <w:t>不用夹具固定，用手拿工件进行机加工</w:t>
            </w:r>
          </w:p>
          <w:p w:rsidR="0073700B" w:rsidRDefault="001A2FFC">
            <w:pPr>
              <w:snapToGrid w:val="0"/>
              <w:rPr>
                <w:bCs/>
              </w:rPr>
            </w:pPr>
            <w:r>
              <w:rPr>
                <w:bCs/>
              </w:rPr>
              <w:t>物体</w:t>
            </w:r>
            <w:r>
              <w:rPr>
                <w:bCs/>
              </w:rPr>
              <w:t>(</w:t>
            </w:r>
            <w:r>
              <w:rPr>
                <w:bCs/>
              </w:rPr>
              <w:t>指成品、半成品、材料、工具、切屑和生产用品等</w:t>
            </w:r>
            <w:r>
              <w:rPr>
                <w:bCs/>
              </w:rPr>
              <w:t>)</w:t>
            </w:r>
            <w:r>
              <w:rPr>
                <w:bCs/>
              </w:rPr>
              <w:t>存放不当</w:t>
            </w:r>
          </w:p>
          <w:p w:rsidR="0073700B" w:rsidRDefault="001A2FFC">
            <w:pPr>
              <w:snapToGrid w:val="0"/>
              <w:rPr>
                <w:bCs/>
              </w:rPr>
            </w:pPr>
            <w:r>
              <w:rPr>
                <w:bCs/>
              </w:rPr>
              <w:t>冒险进入危险场所</w:t>
            </w:r>
          </w:p>
          <w:p w:rsidR="0073700B" w:rsidRDefault="001A2FFC">
            <w:pPr>
              <w:snapToGrid w:val="0"/>
              <w:rPr>
                <w:bCs/>
              </w:rPr>
            </w:pPr>
            <w:r>
              <w:rPr>
                <w:bCs/>
              </w:rPr>
              <w:t>冒险进入涵洞</w:t>
            </w:r>
          </w:p>
          <w:p w:rsidR="0073700B" w:rsidRDefault="001A2FFC">
            <w:pPr>
              <w:snapToGrid w:val="0"/>
              <w:rPr>
                <w:bCs/>
              </w:rPr>
            </w:pPr>
            <w:r>
              <w:rPr>
                <w:bCs/>
              </w:rPr>
              <w:t>接近漏料处</w:t>
            </w:r>
            <w:r>
              <w:rPr>
                <w:bCs/>
              </w:rPr>
              <w:t>(</w:t>
            </w:r>
            <w:r>
              <w:rPr>
                <w:bCs/>
              </w:rPr>
              <w:t>无安全设施</w:t>
            </w:r>
            <w:r>
              <w:rPr>
                <w:bCs/>
              </w:rPr>
              <w:t>)</w:t>
            </w:r>
          </w:p>
          <w:p w:rsidR="0073700B" w:rsidRDefault="001A2FFC">
            <w:pPr>
              <w:snapToGrid w:val="0"/>
              <w:rPr>
                <w:bCs/>
              </w:rPr>
            </w:pPr>
            <w:r>
              <w:rPr>
                <w:bCs/>
              </w:rPr>
              <w:t>采伐、集材、运材、装车时，未离危险区</w:t>
            </w:r>
          </w:p>
          <w:p w:rsidR="0073700B" w:rsidRDefault="001A2FFC">
            <w:pPr>
              <w:snapToGrid w:val="0"/>
              <w:rPr>
                <w:bCs/>
              </w:rPr>
            </w:pPr>
            <w:r>
              <w:rPr>
                <w:bCs/>
              </w:rPr>
              <w:t>未经安全监察人员允许进入油罐或井中</w:t>
            </w:r>
          </w:p>
          <w:p w:rsidR="0073700B" w:rsidRDefault="001A2FFC">
            <w:pPr>
              <w:snapToGrid w:val="0"/>
              <w:rPr>
                <w:bCs/>
              </w:rPr>
            </w:pPr>
            <w:r>
              <w:rPr>
                <w:bCs/>
              </w:rPr>
              <w:t>未</w:t>
            </w:r>
            <w:r>
              <w:rPr>
                <w:bCs/>
              </w:rPr>
              <w:t>“</w:t>
            </w:r>
            <w:r>
              <w:rPr>
                <w:bCs/>
              </w:rPr>
              <w:t>敲帮问顶</w:t>
            </w:r>
            <w:r>
              <w:rPr>
                <w:bCs/>
              </w:rPr>
              <w:t>”</w:t>
            </w:r>
            <w:r>
              <w:rPr>
                <w:bCs/>
              </w:rPr>
              <w:t>开始作业</w:t>
            </w:r>
          </w:p>
          <w:p w:rsidR="0073700B" w:rsidRDefault="001A2FFC">
            <w:pPr>
              <w:snapToGrid w:val="0"/>
              <w:rPr>
                <w:bCs/>
              </w:rPr>
            </w:pPr>
            <w:r>
              <w:rPr>
                <w:bCs/>
              </w:rPr>
              <w:t>冒进信号</w:t>
            </w:r>
          </w:p>
          <w:p w:rsidR="0073700B" w:rsidRDefault="001A2FFC">
            <w:pPr>
              <w:snapToGrid w:val="0"/>
              <w:rPr>
                <w:bCs/>
              </w:rPr>
            </w:pPr>
            <w:r>
              <w:rPr>
                <w:bCs/>
              </w:rPr>
              <w:t>调车场超速上下车</w:t>
            </w:r>
          </w:p>
          <w:p w:rsidR="0073700B" w:rsidRDefault="001A2FFC">
            <w:pPr>
              <w:snapToGrid w:val="0"/>
              <w:rPr>
                <w:bCs/>
              </w:rPr>
            </w:pPr>
            <w:r>
              <w:rPr>
                <w:bCs/>
              </w:rPr>
              <w:t>易燃易爆场合明火</w:t>
            </w:r>
          </w:p>
          <w:p w:rsidR="0073700B" w:rsidRDefault="001A2FFC">
            <w:pPr>
              <w:snapToGrid w:val="0"/>
              <w:rPr>
                <w:bCs/>
              </w:rPr>
            </w:pPr>
            <w:r>
              <w:rPr>
                <w:bCs/>
              </w:rPr>
              <w:t>私自搭乘矿车</w:t>
            </w:r>
          </w:p>
          <w:p w:rsidR="0073700B" w:rsidRDefault="001A2FFC">
            <w:pPr>
              <w:snapToGrid w:val="0"/>
              <w:rPr>
                <w:bCs/>
              </w:rPr>
            </w:pPr>
            <w:r>
              <w:rPr>
                <w:bCs/>
              </w:rPr>
              <w:t>在绞车道行走</w:t>
            </w:r>
          </w:p>
          <w:p w:rsidR="0073700B" w:rsidRDefault="001A2FFC">
            <w:pPr>
              <w:snapToGrid w:val="0"/>
              <w:rPr>
                <w:bCs/>
              </w:rPr>
            </w:pPr>
            <w:r>
              <w:rPr>
                <w:bCs/>
              </w:rPr>
              <w:t>未及时嘹望</w:t>
            </w:r>
          </w:p>
          <w:p w:rsidR="0073700B" w:rsidRDefault="001A2FFC">
            <w:pPr>
              <w:snapToGrid w:val="0"/>
              <w:rPr>
                <w:bCs/>
              </w:rPr>
            </w:pPr>
            <w:r>
              <w:rPr>
                <w:bCs/>
              </w:rPr>
              <w:t>攀、坐不安全位置</w:t>
            </w:r>
            <w:r>
              <w:rPr>
                <w:bCs/>
              </w:rPr>
              <w:t>(</w:t>
            </w:r>
            <w:r>
              <w:rPr>
                <w:bCs/>
              </w:rPr>
              <w:t>如平台护栏、汽车挡板、吊车吊钩</w:t>
            </w:r>
            <w:r>
              <w:rPr>
                <w:bCs/>
              </w:rPr>
              <w:t>)</w:t>
            </w:r>
          </w:p>
          <w:p w:rsidR="0073700B" w:rsidRDefault="001A2FFC">
            <w:pPr>
              <w:snapToGrid w:val="0"/>
              <w:rPr>
                <w:bCs/>
              </w:rPr>
            </w:pPr>
            <w:r>
              <w:rPr>
                <w:bCs/>
              </w:rPr>
              <w:t>在起吊物下作业、停留</w:t>
            </w:r>
          </w:p>
          <w:p w:rsidR="0073700B" w:rsidRDefault="001A2FFC">
            <w:pPr>
              <w:snapToGrid w:val="0"/>
              <w:rPr>
                <w:bCs/>
              </w:rPr>
            </w:pPr>
            <w:r>
              <w:rPr>
                <w:bCs/>
              </w:rPr>
              <w:t>机器运转时加油、修理、检查、调整、焊接、清扫等工作</w:t>
            </w:r>
          </w:p>
          <w:p w:rsidR="0073700B" w:rsidRDefault="001A2FFC">
            <w:pPr>
              <w:snapToGrid w:val="0"/>
              <w:rPr>
                <w:bCs/>
              </w:rPr>
            </w:pPr>
            <w:r>
              <w:rPr>
                <w:bCs/>
              </w:rPr>
              <w:t>有分散注意力行为</w:t>
            </w:r>
          </w:p>
          <w:p w:rsidR="0073700B" w:rsidRDefault="001A2FFC">
            <w:pPr>
              <w:snapToGrid w:val="0"/>
              <w:rPr>
                <w:bCs/>
              </w:rPr>
            </w:pPr>
            <w:r>
              <w:rPr>
                <w:bCs/>
              </w:rPr>
              <w:t>在必须使用个人防护用品用具的作业或场合中，忽视其使用</w:t>
            </w:r>
          </w:p>
          <w:p w:rsidR="0073700B" w:rsidRDefault="001A2FFC">
            <w:pPr>
              <w:snapToGrid w:val="0"/>
              <w:rPr>
                <w:bCs/>
              </w:rPr>
            </w:pPr>
            <w:r>
              <w:rPr>
                <w:bCs/>
              </w:rPr>
              <w:t>未戴护目镜或面罩</w:t>
            </w:r>
          </w:p>
          <w:p w:rsidR="0073700B" w:rsidRDefault="001A2FFC">
            <w:pPr>
              <w:snapToGrid w:val="0"/>
              <w:rPr>
                <w:bCs/>
              </w:rPr>
            </w:pPr>
            <w:r>
              <w:rPr>
                <w:bCs/>
              </w:rPr>
              <w:t>未戴防护手套</w:t>
            </w:r>
          </w:p>
          <w:p w:rsidR="0073700B" w:rsidRDefault="001A2FFC">
            <w:pPr>
              <w:snapToGrid w:val="0"/>
              <w:rPr>
                <w:bCs/>
              </w:rPr>
            </w:pPr>
            <w:r>
              <w:rPr>
                <w:bCs/>
              </w:rPr>
              <w:t>未穿安全鞋</w:t>
            </w:r>
          </w:p>
          <w:p w:rsidR="0073700B" w:rsidRDefault="001A2FFC">
            <w:pPr>
              <w:snapToGrid w:val="0"/>
              <w:rPr>
                <w:bCs/>
              </w:rPr>
            </w:pPr>
            <w:r>
              <w:rPr>
                <w:bCs/>
              </w:rPr>
              <w:t>未戴安全帽</w:t>
            </w:r>
          </w:p>
          <w:p w:rsidR="0073700B" w:rsidRDefault="001A2FFC">
            <w:pPr>
              <w:snapToGrid w:val="0"/>
              <w:rPr>
                <w:bCs/>
              </w:rPr>
            </w:pPr>
            <w:r>
              <w:rPr>
                <w:bCs/>
              </w:rPr>
              <w:t>未佩戴呼吸护具</w:t>
            </w:r>
          </w:p>
          <w:p w:rsidR="0073700B" w:rsidRDefault="001A2FFC">
            <w:pPr>
              <w:snapToGrid w:val="0"/>
              <w:rPr>
                <w:bCs/>
              </w:rPr>
            </w:pPr>
            <w:r>
              <w:rPr>
                <w:bCs/>
              </w:rPr>
              <w:t>未佩戴安全带</w:t>
            </w:r>
          </w:p>
          <w:p w:rsidR="0073700B" w:rsidRDefault="001A2FFC">
            <w:pPr>
              <w:snapToGrid w:val="0"/>
              <w:rPr>
                <w:bCs/>
              </w:rPr>
            </w:pPr>
            <w:r>
              <w:rPr>
                <w:bCs/>
              </w:rPr>
              <w:t>未戴工作帽</w:t>
            </w:r>
          </w:p>
          <w:p w:rsidR="0073700B" w:rsidRDefault="001A2FFC">
            <w:pPr>
              <w:snapToGrid w:val="0"/>
              <w:rPr>
                <w:bCs/>
              </w:rPr>
            </w:pPr>
            <w:r>
              <w:rPr>
                <w:bCs/>
              </w:rPr>
              <w:t>其它</w:t>
            </w:r>
          </w:p>
          <w:p w:rsidR="0073700B" w:rsidRDefault="001A2FFC">
            <w:pPr>
              <w:snapToGrid w:val="0"/>
              <w:rPr>
                <w:bCs/>
              </w:rPr>
            </w:pPr>
            <w:r>
              <w:rPr>
                <w:bCs/>
              </w:rPr>
              <w:t>不安全装束</w:t>
            </w:r>
          </w:p>
          <w:p w:rsidR="0073700B" w:rsidRDefault="001A2FFC">
            <w:pPr>
              <w:snapToGrid w:val="0"/>
              <w:rPr>
                <w:bCs/>
              </w:rPr>
            </w:pPr>
            <w:r>
              <w:rPr>
                <w:bCs/>
              </w:rPr>
              <w:t>在有旋转零部件的设备旁作业穿过肥大服装</w:t>
            </w:r>
          </w:p>
          <w:p w:rsidR="0073700B" w:rsidRDefault="001A2FFC">
            <w:pPr>
              <w:snapToGrid w:val="0"/>
              <w:rPr>
                <w:bCs/>
              </w:rPr>
            </w:pPr>
            <w:r>
              <w:rPr>
                <w:bCs/>
              </w:rPr>
              <w:t>操纵带有旋转零部件的设备时戴手套</w:t>
            </w:r>
          </w:p>
          <w:p w:rsidR="0073700B" w:rsidRDefault="001A2FFC">
            <w:pPr>
              <w:snapToGrid w:val="0"/>
              <w:rPr>
                <w:bCs/>
              </w:rPr>
            </w:pPr>
            <w:r>
              <w:rPr>
                <w:bCs/>
              </w:rPr>
              <w:lastRenderedPageBreak/>
              <w:t>其它</w:t>
            </w:r>
          </w:p>
          <w:p w:rsidR="0073700B" w:rsidRDefault="001A2FFC">
            <w:pPr>
              <w:snapToGrid w:val="0"/>
              <w:rPr>
                <w:bCs/>
              </w:rPr>
            </w:pPr>
            <w:r>
              <w:rPr>
                <w:bCs/>
              </w:rPr>
              <w:t>对易燃、易爆等危险物品处理错误</w:t>
            </w:r>
          </w:p>
        </w:tc>
      </w:tr>
    </w:tbl>
    <w:p w:rsidR="0073700B" w:rsidRDefault="001A2FFC" w:rsidP="00F80BAC">
      <w:pPr>
        <w:spacing w:beforeLines="50" w:before="156" w:line="360" w:lineRule="auto"/>
        <w:ind w:firstLineChars="200" w:firstLine="480"/>
        <w:rPr>
          <w:bCs/>
          <w:sz w:val="24"/>
          <w:szCs w:val="32"/>
        </w:rPr>
      </w:pPr>
      <w:r>
        <w:rPr>
          <w:rFonts w:hint="eastAsia"/>
          <w:bCs/>
          <w:color w:val="191919"/>
          <w:sz w:val="24"/>
        </w:rPr>
        <w:lastRenderedPageBreak/>
        <w:t>④</w:t>
      </w:r>
      <w:r>
        <w:rPr>
          <w:bCs/>
          <w:sz w:val="24"/>
          <w:szCs w:val="32"/>
        </w:rPr>
        <w:t>在隧道工程施工中，可能受到风险事件伤害的人员类型包括：作业人员自身、同一作业场所的其他作业人员、作业场所周围其他人员。</w:t>
      </w:r>
    </w:p>
    <w:p w:rsidR="0073700B" w:rsidRDefault="001A2FFC" w:rsidP="00F80BAC">
      <w:pPr>
        <w:spacing w:beforeLines="50" w:before="156" w:line="360" w:lineRule="auto"/>
        <w:ind w:firstLineChars="200" w:firstLine="480"/>
        <w:rPr>
          <w:bCs/>
          <w:sz w:val="24"/>
        </w:rPr>
      </w:pPr>
      <w:r>
        <w:rPr>
          <w:rFonts w:hint="eastAsia"/>
          <w:bCs/>
          <w:color w:val="191919"/>
          <w:sz w:val="24"/>
        </w:rPr>
        <w:t>⑤</w:t>
      </w:r>
      <w:r>
        <w:rPr>
          <w:bCs/>
          <w:sz w:val="24"/>
        </w:rPr>
        <w:t>风险分析应通过评估小组讨论会的形式实施，宜采用风险传递路径法、鱼刺图法、</w:t>
      </w:r>
      <w:r>
        <w:rPr>
          <w:bCs/>
          <w:color w:val="191919"/>
          <w:sz w:val="24"/>
        </w:rPr>
        <w:t>故障树分析</w:t>
      </w:r>
      <w:r>
        <w:rPr>
          <w:bCs/>
          <w:sz w:val="24"/>
        </w:rPr>
        <w:t>法等安全系统工程理论进行分析。风险分析的结果应填入</w:t>
      </w:r>
      <w:r>
        <w:fldChar w:fldCharType="begin"/>
      </w:r>
      <w:r>
        <w:instrText xml:space="preserve"> REF _Ref5358</w:instrText>
      </w:r>
      <w:r>
        <w:instrText xml:space="preserve">33208 \h  \* MERGEFORMAT </w:instrText>
      </w:r>
      <w:r>
        <w:fldChar w:fldCharType="separate"/>
      </w:r>
      <w:r>
        <w:rPr>
          <w:sz w:val="24"/>
          <w:szCs w:val="24"/>
        </w:rPr>
        <w:t>表</w:t>
      </w:r>
      <w:r>
        <w:rPr>
          <w:sz w:val="24"/>
          <w:szCs w:val="24"/>
        </w:rPr>
        <w:t>6</w:t>
      </w:r>
      <w:r>
        <w:rPr>
          <w:sz w:val="24"/>
          <w:szCs w:val="24"/>
        </w:rPr>
        <w:noBreakHyphen/>
        <w:t>3</w:t>
      </w:r>
      <w:r>
        <w:rPr>
          <w:sz w:val="24"/>
          <w:szCs w:val="24"/>
        </w:rPr>
        <w:fldChar w:fldCharType="end"/>
      </w:r>
      <w:r>
        <w:rPr>
          <w:bCs/>
          <w:sz w:val="24"/>
        </w:rPr>
        <w:t>。</w:t>
      </w:r>
    </w:p>
    <w:p w:rsidR="0073700B" w:rsidRDefault="001A2FFC">
      <w:pPr>
        <w:pStyle w:val="a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3</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施工安全风险分析表</w:t>
      </w:r>
    </w:p>
    <w:tbl>
      <w:tblPr>
        <w:tblW w:w="82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1"/>
        <w:gridCol w:w="2811"/>
        <w:gridCol w:w="868"/>
        <w:gridCol w:w="868"/>
        <w:gridCol w:w="557"/>
        <w:gridCol w:w="1921"/>
      </w:tblGrid>
      <w:tr w:rsidR="0073700B">
        <w:trPr>
          <w:trHeight w:val="568"/>
          <w:jc w:val="center"/>
        </w:trPr>
        <w:tc>
          <w:tcPr>
            <w:tcW w:w="1261" w:type="dxa"/>
            <w:tcBorders>
              <w:top w:val="single" w:sz="8" w:space="0" w:color="auto"/>
              <w:bottom w:val="single" w:sz="8" w:space="0" w:color="auto"/>
            </w:tcBorders>
            <w:vAlign w:val="center"/>
          </w:tcPr>
          <w:p w:rsidR="0073700B" w:rsidRDefault="001A2FFC">
            <w:pPr>
              <w:pStyle w:val="af9"/>
              <w:rPr>
                <w:bCs/>
                <w:sz w:val="21"/>
                <w:szCs w:val="20"/>
              </w:rPr>
            </w:pPr>
            <w:r>
              <w:rPr>
                <w:bCs/>
                <w:sz w:val="21"/>
                <w:szCs w:val="20"/>
              </w:rPr>
              <w:t>风险源</w:t>
            </w:r>
          </w:p>
        </w:tc>
        <w:tc>
          <w:tcPr>
            <w:tcW w:w="2811" w:type="dxa"/>
            <w:tcBorders>
              <w:top w:val="single" w:sz="8" w:space="0" w:color="auto"/>
              <w:bottom w:val="single" w:sz="8" w:space="0" w:color="auto"/>
            </w:tcBorders>
            <w:vAlign w:val="center"/>
          </w:tcPr>
          <w:p w:rsidR="0073700B" w:rsidRDefault="001A2FFC">
            <w:pPr>
              <w:pStyle w:val="af9"/>
              <w:rPr>
                <w:bCs/>
                <w:sz w:val="21"/>
                <w:szCs w:val="20"/>
              </w:rPr>
            </w:pPr>
            <w:r>
              <w:rPr>
                <w:bCs/>
                <w:sz w:val="21"/>
                <w:szCs w:val="20"/>
              </w:rPr>
              <w:t>潜在的风险事件类型</w:t>
            </w:r>
          </w:p>
        </w:tc>
        <w:tc>
          <w:tcPr>
            <w:tcW w:w="868" w:type="dxa"/>
            <w:tcBorders>
              <w:top w:val="single" w:sz="8" w:space="0" w:color="auto"/>
              <w:bottom w:val="single" w:sz="8" w:space="0" w:color="auto"/>
            </w:tcBorders>
            <w:vAlign w:val="center"/>
          </w:tcPr>
          <w:p w:rsidR="0073700B" w:rsidRDefault="001A2FFC">
            <w:pPr>
              <w:pStyle w:val="af9"/>
              <w:rPr>
                <w:bCs/>
                <w:sz w:val="21"/>
                <w:szCs w:val="20"/>
              </w:rPr>
            </w:pPr>
            <w:r>
              <w:rPr>
                <w:bCs/>
                <w:sz w:val="21"/>
                <w:szCs w:val="20"/>
              </w:rPr>
              <w:t>原因</w:t>
            </w:r>
            <w:r>
              <w:rPr>
                <w:bCs/>
                <w:sz w:val="21"/>
                <w:szCs w:val="20"/>
              </w:rPr>
              <w:t>1</w:t>
            </w:r>
          </w:p>
        </w:tc>
        <w:tc>
          <w:tcPr>
            <w:tcW w:w="868" w:type="dxa"/>
            <w:tcBorders>
              <w:top w:val="single" w:sz="8" w:space="0" w:color="auto"/>
              <w:bottom w:val="single" w:sz="8" w:space="0" w:color="auto"/>
            </w:tcBorders>
            <w:vAlign w:val="center"/>
          </w:tcPr>
          <w:p w:rsidR="0073700B" w:rsidRDefault="001A2FFC">
            <w:pPr>
              <w:pStyle w:val="af9"/>
              <w:rPr>
                <w:bCs/>
                <w:sz w:val="21"/>
                <w:szCs w:val="20"/>
              </w:rPr>
            </w:pPr>
            <w:r>
              <w:rPr>
                <w:bCs/>
                <w:sz w:val="21"/>
                <w:szCs w:val="20"/>
              </w:rPr>
              <w:t>原因</w:t>
            </w:r>
            <w:r>
              <w:rPr>
                <w:bCs/>
                <w:sz w:val="21"/>
                <w:szCs w:val="20"/>
              </w:rPr>
              <w:t>2</w:t>
            </w:r>
          </w:p>
        </w:tc>
        <w:tc>
          <w:tcPr>
            <w:tcW w:w="557" w:type="dxa"/>
            <w:tcBorders>
              <w:top w:val="single" w:sz="8" w:space="0" w:color="auto"/>
              <w:bottom w:val="single" w:sz="8" w:space="0" w:color="auto"/>
            </w:tcBorders>
            <w:vAlign w:val="center"/>
          </w:tcPr>
          <w:p w:rsidR="0073700B" w:rsidRDefault="001A2FFC">
            <w:pPr>
              <w:pStyle w:val="af9"/>
              <w:rPr>
                <w:bCs/>
                <w:sz w:val="21"/>
                <w:szCs w:val="20"/>
              </w:rPr>
            </w:pPr>
            <w:r>
              <w:rPr>
                <w:bCs/>
                <w:sz w:val="21"/>
                <w:szCs w:val="20"/>
              </w:rPr>
              <w:t>∙∙∙</w:t>
            </w:r>
            <w:r>
              <w:rPr>
                <w:bCs/>
                <w:sz w:val="21"/>
                <w:szCs w:val="20"/>
              </w:rPr>
              <w:t xml:space="preserve"> ∙∙∙</w:t>
            </w:r>
          </w:p>
        </w:tc>
        <w:tc>
          <w:tcPr>
            <w:tcW w:w="1921" w:type="dxa"/>
            <w:tcBorders>
              <w:top w:val="single" w:sz="8" w:space="0" w:color="auto"/>
              <w:bottom w:val="single" w:sz="8" w:space="0" w:color="auto"/>
            </w:tcBorders>
            <w:vAlign w:val="center"/>
          </w:tcPr>
          <w:p w:rsidR="0073700B" w:rsidRDefault="001A2FFC">
            <w:pPr>
              <w:pStyle w:val="af9"/>
              <w:rPr>
                <w:bCs/>
                <w:sz w:val="21"/>
                <w:szCs w:val="20"/>
              </w:rPr>
            </w:pPr>
            <w:r>
              <w:rPr>
                <w:bCs/>
                <w:sz w:val="21"/>
                <w:szCs w:val="20"/>
              </w:rPr>
              <w:t>风险事件后果</w:t>
            </w:r>
          </w:p>
        </w:tc>
      </w:tr>
      <w:tr w:rsidR="0073700B">
        <w:trPr>
          <w:trHeight w:val="481"/>
          <w:jc w:val="center"/>
        </w:trPr>
        <w:tc>
          <w:tcPr>
            <w:tcW w:w="1261" w:type="dxa"/>
            <w:tcBorders>
              <w:top w:val="single" w:sz="8" w:space="0" w:color="auto"/>
            </w:tcBorders>
            <w:vAlign w:val="center"/>
          </w:tcPr>
          <w:p w:rsidR="0073700B" w:rsidRDefault="001A2FFC">
            <w:pPr>
              <w:pStyle w:val="af9"/>
              <w:rPr>
                <w:bCs/>
                <w:sz w:val="21"/>
                <w:szCs w:val="20"/>
              </w:rPr>
            </w:pPr>
            <w:r>
              <w:rPr>
                <w:bCs/>
                <w:sz w:val="21"/>
                <w:szCs w:val="20"/>
              </w:rPr>
              <w:t>风险源</w:t>
            </w:r>
            <w:r>
              <w:rPr>
                <w:bCs/>
                <w:sz w:val="21"/>
                <w:szCs w:val="20"/>
              </w:rPr>
              <w:t>1</w:t>
            </w:r>
          </w:p>
        </w:tc>
        <w:tc>
          <w:tcPr>
            <w:tcW w:w="2811" w:type="dxa"/>
            <w:tcBorders>
              <w:top w:val="single" w:sz="8" w:space="0" w:color="auto"/>
            </w:tcBorders>
            <w:vAlign w:val="center"/>
          </w:tcPr>
          <w:p w:rsidR="0073700B" w:rsidRDefault="0073700B">
            <w:pPr>
              <w:pStyle w:val="af9"/>
              <w:rPr>
                <w:bCs/>
                <w:sz w:val="21"/>
                <w:szCs w:val="20"/>
              </w:rPr>
            </w:pPr>
          </w:p>
        </w:tc>
        <w:tc>
          <w:tcPr>
            <w:tcW w:w="868" w:type="dxa"/>
            <w:tcBorders>
              <w:top w:val="single" w:sz="8" w:space="0" w:color="auto"/>
            </w:tcBorders>
            <w:vAlign w:val="center"/>
          </w:tcPr>
          <w:p w:rsidR="0073700B" w:rsidRDefault="0073700B">
            <w:pPr>
              <w:pStyle w:val="af9"/>
              <w:rPr>
                <w:bCs/>
                <w:sz w:val="21"/>
                <w:szCs w:val="20"/>
              </w:rPr>
            </w:pPr>
          </w:p>
        </w:tc>
        <w:tc>
          <w:tcPr>
            <w:tcW w:w="868" w:type="dxa"/>
            <w:tcBorders>
              <w:top w:val="single" w:sz="8" w:space="0" w:color="auto"/>
            </w:tcBorders>
            <w:vAlign w:val="center"/>
          </w:tcPr>
          <w:p w:rsidR="0073700B" w:rsidRDefault="0073700B">
            <w:pPr>
              <w:pStyle w:val="af9"/>
              <w:rPr>
                <w:bCs/>
                <w:sz w:val="21"/>
                <w:szCs w:val="20"/>
              </w:rPr>
            </w:pPr>
          </w:p>
        </w:tc>
        <w:tc>
          <w:tcPr>
            <w:tcW w:w="557" w:type="dxa"/>
            <w:tcBorders>
              <w:top w:val="single" w:sz="8" w:space="0" w:color="auto"/>
            </w:tcBorders>
            <w:vAlign w:val="center"/>
          </w:tcPr>
          <w:p w:rsidR="0073700B" w:rsidRDefault="0073700B">
            <w:pPr>
              <w:pStyle w:val="af9"/>
              <w:rPr>
                <w:bCs/>
                <w:sz w:val="21"/>
                <w:szCs w:val="20"/>
              </w:rPr>
            </w:pPr>
          </w:p>
        </w:tc>
        <w:tc>
          <w:tcPr>
            <w:tcW w:w="1921" w:type="dxa"/>
            <w:tcBorders>
              <w:top w:val="single" w:sz="8" w:space="0" w:color="auto"/>
            </w:tcBorders>
            <w:vAlign w:val="center"/>
          </w:tcPr>
          <w:p w:rsidR="0073700B" w:rsidRDefault="0073700B">
            <w:pPr>
              <w:pStyle w:val="af9"/>
              <w:rPr>
                <w:bCs/>
                <w:sz w:val="21"/>
                <w:szCs w:val="20"/>
              </w:rPr>
            </w:pPr>
          </w:p>
        </w:tc>
      </w:tr>
      <w:tr w:rsidR="0073700B">
        <w:trPr>
          <w:trHeight w:val="481"/>
          <w:jc w:val="center"/>
        </w:trPr>
        <w:tc>
          <w:tcPr>
            <w:tcW w:w="1261" w:type="dxa"/>
            <w:vAlign w:val="center"/>
          </w:tcPr>
          <w:p w:rsidR="0073700B" w:rsidRDefault="001A2FFC">
            <w:pPr>
              <w:pStyle w:val="af9"/>
              <w:rPr>
                <w:bCs/>
                <w:sz w:val="21"/>
                <w:szCs w:val="20"/>
              </w:rPr>
            </w:pPr>
            <w:r>
              <w:rPr>
                <w:bCs/>
                <w:sz w:val="21"/>
                <w:szCs w:val="20"/>
              </w:rPr>
              <w:t>风险源</w:t>
            </w:r>
            <w:r>
              <w:rPr>
                <w:bCs/>
                <w:sz w:val="21"/>
                <w:szCs w:val="20"/>
              </w:rPr>
              <w:t>2</w:t>
            </w:r>
          </w:p>
        </w:tc>
        <w:tc>
          <w:tcPr>
            <w:tcW w:w="2811" w:type="dxa"/>
            <w:vAlign w:val="center"/>
          </w:tcPr>
          <w:p w:rsidR="0073700B" w:rsidRDefault="0073700B">
            <w:pPr>
              <w:pStyle w:val="af9"/>
              <w:rPr>
                <w:bCs/>
                <w:sz w:val="21"/>
                <w:szCs w:val="20"/>
              </w:rPr>
            </w:pPr>
          </w:p>
        </w:tc>
        <w:tc>
          <w:tcPr>
            <w:tcW w:w="868" w:type="dxa"/>
            <w:vAlign w:val="center"/>
          </w:tcPr>
          <w:p w:rsidR="0073700B" w:rsidRDefault="0073700B">
            <w:pPr>
              <w:pStyle w:val="af9"/>
              <w:rPr>
                <w:bCs/>
                <w:sz w:val="21"/>
                <w:szCs w:val="20"/>
              </w:rPr>
            </w:pPr>
          </w:p>
        </w:tc>
        <w:tc>
          <w:tcPr>
            <w:tcW w:w="868" w:type="dxa"/>
            <w:vAlign w:val="center"/>
          </w:tcPr>
          <w:p w:rsidR="0073700B" w:rsidRDefault="0073700B">
            <w:pPr>
              <w:pStyle w:val="af9"/>
              <w:rPr>
                <w:bCs/>
                <w:sz w:val="21"/>
                <w:szCs w:val="20"/>
              </w:rPr>
            </w:pPr>
          </w:p>
        </w:tc>
        <w:tc>
          <w:tcPr>
            <w:tcW w:w="557" w:type="dxa"/>
            <w:vAlign w:val="center"/>
          </w:tcPr>
          <w:p w:rsidR="0073700B" w:rsidRDefault="0073700B">
            <w:pPr>
              <w:pStyle w:val="af9"/>
              <w:rPr>
                <w:bCs/>
                <w:sz w:val="21"/>
                <w:szCs w:val="20"/>
              </w:rPr>
            </w:pPr>
          </w:p>
        </w:tc>
        <w:tc>
          <w:tcPr>
            <w:tcW w:w="1921" w:type="dxa"/>
            <w:vAlign w:val="center"/>
          </w:tcPr>
          <w:p w:rsidR="0073700B" w:rsidRDefault="0073700B">
            <w:pPr>
              <w:pStyle w:val="af9"/>
              <w:rPr>
                <w:bCs/>
                <w:sz w:val="21"/>
                <w:szCs w:val="20"/>
              </w:rPr>
            </w:pPr>
          </w:p>
        </w:tc>
      </w:tr>
      <w:tr w:rsidR="0073700B">
        <w:trPr>
          <w:trHeight w:val="481"/>
          <w:jc w:val="center"/>
        </w:trPr>
        <w:tc>
          <w:tcPr>
            <w:tcW w:w="1261" w:type="dxa"/>
            <w:vAlign w:val="center"/>
          </w:tcPr>
          <w:p w:rsidR="0073700B" w:rsidRDefault="001A2FFC">
            <w:pPr>
              <w:pStyle w:val="af9"/>
              <w:rPr>
                <w:bCs/>
                <w:sz w:val="21"/>
                <w:szCs w:val="20"/>
              </w:rPr>
            </w:pPr>
            <w:r>
              <w:rPr>
                <w:bCs/>
                <w:sz w:val="21"/>
                <w:szCs w:val="20"/>
              </w:rPr>
              <w:t>…</w:t>
            </w:r>
          </w:p>
        </w:tc>
        <w:tc>
          <w:tcPr>
            <w:tcW w:w="2811" w:type="dxa"/>
            <w:vAlign w:val="center"/>
          </w:tcPr>
          <w:p w:rsidR="0073700B" w:rsidRDefault="0073700B">
            <w:pPr>
              <w:pStyle w:val="af9"/>
              <w:rPr>
                <w:bCs/>
                <w:sz w:val="21"/>
                <w:szCs w:val="20"/>
              </w:rPr>
            </w:pPr>
          </w:p>
        </w:tc>
        <w:tc>
          <w:tcPr>
            <w:tcW w:w="868" w:type="dxa"/>
            <w:vAlign w:val="center"/>
          </w:tcPr>
          <w:p w:rsidR="0073700B" w:rsidRDefault="0073700B">
            <w:pPr>
              <w:pStyle w:val="af9"/>
              <w:rPr>
                <w:bCs/>
                <w:sz w:val="21"/>
                <w:szCs w:val="20"/>
              </w:rPr>
            </w:pPr>
          </w:p>
        </w:tc>
        <w:tc>
          <w:tcPr>
            <w:tcW w:w="868" w:type="dxa"/>
            <w:vAlign w:val="center"/>
          </w:tcPr>
          <w:p w:rsidR="0073700B" w:rsidRDefault="0073700B">
            <w:pPr>
              <w:pStyle w:val="af9"/>
              <w:rPr>
                <w:bCs/>
                <w:sz w:val="21"/>
                <w:szCs w:val="20"/>
              </w:rPr>
            </w:pPr>
          </w:p>
        </w:tc>
        <w:tc>
          <w:tcPr>
            <w:tcW w:w="557" w:type="dxa"/>
            <w:vAlign w:val="center"/>
          </w:tcPr>
          <w:p w:rsidR="0073700B" w:rsidRDefault="0073700B">
            <w:pPr>
              <w:pStyle w:val="af9"/>
              <w:rPr>
                <w:bCs/>
                <w:sz w:val="21"/>
                <w:szCs w:val="20"/>
              </w:rPr>
            </w:pPr>
          </w:p>
        </w:tc>
        <w:tc>
          <w:tcPr>
            <w:tcW w:w="1921" w:type="dxa"/>
            <w:vAlign w:val="center"/>
          </w:tcPr>
          <w:p w:rsidR="0073700B" w:rsidRDefault="0073700B">
            <w:pPr>
              <w:pStyle w:val="af9"/>
              <w:rPr>
                <w:bCs/>
                <w:sz w:val="21"/>
                <w:szCs w:val="20"/>
              </w:rPr>
            </w:pPr>
          </w:p>
        </w:tc>
      </w:tr>
      <w:tr w:rsidR="0073700B">
        <w:trPr>
          <w:trHeight w:val="481"/>
          <w:jc w:val="center"/>
        </w:trPr>
        <w:tc>
          <w:tcPr>
            <w:tcW w:w="1261" w:type="dxa"/>
            <w:vAlign w:val="center"/>
          </w:tcPr>
          <w:p w:rsidR="0073700B" w:rsidRDefault="001A2FFC">
            <w:pPr>
              <w:pStyle w:val="af9"/>
              <w:rPr>
                <w:bCs/>
                <w:sz w:val="21"/>
                <w:szCs w:val="20"/>
              </w:rPr>
            </w:pPr>
            <w:r>
              <w:rPr>
                <w:bCs/>
                <w:sz w:val="21"/>
                <w:szCs w:val="20"/>
              </w:rPr>
              <w:t>风险源</w:t>
            </w:r>
            <w:r>
              <w:rPr>
                <w:bCs/>
                <w:sz w:val="21"/>
                <w:szCs w:val="20"/>
              </w:rPr>
              <w:t>N</w:t>
            </w:r>
          </w:p>
        </w:tc>
        <w:tc>
          <w:tcPr>
            <w:tcW w:w="2811" w:type="dxa"/>
            <w:vAlign w:val="center"/>
          </w:tcPr>
          <w:p w:rsidR="0073700B" w:rsidRDefault="0073700B">
            <w:pPr>
              <w:pStyle w:val="af9"/>
              <w:rPr>
                <w:bCs/>
                <w:sz w:val="21"/>
                <w:szCs w:val="20"/>
              </w:rPr>
            </w:pPr>
          </w:p>
        </w:tc>
        <w:tc>
          <w:tcPr>
            <w:tcW w:w="868" w:type="dxa"/>
            <w:vAlign w:val="center"/>
          </w:tcPr>
          <w:p w:rsidR="0073700B" w:rsidRDefault="0073700B">
            <w:pPr>
              <w:pStyle w:val="af9"/>
              <w:rPr>
                <w:bCs/>
                <w:sz w:val="21"/>
                <w:szCs w:val="20"/>
              </w:rPr>
            </w:pPr>
          </w:p>
        </w:tc>
        <w:tc>
          <w:tcPr>
            <w:tcW w:w="868" w:type="dxa"/>
            <w:vAlign w:val="center"/>
          </w:tcPr>
          <w:p w:rsidR="0073700B" w:rsidRDefault="0073700B">
            <w:pPr>
              <w:pStyle w:val="af9"/>
              <w:rPr>
                <w:bCs/>
                <w:sz w:val="21"/>
                <w:szCs w:val="20"/>
              </w:rPr>
            </w:pPr>
          </w:p>
        </w:tc>
        <w:tc>
          <w:tcPr>
            <w:tcW w:w="557" w:type="dxa"/>
            <w:vAlign w:val="center"/>
          </w:tcPr>
          <w:p w:rsidR="0073700B" w:rsidRDefault="0073700B">
            <w:pPr>
              <w:pStyle w:val="af9"/>
              <w:rPr>
                <w:bCs/>
                <w:sz w:val="21"/>
                <w:szCs w:val="20"/>
              </w:rPr>
            </w:pPr>
          </w:p>
        </w:tc>
        <w:tc>
          <w:tcPr>
            <w:tcW w:w="1921" w:type="dxa"/>
            <w:vAlign w:val="center"/>
          </w:tcPr>
          <w:p w:rsidR="0073700B" w:rsidRDefault="0073700B">
            <w:pPr>
              <w:pStyle w:val="af9"/>
              <w:rPr>
                <w:bCs/>
                <w:sz w:val="21"/>
                <w:szCs w:val="20"/>
              </w:rPr>
            </w:pPr>
          </w:p>
        </w:tc>
      </w:tr>
    </w:tbl>
    <w:bookmarkEnd w:id="36"/>
    <w:p w:rsidR="0073700B" w:rsidRDefault="001A2FFC" w:rsidP="00F80BAC">
      <w:pPr>
        <w:spacing w:beforeLines="50" w:before="156" w:line="360" w:lineRule="auto"/>
        <w:ind w:firstLineChars="200" w:firstLine="480"/>
        <w:rPr>
          <w:bCs/>
          <w:sz w:val="24"/>
        </w:rPr>
      </w:pPr>
      <w:r>
        <w:rPr>
          <w:bCs/>
          <w:color w:val="191919"/>
          <w:sz w:val="24"/>
        </w:rPr>
        <w:t>a</w:t>
      </w:r>
      <w:r>
        <w:rPr>
          <w:rFonts w:hint="eastAsia"/>
          <w:bCs/>
          <w:color w:val="191919"/>
          <w:sz w:val="24"/>
        </w:rPr>
        <w:t>）</w:t>
      </w:r>
      <w:r>
        <w:rPr>
          <w:bCs/>
          <w:sz w:val="24"/>
        </w:rPr>
        <w:t>风险传递</w:t>
      </w:r>
      <w:r>
        <w:rPr>
          <w:bCs/>
          <w:color w:val="191919"/>
          <w:sz w:val="24"/>
        </w:rPr>
        <w:t>路径</w:t>
      </w:r>
      <w:r>
        <w:rPr>
          <w:bCs/>
          <w:sz w:val="24"/>
        </w:rPr>
        <w:t>法</w:t>
      </w:r>
    </w:p>
    <w:p w:rsidR="0073700B" w:rsidRDefault="001A2FFC" w:rsidP="00F80BAC">
      <w:pPr>
        <w:spacing w:beforeLines="50" w:before="156" w:line="360" w:lineRule="auto"/>
        <w:ind w:firstLineChars="200" w:firstLine="480"/>
        <w:rPr>
          <w:bCs/>
          <w:sz w:val="24"/>
        </w:rPr>
      </w:pPr>
      <w:r>
        <w:rPr>
          <w:bCs/>
          <w:sz w:val="24"/>
        </w:rPr>
        <w:t>隧道施工安全管理失误的风险传递路径，见</w:t>
      </w:r>
      <w:r>
        <w:fldChar w:fldCharType="begin"/>
      </w:r>
      <w:r>
        <w:instrText xml:space="preserve"> REF _Ref29193904 \h  \* MERGEFORMAT </w:instrText>
      </w:r>
      <w:r>
        <w:fldChar w:fldCharType="separate"/>
      </w:r>
      <w:r>
        <w:rPr>
          <w:sz w:val="24"/>
          <w:szCs w:val="28"/>
        </w:rPr>
        <w:t>图</w:t>
      </w:r>
      <w:r>
        <w:rPr>
          <w:sz w:val="24"/>
          <w:szCs w:val="28"/>
        </w:rPr>
        <w:t>6</w:t>
      </w:r>
      <w:r>
        <w:rPr>
          <w:sz w:val="24"/>
          <w:szCs w:val="28"/>
        </w:rPr>
        <w:noBreakHyphen/>
        <w:t>2</w:t>
      </w:r>
      <w:r>
        <w:rPr>
          <w:sz w:val="24"/>
          <w:szCs w:val="28"/>
        </w:rPr>
        <w:fldChar w:fldCharType="end"/>
      </w:r>
      <w:r>
        <w:rPr>
          <w:bCs/>
          <w:sz w:val="24"/>
        </w:rPr>
        <w:t>。</w:t>
      </w:r>
    </w:p>
    <w:p w:rsidR="0073700B" w:rsidRDefault="001A2FFC">
      <w:pPr>
        <w:pStyle w:val="af8"/>
        <w:jc w:val="center"/>
        <w:rPr>
          <w:rFonts w:ascii="Times New Roman" w:hAnsi="Times New Roman"/>
          <w:bCs/>
        </w:rPr>
      </w:pPr>
      <w:r>
        <w:rPr>
          <w:rFonts w:ascii="Times New Roman" w:hAnsi="Times New Roman"/>
          <w:bCs/>
          <w:noProof/>
        </w:rPr>
        <w:drawing>
          <wp:inline distT="0" distB="0" distL="0" distR="0">
            <wp:extent cx="4469765" cy="10712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69765" cy="1071245"/>
                    </a:xfrm>
                    <a:prstGeom prst="rect">
                      <a:avLst/>
                    </a:prstGeom>
                    <a:noFill/>
                    <a:ln>
                      <a:noFill/>
                    </a:ln>
                  </pic:spPr>
                </pic:pic>
              </a:graphicData>
            </a:graphic>
          </wp:inline>
        </w:drawing>
      </w:r>
    </w:p>
    <w:p w:rsidR="0073700B" w:rsidRDefault="001A2FFC">
      <w:pPr>
        <w:pStyle w:val="a6"/>
        <w:rPr>
          <w:rFonts w:ascii="黑体" w:eastAsia="黑体" w:hAnsi="黑体"/>
          <w:b w:val="0"/>
          <w:bCs/>
        </w:rPr>
      </w:pPr>
      <w:bookmarkStart w:id="38" w:name="_Ref29193904"/>
      <w:bookmarkStart w:id="39" w:name="_Ref535839703"/>
      <w:bookmarkStart w:id="40" w:name="_Ref535839698"/>
      <w:r>
        <w:rPr>
          <w:rFonts w:ascii="黑体" w:eastAsia="黑体" w:hAnsi="黑体"/>
          <w:b w:val="0"/>
          <w:bCs/>
        </w:rPr>
        <w:t>图</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图</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2</w:t>
      </w:r>
      <w:r>
        <w:rPr>
          <w:rFonts w:ascii="黑体" w:eastAsia="黑体" w:hAnsi="黑体"/>
          <w:b w:val="0"/>
          <w:bCs/>
        </w:rPr>
        <w:fldChar w:fldCharType="end"/>
      </w:r>
      <w:bookmarkEnd w:id="38"/>
      <w:r>
        <w:rPr>
          <w:rFonts w:ascii="黑体" w:eastAsia="黑体" w:hAnsi="黑体"/>
          <w:b w:val="0"/>
          <w:bCs/>
        </w:rPr>
        <w:t xml:space="preserve">  </w:t>
      </w:r>
      <w:r>
        <w:rPr>
          <w:rFonts w:ascii="黑体" w:eastAsia="黑体" w:hAnsi="黑体"/>
          <w:b w:val="0"/>
          <w:bCs/>
        </w:rPr>
        <w:t>隧道施工安全管理失误风险传递路径</w:t>
      </w:r>
    </w:p>
    <w:bookmarkEnd w:id="39"/>
    <w:bookmarkEnd w:id="40"/>
    <w:p w:rsidR="0073700B" w:rsidRDefault="001A2FFC" w:rsidP="00F80BAC">
      <w:pPr>
        <w:spacing w:beforeLines="50" w:before="156" w:line="360" w:lineRule="auto"/>
        <w:ind w:firstLineChars="200" w:firstLine="480"/>
        <w:rPr>
          <w:bCs/>
          <w:sz w:val="24"/>
        </w:rPr>
      </w:pPr>
      <w:r>
        <w:rPr>
          <w:bCs/>
          <w:sz w:val="24"/>
        </w:rPr>
        <w:t>针对隧道施工的特点，对隧道施工安全管理失误风险传递路径细化，可知：风险从原因事件向结果事件传递，其表现形式由最初单一的、确定的管理失误（</w:t>
      </w:r>
      <w:r>
        <w:rPr>
          <w:bCs/>
          <w:i/>
          <w:iCs/>
          <w:sz w:val="24"/>
        </w:rPr>
        <w:t>D</w:t>
      </w:r>
      <w:r>
        <w:rPr>
          <w:bCs/>
          <w:sz w:val="24"/>
        </w:rPr>
        <w:t>）分化到若干不同的危险形态（</w:t>
      </w:r>
      <w:r>
        <w:rPr>
          <w:bCs/>
          <w:i/>
          <w:iCs/>
          <w:sz w:val="24"/>
        </w:rPr>
        <w:t>H</w:t>
      </w:r>
      <w:r>
        <w:rPr>
          <w:bCs/>
          <w:sz w:val="24"/>
          <w:vertAlign w:val="subscript"/>
        </w:rPr>
        <w:t>1</w:t>
      </w:r>
      <w:r>
        <w:rPr>
          <w:bCs/>
          <w:i/>
          <w:iCs/>
          <w:sz w:val="24"/>
        </w:rPr>
        <w:t>、</w:t>
      </w:r>
      <w:r>
        <w:rPr>
          <w:bCs/>
          <w:i/>
          <w:iCs/>
          <w:sz w:val="24"/>
        </w:rPr>
        <w:t>H</w:t>
      </w:r>
      <w:r>
        <w:rPr>
          <w:bCs/>
          <w:sz w:val="24"/>
          <w:vertAlign w:val="subscript"/>
        </w:rPr>
        <w:t>2</w:t>
      </w:r>
      <w:r>
        <w:rPr>
          <w:bCs/>
          <w:i/>
          <w:iCs/>
          <w:sz w:val="24"/>
        </w:rPr>
        <w:t>、</w:t>
      </w:r>
      <w:r>
        <w:rPr>
          <w:bCs/>
          <w:i/>
          <w:iCs/>
          <w:sz w:val="24"/>
        </w:rPr>
        <w:t>……</w:t>
      </w:r>
      <w:r>
        <w:rPr>
          <w:bCs/>
          <w:i/>
          <w:iCs/>
          <w:sz w:val="24"/>
        </w:rPr>
        <w:t>、</w:t>
      </w:r>
      <w:r>
        <w:rPr>
          <w:bCs/>
          <w:i/>
          <w:iCs/>
          <w:sz w:val="24"/>
        </w:rPr>
        <w:t>H</w:t>
      </w:r>
      <w:r>
        <w:rPr>
          <w:bCs/>
          <w:i/>
          <w:iCs/>
          <w:sz w:val="24"/>
          <w:vertAlign w:val="subscript"/>
        </w:rPr>
        <w:t>n</w:t>
      </w:r>
      <w:r>
        <w:rPr>
          <w:bCs/>
          <w:sz w:val="24"/>
        </w:rPr>
        <w:t>）并导致事故发生，最终发展到多样的、程度不一的伤害（</w:t>
      </w:r>
      <w:r>
        <w:rPr>
          <w:bCs/>
          <w:i/>
          <w:iCs/>
          <w:sz w:val="24"/>
        </w:rPr>
        <w:t>I</w:t>
      </w:r>
      <w:r>
        <w:rPr>
          <w:bCs/>
          <w:sz w:val="24"/>
          <w:vertAlign w:val="subscript"/>
        </w:rPr>
        <w:t>111</w:t>
      </w:r>
      <w:r>
        <w:rPr>
          <w:bCs/>
          <w:i/>
          <w:iCs/>
          <w:sz w:val="24"/>
        </w:rPr>
        <w:t>、</w:t>
      </w:r>
      <w:r>
        <w:rPr>
          <w:bCs/>
          <w:i/>
          <w:iCs/>
          <w:sz w:val="24"/>
        </w:rPr>
        <w:t>I</w:t>
      </w:r>
      <w:r>
        <w:rPr>
          <w:bCs/>
          <w:sz w:val="24"/>
          <w:vertAlign w:val="subscript"/>
        </w:rPr>
        <w:t>112</w:t>
      </w:r>
      <w:r>
        <w:rPr>
          <w:bCs/>
          <w:i/>
          <w:iCs/>
          <w:sz w:val="24"/>
        </w:rPr>
        <w:t>、</w:t>
      </w:r>
      <w:r>
        <w:rPr>
          <w:bCs/>
          <w:i/>
          <w:iCs/>
          <w:sz w:val="24"/>
        </w:rPr>
        <w:t>……</w:t>
      </w:r>
      <w:r>
        <w:rPr>
          <w:bCs/>
          <w:i/>
          <w:iCs/>
          <w:sz w:val="24"/>
        </w:rPr>
        <w:t>、</w:t>
      </w:r>
      <w:r>
        <w:rPr>
          <w:bCs/>
          <w:i/>
          <w:iCs/>
          <w:sz w:val="24"/>
        </w:rPr>
        <w:t>I</w:t>
      </w:r>
      <w:r>
        <w:rPr>
          <w:bCs/>
          <w:i/>
          <w:iCs/>
          <w:sz w:val="24"/>
          <w:vertAlign w:val="subscript"/>
        </w:rPr>
        <w:t>nnn</w:t>
      </w:r>
      <w:r>
        <w:rPr>
          <w:bCs/>
          <w:sz w:val="24"/>
        </w:rPr>
        <w:t>）。</w:t>
      </w:r>
    </w:p>
    <w:p w:rsidR="0073700B" w:rsidRDefault="001A2FFC" w:rsidP="00F80BAC">
      <w:pPr>
        <w:spacing w:beforeLines="50" w:before="156" w:line="360" w:lineRule="auto"/>
        <w:ind w:firstLineChars="200" w:firstLine="480"/>
        <w:rPr>
          <w:bCs/>
          <w:sz w:val="24"/>
        </w:rPr>
      </w:pPr>
      <w:r>
        <w:rPr>
          <w:bCs/>
          <w:sz w:val="24"/>
        </w:rPr>
        <w:t>隧道施工安全</w:t>
      </w:r>
      <w:r>
        <w:rPr>
          <w:bCs/>
          <w:color w:val="191919"/>
          <w:sz w:val="24"/>
        </w:rPr>
        <w:t>风险</w:t>
      </w:r>
      <w:r>
        <w:rPr>
          <w:bCs/>
          <w:sz w:val="24"/>
        </w:rPr>
        <w:t>传递路径细化见</w:t>
      </w:r>
      <w:r>
        <w:fldChar w:fldCharType="begin"/>
      </w:r>
      <w:r>
        <w:instrText xml:space="preserve"> REF _Ref29194005 \h  \* MERGEFORMAT </w:instrText>
      </w:r>
      <w:r>
        <w:fldChar w:fldCharType="separate"/>
      </w:r>
      <w:r>
        <w:rPr>
          <w:sz w:val="24"/>
          <w:szCs w:val="28"/>
        </w:rPr>
        <w:t>图</w:t>
      </w:r>
      <w:r>
        <w:rPr>
          <w:sz w:val="24"/>
          <w:szCs w:val="28"/>
        </w:rPr>
        <w:t>6</w:t>
      </w:r>
      <w:r>
        <w:rPr>
          <w:sz w:val="24"/>
          <w:szCs w:val="28"/>
        </w:rPr>
        <w:noBreakHyphen/>
        <w:t>3</w:t>
      </w:r>
      <w:r>
        <w:rPr>
          <w:sz w:val="24"/>
          <w:szCs w:val="28"/>
        </w:rPr>
        <w:fldChar w:fldCharType="end"/>
      </w:r>
      <w:r>
        <w:rPr>
          <w:bCs/>
          <w:sz w:val="24"/>
        </w:rPr>
        <w:t>。</w:t>
      </w:r>
    </w:p>
    <w:p w:rsidR="0073700B" w:rsidRDefault="001A2FFC">
      <w:pPr>
        <w:jc w:val="left"/>
        <w:rPr>
          <w:bCs/>
        </w:rPr>
      </w:pPr>
      <w:r>
        <w:rPr>
          <w:noProof/>
          <w:szCs w:val="21"/>
        </w:rPr>
        <w:lastRenderedPageBreak/>
        <w:drawing>
          <wp:inline distT="0" distB="0" distL="0" distR="0">
            <wp:extent cx="5274310" cy="2432685"/>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4310" cy="2432685"/>
                    </a:xfrm>
                    <a:prstGeom prst="rect">
                      <a:avLst/>
                    </a:prstGeom>
                  </pic:spPr>
                </pic:pic>
              </a:graphicData>
            </a:graphic>
          </wp:inline>
        </w:drawing>
      </w:r>
    </w:p>
    <w:p w:rsidR="0073700B" w:rsidRDefault="001A2FFC">
      <w:pPr>
        <w:pStyle w:val="a6"/>
        <w:rPr>
          <w:rFonts w:ascii="黑体" w:eastAsia="黑体" w:hAnsi="黑体"/>
          <w:b w:val="0"/>
          <w:bCs/>
        </w:rPr>
      </w:pPr>
      <w:bookmarkStart w:id="41" w:name="_Ref29194005"/>
      <w:r>
        <w:rPr>
          <w:rFonts w:ascii="黑体" w:eastAsia="黑体" w:hAnsi="黑体"/>
          <w:b w:val="0"/>
          <w:bCs/>
          <w:szCs w:val="32"/>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3</w:t>
      </w:r>
      <w:r>
        <w:rPr>
          <w:rFonts w:ascii="黑体" w:eastAsia="黑体" w:hAnsi="黑体"/>
          <w:b w:val="0"/>
          <w:bCs/>
          <w:szCs w:val="32"/>
        </w:rPr>
        <w:fldChar w:fldCharType="end"/>
      </w:r>
      <w:bookmarkEnd w:id="41"/>
      <w:r>
        <w:rPr>
          <w:rFonts w:ascii="黑体" w:eastAsia="黑体" w:hAnsi="黑体"/>
          <w:b w:val="0"/>
          <w:bCs/>
          <w:szCs w:val="32"/>
        </w:rPr>
        <w:t xml:space="preserve">  </w:t>
      </w:r>
      <w:r>
        <w:rPr>
          <w:rFonts w:ascii="黑体" w:eastAsia="黑体" w:hAnsi="黑体"/>
          <w:b w:val="0"/>
          <w:bCs/>
        </w:rPr>
        <w:t>隧道施工安全风险传递路径细化图</w:t>
      </w:r>
    </w:p>
    <w:p w:rsidR="0073700B" w:rsidRDefault="001A2FFC" w:rsidP="00F80BAC">
      <w:pPr>
        <w:spacing w:beforeLines="50" w:before="156" w:line="360" w:lineRule="auto"/>
        <w:ind w:firstLineChars="200" w:firstLine="480"/>
        <w:rPr>
          <w:bCs/>
          <w:color w:val="191919"/>
          <w:sz w:val="24"/>
        </w:rPr>
      </w:pPr>
      <w:r>
        <w:rPr>
          <w:bCs/>
          <w:color w:val="191919"/>
          <w:sz w:val="24"/>
        </w:rPr>
        <w:t>b</w:t>
      </w:r>
      <w:r>
        <w:rPr>
          <w:rFonts w:hint="eastAsia"/>
          <w:bCs/>
          <w:color w:val="191919"/>
          <w:sz w:val="24"/>
        </w:rPr>
        <w:t>）</w:t>
      </w:r>
      <w:r>
        <w:rPr>
          <w:bCs/>
          <w:color w:val="191919"/>
          <w:sz w:val="24"/>
        </w:rPr>
        <w:t>鱼刺图法</w:t>
      </w:r>
    </w:p>
    <w:p w:rsidR="0073700B" w:rsidRDefault="001A2FFC" w:rsidP="00F80BAC">
      <w:pPr>
        <w:spacing w:beforeLines="50" w:before="156" w:line="360" w:lineRule="auto"/>
        <w:ind w:firstLineChars="200" w:firstLine="480"/>
        <w:rPr>
          <w:bCs/>
          <w:color w:val="191919"/>
          <w:sz w:val="24"/>
        </w:rPr>
      </w:pPr>
      <w:r>
        <w:rPr>
          <w:bCs/>
          <w:color w:val="191919"/>
          <w:sz w:val="24"/>
        </w:rPr>
        <w:t>鱼刺图法是把系统中产生事故的原因及造成的结果所构成的因果关系，采用简单的文字和线条加以全面表示的方法。由于分析图的形状像鱼刺，故称</w:t>
      </w:r>
      <w:r>
        <w:rPr>
          <w:bCs/>
          <w:color w:val="191919"/>
          <w:sz w:val="24"/>
        </w:rPr>
        <w:t>“</w:t>
      </w:r>
      <w:r>
        <w:rPr>
          <w:bCs/>
          <w:color w:val="191919"/>
          <w:sz w:val="24"/>
        </w:rPr>
        <w:t>鱼刺图</w:t>
      </w:r>
      <w:r>
        <w:rPr>
          <w:bCs/>
          <w:color w:val="191919"/>
          <w:sz w:val="24"/>
        </w:rPr>
        <w:t>”(</w:t>
      </w:r>
      <w:r>
        <w:rPr>
          <w:bCs/>
          <w:color w:val="191919"/>
          <w:sz w:val="24"/>
          <w:szCs w:val="24"/>
        </w:rPr>
        <w:t>见</w:t>
      </w:r>
      <w:r>
        <w:fldChar w:fldCharType="begin"/>
      </w:r>
      <w:r>
        <w:instrText xml:space="preserve"> REF _Ref29194031 \h  \* MERGEFORMAT </w:instrText>
      </w:r>
      <w:r>
        <w:fldChar w:fldCharType="separate"/>
      </w:r>
      <w:r>
        <w:rPr>
          <w:sz w:val="24"/>
          <w:szCs w:val="28"/>
        </w:rPr>
        <w:t>图</w:t>
      </w:r>
      <w:r>
        <w:rPr>
          <w:sz w:val="24"/>
          <w:szCs w:val="28"/>
        </w:rPr>
        <w:t>6</w:t>
      </w:r>
      <w:r>
        <w:rPr>
          <w:sz w:val="24"/>
          <w:szCs w:val="28"/>
        </w:rPr>
        <w:noBreakHyphen/>
        <w:t>4</w:t>
      </w:r>
      <w:r>
        <w:rPr>
          <w:sz w:val="24"/>
          <w:szCs w:val="28"/>
        </w:rPr>
        <w:fldChar w:fldCharType="end"/>
      </w:r>
      <w:r>
        <w:rPr>
          <w:bCs/>
          <w:color w:val="191919"/>
          <w:sz w:val="24"/>
        </w:rPr>
        <w:t>)</w:t>
      </w:r>
      <w:r>
        <w:rPr>
          <w:bCs/>
          <w:color w:val="191919"/>
          <w:sz w:val="24"/>
        </w:rPr>
        <w:t>。</w:t>
      </w:r>
    </w:p>
    <w:p w:rsidR="0073700B" w:rsidRDefault="00F80BAC">
      <w:pPr>
        <w:rPr>
          <w:bCs/>
        </w:rPr>
      </w:pPr>
      <w:r>
        <w:rPr>
          <w:bCs/>
        </w:rPr>
        <w:pict>
          <v:shape id="_x0000_i1036" type="#_x0000_t75" style="width:413.2pt;height:240pt">
            <v:imagedata r:id="rId29" o:title=""/>
          </v:shape>
        </w:pict>
      </w:r>
    </w:p>
    <w:p w:rsidR="0073700B" w:rsidRDefault="001A2FFC">
      <w:pPr>
        <w:pStyle w:val="a6"/>
        <w:rPr>
          <w:rFonts w:ascii="黑体" w:eastAsia="黑体" w:hAnsi="黑体"/>
          <w:b w:val="0"/>
          <w:bCs/>
        </w:rPr>
      </w:pPr>
      <w:bookmarkStart w:id="42" w:name="_Ref29194031"/>
      <w:r>
        <w:rPr>
          <w:rFonts w:ascii="黑体" w:eastAsia="黑体" w:hAnsi="黑体"/>
          <w:b w:val="0"/>
          <w:bCs/>
        </w:rPr>
        <w:t>图</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图</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4</w:t>
      </w:r>
      <w:r>
        <w:rPr>
          <w:rFonts w:ascii="黑体" w:eastAsia="黑体" w:hAnsi="黑体"/>
          <w:b w:val="0"/>
          <w:bCs/>
        </w:rPr>
        <w:fldChar w:fldCharType="end"/>
      </w:r>
      <w:bookmarkEnd w:id="42"/>
      <w:r>
        <w:rPr>
          <w:rFonts w:ascii="黑体" w:eastAsia="黑体" w:hAnsi="黑体"/>
          <w:b w:val="0"/>
          <w:bCs/>
        </w:rPr>
        <w:t xml:space="preserve">  </w:t>
      </w:r>
      <w:r>
        <w:rPr>
          <w:rFonts w:ascii="黑体" w:eastAsia="黑体" w:hAnsi="黑体"/>
          <w:b w:val="0"/>
          <w:bCs/>
        </w:rPr>
        <w:t>隧道施工安全风险鱼刺图法</w:t>
      </w:r>
    </w:p>
    <w:p w:rsidR="0073700B" w:rsidRDefault="001A2FFC" w:rsidP="00F80BAC">
      <w:pPr>
        <w:spacing w:beforeLines="50" w:before="156" w:line="360" w:lineRule="auto"/>
        <w:ind w:firstLineChars="200" w:firstLine="480"/>
        <w:rPr>
          <w:bCs/>
          <w:sz w:val="24"/>
        </w:rPr>
      </w:pPr>
      <w:r>
        <w:rPr>
          <w:bCs/>
          <w:sz w:val="24"/>
        </w:rPr>
        <w:t>制作鱼刺图分两个步骤：</w:t>
      </w:r>
    </w:p>
    <w:p w:rsidR="0073700B" w:rsidRDefault="001A2FFC" w:rsidP="00F80BAC">
      <w:pPr>
        <w:spacing w:beforeLines="50" w:before="156" w:line="360" w:lineRule="auto"/>
        <w:ind w:firstLineChars="200" w:firstLine="480"/>
        <w:rPr>
          <w:bCs/>
          <w:sz w:val="24"/>
        </w:rPr>
      </w:pPr>
      <w:r>
        <w:rPr>
          <w:rFonts w:hint="eastAsia"/>
          <w:bCs/>
          <w:color w:val="191919"/>
          <w:sz w:val="24"/>
        </w:rPr>
        <w:t>第一步：</w:t>
      </w:r>
      <w:r>
        <w:rPr>
          <w:bCs/>
          <w:sz w:val="24"/>
        </w:rPr>
        <w:t>分析问题原因及结构</w:t>
      </w:r>
      <w:r>
        <w:rPr>
          <w:bCs/>
          <w:sz w:val="24"/>
        </w:rPr>
        <w:t xml:space="preserve"> </w:t>
      </w:r>
    </w:p>
    <w:p w:rsidR="0073700B" w:rsidRDefault="001A2FFC" w:rsidP="00F80BAC">
      <w:pPr>
        <w:spacing w:beforeLines="50" w:before="156" w:line="360" w:lineRule="auto"/>
        <w:ind w:firstLineChars="200" w:firstLine="480"/>
        <w:rPr>
          <w:bCs/>
          <w:sz w:val="24"/>
        </w:rPr>
      </w:pPr>
      <w:r>
        <w:rPr>
          <w:rFonts w:ascii="宋体" w:hAnsi="宋体" w:cs="宋体" w:hint="eastAsia"/>
          <w:bCs/>
          <w:sz w:val="24"/>
        </w:rPr>
        <w:lastRenderedPageBreak/>
        <w:t>——</w:t>
      </w:r>
      <w:r>
        <w:rPr>
          <w:bCs/>
          <w:sz w:val="24"/>
        </w:rPr>
        <w:t>针对问题点，选择层别方法（如人、机、料、法、环等）；</w:t>
      </w:r>
      <w:r>
        <w:rPr>
          <w:bCs/>
          <w:sz w:val="24"/>
        </w:rPr>
        <w:t xml:space="preserve"> </w:t>
      </w:r>
    </w:p>
    <w:p w:rsidR="0073700B" w:rsidRDefault="001A2FFC" w:rsidP="00F80BAC">
      <w:pPr>
        <w:spacing w:beforeLines="50" w:before="156" w:line="360" w:lineRule="auto"/>
        <w:ind w:firstLineChars="200" w:firstLine="480"/>
        <w:rPr>
          <w:bCs/>
          <w:sz w:val="24"/>
        </w:rPr>
      </w:pPr>
      <w:r>
        <w:rPr>
          <w:rFonts w:ascii="宋体" w:hAnsi="宋体" w:cs="宋体" w:hint="eastAsia"/>
          <w:bCs/>
          <w:sz w:val="24"/>
        </w:rPr>
        <w:t>——</w:t>
      </w:r>
      <w:r>
        <w:rPr>
          <w:bCs/>
          <w:sz w:val="24"/>
        </w:rPr>
        <w:t>按头脑风暴</w:t>
      </w:r>
      <w:r>
        <w:rPr>
          <w:bCs/>
          <w:color w:val="191919"/>
          <w:sz w:val="24"/>
        </w:rPr>
        <w:t>分别</w:t>
      </w:r>
      <w:r>
        <w:rPr>
          <w:bCs/>
          <w:sz w:val="24"/>
        </w:rPr>
        <w:t>对各层别找出所有可能原因（因素）；</w:t>
      </w:r>
      <w:r>
        <w:rPr>
          <w:bCs/>
          <w:sz w:val="24"/>
        </w:rPr>
        <w:t xml:space="preserve"> </w:t>
      </w:r>
    </w:p>
    <w:p w:rsidR="0073700B" w:rsidRDefault="001A2FFC" w:rsidP="00F80BAC">
      <w:pPr>
        <w:spacing w:beforeLines="50" w:before="156" w:line="360" w:lineRule="auto"/>
        <w:ind w:firstLineChars="200" w:firstLine="480"/>
        <w:rPr>
          <w:bCs/>
          <w:sz w:val="24"/>
        </w:rPr>
      </w:pPr>
      <w:r>
        <w:rPr>
          <w:rFonts w:ascii="宋体" w:hAnsi="宋体" w:cs="宋体" w:hint="eastAsia"/>
          <w:bCs/>
          <w:sz w:val="24"/>
        </w:rPr>
        <w:t>——</w:t>
      </w:r>
      <w:r>
        <w:rPr>
          <w:bCs/>
          <w:sz w:val="24"/>
        </w:rPr>
        <w:t>将找出的各因素进行归类、整理，明确其从属关系；</w:t>
      </w:r>
    </w:p>
    <w:p w:rsidR="0073700B" w:rsidRDefault="001A2FFC" w:rsidP="00F80BAC">
      <w:pPr>
        <w:spacing w:beforeLines="50" w:before="156" w:line="360" w:lineRule="auto"/>
        <w:ind w:firstLineChars="200" w:firstLine="480"/>
        <w:rPr>
          <w:bCs/>
          <w:sz w:val="24"/>
        </w:rPr>
      </w:pPr>
      <w:r>
        <w:rPr>
          <w:rFonts w:ascii="宋体" w:hAnsi="宋体" w:cs="宋体" w:hint="eastAsia"/>
          <w:bCs/>
          <w:sz w:val="24"/>
        </w:rPr>
        <w:t>——</w:t>
      </w:r>
      <w:r>
        <w:rPr>
          <w:bCs/>
          <w:sz w:val="24"/>
        </w:rPr>
        <w:t>分析选取</w:t>
      </w:r>
      <w:r>
        <w:rPr>
          <w:bCs/>
          <w:color w:val="191919"/>
          <w:sz w:val="24"/>
        </w:rPr>
        <w:t>重要</w:t>
      </w:r>
      <w:r>
        <w:rPr>
          <w:bCs/>
          <w:sz w:val="24"/>
        </w:rPr>
        <w:t>因素；</w:t>
      </w:r>
    </w:p>
    <w:p w:rsidR="0073700B" w:rsidRDefault="001A2FFC" w:rsidP="00F80BAC">
      <w:pPr>
        <w:spacing w:beforeLines="50" w:before="156" w:line="360" w:lineRule="auto"/>
        <w:ind w:firstLineChars="200" w:firstLine="480"/>
        <w:rPr>
          <w:bCs/>
          <w:sz w:val="24"/>
        </w:rPr>
      </w:pPr>
      <w:r>
        <w:rPr>
          <w:rFonts w:ascii="宋体" w:hAnsi="宋体" w:cs="宋体" w:hint="eastAsia"/>
          <w:bCs/>
          <w:sz w:val="24"/>
        </w:rPr>
        <w:t>——</w:t>
      </w:r>
      <w:r>
        <w:rPr>
          <w:bCs/>
          <w:sz w:val="24"/>
        </w:rPr>
        <w:t>检</w:t>
      </w:r>
      <w:r>
        <w:rPr>
          <w:bCs/>
          <w:sz w:val="24"/>
        </w:rPr>
        <w:t>查各要素的描述方法，确保语言简明、意思明确。</w:t>
      </w:r>
    </w:p>
    <w:p w:rsidR="0073700B" w:rsidRDefault="001A2FFC" w:rsidP="00F80BAC">
      <w:pPr>
        <w:spacing w:beforeLines="50" w:before="156" w:line="360" w:lineRule="auto"/>
        <w:ind w:firstLineChars="200" w:firstLine="480"/>
        <w:rPr>
          <w:bCs/>
          <w:sz w:val="24"/>
        </w:rPr>
      </w:pPr>
      <w:r>
        <w:rPr>
          <w:rFonts w:hint="eastAsia"/>
          <w:bCs/>
          <w:color w:val="191919"/>
          <w:sz w:val="24"/>
        </w:rPr>
        <w:t>第二步：</w:t>
      </w:r>
      <w:r>
        <w:rPr>
          <w:bCs/>
          <w:sz w:val="24"/>
        </w:rPr>
        <w:t>绘制鱼刺图</w:t>
      </w:r>
    </w:p>
    <w:p w:rsidR="0073700B" w:rsidRDefault="001A2FFC" w:rsidP="00F80BAC">
      <w:pPr>
        <w:spacing w:beforeLines="50" w:before="156" w:line="360" w:lineRule="auto"/>
        <w:ind w:firstLineChars="200" w:firstLine="480"/>
        <w:rPr>
          <w:bCs/>
          <w:sz w:val="24"/>
        </w:rPr>
      </w:pPr>
      <w:r>
        <w:rPr>
          <w:rFonts w:ascii="宋体" w:hAnsi="宋体" w:cs="宋体" w:hint="eastAsia"/>
          <w:bCs/>
          <w:sz w:val="24"/>
        </w:rPr>
        <w:t>——</w:t>
      </w:r>
      <w:r>
        <w:rPr>
          <w:bCs/>
          <w:sz w:val="24"/>
        </w:rPr>
        <w:t>填写鱼头（要解决的问题）；</w:t>
      </w:r>
    </w:p>
    <w:p w:rsidR="0073700B" w:rsidRDefault="001A2FFC" w:rsidP="00F80BAC">
      <w:pPr>
        <w:spacing w:beforeLines="50" w:before="156" w:line="360" w:lineRule="auto"/>
        <w:ind w:firstLineChars="200" w:firstLine="480"/>
        <w:rPr>
          <w:bCs/>
          <w:sz w:val="24"/>
        </w:rPr>
      </w:pPr>
      <w:r>
        <w:rPr>
          <w:rFonts w:ascii="宋体" w:hAnsi="宋体" w:cs="宋体" w:hint="eastAsia"/>
          <w:bCs/>
          <w:sz w:val="24"/>
        </w:rPr>
        <w:t>——</w:t>
      </w:r>
      <w:r>
        <w:rPr>
          <w:bCs/>
          <w:sz w:val="24"/>
        </w:rPr>
        <w:t>画出主骨（影响结果主要概况因素）；</w:t>
      </w:r>
    </w:p>
    <w:p w:rsidR="0073700B" w:rsidRDefault="001A2FFC" w:rsidP="00F80BAC">
      <w:pPr>
        <w:spacing w:beforeLines="50" w:before="156" w:line="360" w:lineRule="auto"/>
        <w:ind w:firstLineChars="200" w:firstLine="480"/>
        <w:rPr>
          <w:bCs/>
          <w:sz w:val="24"/>
        </w:rPr>
      </w:pPr>
      <w:r>
        <w:rPr>
          <w:rFonts w:ascii="宋体" w:hAnsi="宋体" w:cs="宋体" w:hint="eastAsia"/>
          <w:bCs/>
          <w:sz w:val="24"/>
        </w:rPr>
        <w:t>——</w:t>
      </w:r>
      <w:r>
        <w:rPr>
          <w:bCs/>
          <w:sz w:val="24"/>
        </w:rPr>
        <w:t>画出大骨，填写大要因；</w:t>
      </w:r>
      <w:r>
        <w:rPr>
          <w:bCs/>
          <w:sz w:val="24"/>
        </w:rPr>
        <w:t xml:space="preserve"> </w:t>
      </w:r>
    </w:p>
    <w:p w:rsidR="0073700B" w:rsidRDefault="001A2FFC" w:rsidP="00F80BAC">
      <w:pPr>
        <w:spacing w:beforeLines="50" w:before="156" w:line="360" w:lineRule="auto"/>
        <w:ind w:firstLineChars="200" w:firstLine="480"/>
        <w:rPr>
          <w:bCs/>
          <w:sz w:val="24"/>
        </w:rPr>
      </w:pPr>
      <w:r>
        <w:rPr>
          <w:rFonts w:ascii="宋体" w:hAnsi="宋体" w:cs="宋体" w:hint="eastAsia"/>
          <w:bCs/>
          <w:sz w:val="24"/>
        </w:rPr>
        <w:t>——</w:t>
      </w:r>
      <w:r>
        <w:rPr>
          <w:bCs/>
          <w:sz w:val="24"/>
        </w:rPr>
        <w:t>画出中骨、小骨，填写中小要因。</w:t>
      </w:r>
      <w:r>
        <w:rPr>
          <w:bCs/>
          <w:sz w:val="24"/>
        </w:rPr>
        <w:t xml:space="preserve"> </w:t>
      </w:r>
    </w:p>
    <w:p w:rsidR="0073700B" w:rsidRDefault="001A2FFC" w:rsidP="00F80BAC">
      <w:pPr>
        <w:spacing w:beforeLines="50" w:before="156" w:line="360" w:lineRule="auto"/>
        <w:ind w:firstLineChars="200" w:firstLine="480"/>
        <w:rPr>
          <w:bCs/>
          <w:sz w:val="24"/>
        </w:rPr>
      </w:pPr>
      <w:r>
        <w:rPr>
          <w:bCs/>
          <w:sz w:val="24"/>
        </w:rPr>
        <w:t>在绘制鱼刺图时应召集建设、施工、监理、第三方评估单位（如有）等相关人员共同分析，将所要解决问题遵从面</w:t>
      </w:r>
      <w:r>
        <w:rPr>
          <w:bCs/>
          <w:sz w:val="24"/>
        </w:rPr>
        <w:t>-</w:t>
      </w:r>
      <w:r>
        <w:rPr>
          <w:bCs/>
          <w:sz w:val="24"/>
        </w:rPr>
        <w:t>线</w:t>
      </w:r>
      <w:r>
        <w:rPr>
          <w:bCs/>
          <w:sz w:val="24"/>
        </w:rPr>
        <w:t>-</w:t>
      </w:r>
      <w:r>
        <w:rPr>
          <w:bCs/>
          <w:sz w:val="24"/>
        </w:rPr>
        <w:t>点依次细化。</w:t>
      </w:r>
    </w:p>
    <w:p w:rsidR="0073700B" w:rsidRDefault="001A2FFC" w:rsidP="00F80BAC">
      <w:pPr>
        <w:spacing w:beforeLines="50" w:before="156" w:line="360" w:lineRule="auto"/>
        <w:ind w:firstLineChars="200" w:firstLine="480"/>
        <w:rPr>
          <w:bCs/>
          <w:sz w:val="24"/>
        </w:rPr>
      </w:pPr>
      <w:r>
        <w:rPr>
          <w:bCs/>
          <w:color w:val="191919"/>
          <w:sz w:val="24"/>
        </w:rPr>
        <w:t>c</w:t>
      </w:r>
      <w:r>
        <w:rPr>
          <w:rFonts w:hint="eastAsia"/>
          <w:bCs/>
          <w:color w:val="191919"/>
          <w:sz w:val="24"/>
        </w:rPr>
        <w:t>）</w:t>
      </w:r>
      <w:r>
        <w:rPr>
          <w:bCs/>
          <w:color w:val="191919"/>
          <w:sz w:val="24"/>
        </w:rPr>
        <w:t>故障树分析</w:t>
      </w:r>
      <w:r>
        <w:rPr>
          <w:bCs/>
          <w:sz w:val="24"/>
        </w:rPr>
        <w:t>法</w:t>
      </w:r>
    </w:p>
    <w:p w:rsidR="0073700B" w:rsidRDefault="001A2FFC" w:rsidP="00F80BAC">
      <w:pPr>
        <w:spacing w:beforeLines="50" w:before="156" w:line="360" w:lineRule="auto"/>
        <w:ind w:firstLineChars="200" w:firstLine="480"/>
        <w:rPr>
          <w:bCs/>
          <w:sz w:val="24"/>
        </w:rPr>
      </w:pPr>
      <w:r>
        <w:rPr>
          <w:bCs/>
          <w:sz w:val="24"/>
        </w:rPr>
        <w:t>故障树是将系统的失效事件（称为顶上事件）分解为许多子事件的串、并联组合。在系统中各个基本事件的失效概率已知时，沿故障树图的逻辑关系逆向求解系统的失效概率。故障树是一种特殊的树状逻辑因果关系图，它用规定的逻辑门和事件符号描述系统中各种事物之间的关系。故障树的编制要求分析人员十分熟悉工程系统情况，包括工作程序、各种参数、作业条件、环境影响因素及过去常发事故情况等。</w:t>
      </w:r>
    </w:p>
    <w:p w:rsidR="0073700B" w:rsidRDefault="001A2FFC" w:rsidP="00F80BAC">
      <w:pPr>
        <w:spacing w:beforeLines="50" w:before="156" w:line="360" w:lineRule="auto"/>
        <w:ind w:firstLineChars="200" w:firstLine="480"/>
        <w:rPr>
          <w:bCs/>
          <w:sz w:val="24"/>
        </w:rPr>
      </w:pPr>
      <w:r>
        <w:rPr>
          <w:bCs/>
          <w:sz w:val="24"/>
        </w:rPr>
        <w:t>故障树</w:t>
      </w:r>
      <w:r>
        <w:rPr>
          <w:bCs/>
          <w:color w:val="191919"/>
          <w:sz w:val="24"/>
        </w:rPr>
        <w:t>解决问题</w:t>
      </w:r>
      <w:r>
        <w:rPr>
          <w:bCs/>
          <w:sz w:val="24"/>
        </w:rPr>
        <w:t>的步骤见</w:t>
      </w:r>
      <w:r>
        <w:fldChar w:fldCharType="begin"/>
      </w:r>
      <w:r>
        <w:instrText xml:space="preserve"> REF _Ref29194074 \h  \* MERGEFORMAT </w:instrText>
      </w:r>
      <w:r>
        <w:fldChar w:fldCharType="separate"/>
      </w:r>
      <w:r>
        <w:rPr>
          <w:sz w:val="24"/>
          <w:szCs w:val="28"/>
        </w:rPr>
        <w:t>图</w:t>
      </w:r>
      <w:r>
        <w:rPr>
          <w:sz w:val="24"/>
          <w:szCs w:val="28"/>
        </w:rPr>
        <w:t>6</w:t>
      </w:r>
      <w:r>
        <w:rPr>
          <w:sz w:val="24"/>
          <w:szCs w:val="28"/>
        </w:rPr>
        <w:noBreakHyphen/>
        <w:t>5</w:t>
      </w:r>
      <w:r>
        <w:rPr>
          <w:sz w:val="24"/>
          <w:szCs w:val="28"/>
        </w:rPr>
        <w:fldChar w:fldCharType="end"/>
      </w:r>
      <w:r>
        <w:rPr>
          <w:bCs/>
          <w:sz w:val="24"/>
        </w:rPr>
        <w:t>。</w:t>
      </w:r>
    </w:p>
    <w:p w:rsidR="0073700B" w:rsidRDefault="00F80BAC">
      <w:pPr>
        <w:tabs>
          <w:tab w:val="left" w:pos="1507"/>
        </w:tabs>
        <w:jc w:val="center"/>
        <w:rPr>
          <w:bCs/>
        </w:rPr>
      </w:pPr>
      <w:r>
        <w:rPr>
          <w:bCs/>
        </w:rPr>
        <w:lastRenderedPageBreak/>
        <w:pict>
          <v:shape id="_x0000_i1037" type="#_x0000_t75" style="width:269.2pt;height:241.05pt">
            <v:imagedata r:id="rId30" o:title=""/>
          </v:shape>
        </w:pict>
      </w:r>
    </w:p>
    <w:p w:rsidR="0073700B" w:rsidRDefault="001A2FFC">
      <w:pPr>
        <w:pStyle w:val="a6"/>
        <w:rPr>
          <w:rFonts w:ascii="黑体" w:eastAsia="黑体" w:hAnsi="黑体"/>
          <w:b w:val="0"/>
          <w:bCs/>
        </w:rPr>
      </w:pPr>
      <w:bookmarkStart w:id="43" w:name="_Ref29194074"/>
      <w:r>
        <w:rPr>
          <w:rFonts w:ascii="黑体" w:eastAsia="黑体" w:hAnsi="黑体"/>
          <w:b w:val="0"/>
          <w:bCs/>
        </w:rPr>
        <w:t>图</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图</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5</w:t>
      </w:r>
      <w:r>
        <w:rPr>
          <w:rFonts w:ascii="黑体" w:eastAsia="黑体" w:hAnsi="黑体"/>
          <w:b w:val="0"/>
          <w:bCs/>
        </w:rPr>
        <w:fldChar w:fldCharType="end"/>
      </w:r>
      <w:bookmarkEnd w:id="43"/>
      <w:r>
        <w:rPr>
          <w:rFonts w:ascii="黑体" w:eastAsia="黑体" w:hAnsi="黑体"/>
          <w:b w:val="0"/>
          <w:bCs/>
        </w:rPr>
        <w:t xml:space="preserve">  </w:t>
      </w:r>
      <w:r>
        <w:rPr>
          <w:rFonts w:ascii="黑体" w:eastAsia="黑体" w:hAnsi="黑体"/>
          <w:b w:val="0"/>
          <w:bCs/>
        </w:rPr>
        <w:t>故障树分析流程图</w:t>
      </w:r>
    </w:p>
    <w:p w:rsidR="0073700B" w:rsidRDefault="001A2FFC" w:rsidP="00F80BAC">
      <w:pPr>
        <w:spacing w:beforeLines="50" w:before="156" w:line="360" w:lineRule="auto"/>
        <w:ind w:firstLineChars="200" w:firstLine="480"/>
        <w:rPr>
          <w:bCs/>
          <w:sz w:val="24"/>
        </w:rPr>
      </w:pPr>
      <w:r>
        <w:rPr>
          <w:bCs/>
          <w:sz w:val="24"/>
          <w:szCs w:val="24"/>
        </w:rPr>
        <w:t>故障树的绘制见</w:t>
      </w:r>
      <w:r>
        <w:fldChar w:fldCharType="begin"/>
      </w:r>
      <w:r>
        <w:instrText xml:space="preserve"> REF _Ref29194100 \h  \* MERGEFORMAT </w:instrText>
      </w:r>
      <w:r>
        <w:fldChar w:fldCharType="separate"/>
      </w:r>
      <w:r>
        <w:rPr>
          <w:sz w:val="24"/>
          <w:szCs w:val="28"/>
        </w:rPr>
        <w:t>图</w:t>
      </w:r>
      <w:r>
        <w:rPr>
          <w:sz w:val="24"/>
          <w:szCs w:val="28"/>
        </w:rPr>
        <w:t>6</w:t>
      </w:r>
      <w:r>
        <w:rPr>
          <w:sz w:val="24"/>
          <w:szCs w:val="28"/>
        </w:rPr>
        <w:noBreakHyphen/>
        <w:t>6</w:t>
      </w:r>
      <w:r>
        <w:rPr>
          <w:sz w:val="24"/>
          <w:szCs w:val="28"/>
        </w:rPr>
        <w:fldChar w:fldCharType="end"/>
      </w:r>
      <w:r>
        <w:rPr>
          <w:bCs/>
          <w:sz w:val="24"/>
        </w:rPr>
        <w:t>，要分析的对象即为顶上事件（施工安</w:t>
      </w:r>
      <w:r>
        <w:rPr>
          <w:bCs/>
          <w:sz w:val="24"/>
        </w:rPr>
        <w:t>全事故），按逻辑关系可向下罗列顶上事件发生的一级条件及原因，一级条件及原因转换为一级事件，再向下罗列二级事件及原因（</w:t>
      </w:r>
      <w:r>
        <w:rPr>
          <w:bCs/>
          <w:i/>
          <w:iCs/>
          <w:sz w:val="24"/>
        </w:rPr>
        <w:t>A</w:t>
      </w:r>
      <w:r>
        <w:rPr>
          <w:bCs/>
          <w:i/>
          <w:iCs/>
          <w:sz w:val="24"/>
          <w:vertAlign w:val="subscript"/>
        </w:rPr>
        <w:t>1</w:t>
      </w:r>
      <w:r>
        <w:rPr>
          <w:bCs/>
          <w:i/>
          <w:iCs/>
          <w:sz w:val="24"/>
        </w:rPr>
        <w:t>、</w:t>
      </w:r>
      <w:r>
        <w:rPr>
          <w:bCs/>
          <w:i/>
          <w:iCs/>
          <w:sz w:val="24"/>
        </w:rPr>
        <w:t>A</w:t>
      </w:r>
      <w:r>
        <w:rPr>
          <w:bCs/>
          <w:i/>
          <w:iCs/>
          <w:sz w:val="24"/>
          <w:vertAlign w:val="subscript"/>
        </w:rPr>
        <w:t>2</w:t>
      </w:r>
      <w:r>
        <w:rPr>
          <w:bCs/>
          <w:i/>
          <w:iCs/>
          <w:sz w:val="24"/>
        </w:rPr>
        <w:t>……A</w:t>
      </w:r>
      <w:r>
        <w:rPr>
          <w:bCs/>
          <w:i/>
          <w:iCs/>
          <w:sz w:val="24"/>
          <w:vertAlign w:val="subscript"/>
        </w:rPr>
        <w:t>nn</w:t>
      </w:r>
      <w:r>
        <w:rPr>
          <w:bCs/>
          <w:sz w:val="24"/>
        </w:rPr>
        <w:t>），依次类推直至事故的基本事件（</w:t>
      </w:r>
      <w:r>
        <w:rPr>
          <w:bCs/>
          <w:i/>
          <w:iCs/>
          <w:sz w:val="24"/>
        </w:rPr>
        <w:t>A</w:t>
      </w:r>
      <w:r>
        <w:rPr>
          <w:bCs/>
          <w:i/>
          <w:iCs/>
          <w:sz w:val="24"/>
          <w:vertAlign w:val="subscript"/>
        </w:rPr>
        <w:t>11</w:t>
      </w:r>
      <w:r>
        <w:rPr>
          <w:bCs/>
          <w:i/>
          <w:iCs/>
          <w:sz w:val="24"/>
        </w:rPr>
        <w:t>、</w:t>
      </w:r>
      <w:r>
        <w:rPr>
          <w:bCs/>
          <w:i/>
          <w:iCs/>
          <w:sz w:val="24"/>
        </w:rPr>
        <w:t>A</w:t>
      </w:r>
      <w:r>
        <w:rPr>
          <w:bCs/>
          <w:i/>
          <w:iCs/>
          <w:sz w:val="24"/>
          <w:vertAlign w:val="subscript"/>
        </w:rPr>
        <w:t>12</w:t>
      </w:r>
      <w:r>
        <w:rPr>
          <w:bCs/>
          <w:i/>
          <w:iCs/>
          <w:sz w:val="24"/>
        </w:rPr>
        <w:t>……A</w:t>
      </w:r>
      <w:r>
        <w:rPr>
          <w:bCs/>
          <w:i/>
          <w:iCs/>
          <w:sz w:val="24"/>
          <w:vertAlign w:val="subscript"/>
        </w:rPr>
        <w:t>nn</w:t>
      </w:r>
      <w:r>
        <w:rPr>
          <w:bCs/>
          <w:sz w:val="24"/>
        </w:rPr>
        <w:t>）。目前该方法主要应用于定性评估。</w:t>
      </w:r>
    </w:p>
    <w:p w:rsidR="0073700B" w:rsidRDefault="00F80BAC">
      <w:pPr>
        <w:tabs>
          <w:tab w:val="left" w:pos="1507"/>
        </w:tabs>
        <w:jc w:val="center"/>
        <w:rPr>
          <w:bCs/>
          <w:sz w:val="24"/>
        </w:rPr>
      </w:pPr>
      <w:r>
        <w:rPr>
          <w:bCs/>
        </w:rPr>
        <w:pict>
          <v:shape id="_x0000_i1038" type="#_x0000_t75" style="width:246.25pt;height:177.4pt">
            <v:imagedata r:id="rId31" o:title=""/>
          </v:shape>
        </w:pict>
      </w:r>
    </w:p>
    <w:p w:rsidR="0073700B" w:rsidRDefault="001A2FFC">
      <w:pPr>
        <w:pStyle w:val="a6"/>
        <w:rPr>
          <w:rFonts w:ascii="黑体" w:eastAsia="黑体" w:hAnsi="黑体"/>
          <w:b w:val="0"/>
          <w:bCs/>
        </w:rPr>
      </w:pPr>
      <w:bookmarkStart w:id="44" w:name="_Ref29194100"/>
      <w:r>
        <w:rPr>
          <w:rFonts w:ascii="黑体" w:eastAsia="黑体" w:hAnsi="黑体"/>
          <w:b w:val="0"/>
          <w:bCs/>
        </w:rPr>
        <w:t>图</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图</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bookmarkEnd w:id="44"/>
      <w:r>
        <w:rPr>
          <w:rFonts w:ascii="黑体" w:eastAsia="黑体" w:hAnsi="黑体"/>
          <w:b w:val="0"/>
          <w:bCs/>
        </w:rPr>
        <w:t xml:space="preserve">  </w:t>
      </w:r>
      <w:r>
        <w:rPr>
          <w:rFonts w:ascii="黑体" w:eastAsia="黑体" w:hAnsi="黑体"/>
          <w:b w:val="0"/>
          <w:bCs/>
        </w:rPr>
        <w:t>隧道工程施工故障树</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4</w:t>
      </w:r>
      <w:r>
        <w:rPr>
          <w:rFonts w:hint="eastAsia"/>
          <w:bCs/>
          <w:sz w:val="24"/>
          <w:szCs w:val="20"/>
        </w:rPr>
        <w:t>）</w:t>
      </w:r>
      <w:r>
        <w:rPr>
          <w:bCs/>
          <w:sz w:val="24"/>
          <w:szCs w:val="20"/>
        </w:rPr>
        <w:t>风险估测</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风险估测是为了将风险源进行区分，确定风险等级便于安全管理。对于风险的大小，综合考虑风险事件可能性和风险事件严重程度，利用风险矩阵综合确定风险源的风险等级。</w:t>
      </w:r>
    </w:p>
    <w:p w:rsidR="0073700B" w:rsidRDefault="001A2FFC" w:rsidP="00F80BAC">
      <w:pPr>
        <w:spacing w:beforeLines="50" w:before="156" w:line="360" w:lineRule="auto"/>
        <w:ind w:firstLineChars="200" w:firstLine="480"/>
        <w:rPr>
          <w:bCs/>
          <w:sz w:val="24"/>
          <w:szCs w:val="20"/>
        </w:rPr>
      </w:pPr>
      <w:r>
        <w:rPr>
          <w:rFonts w:hint="eastAsia"/>
          <w:bCs/>
          <w:sz w:val="24"/>
          <w:szCs w:val="20"/>
        </w:rPr>
        <w:lastRenderedPageBreak/>
        <w:t>②</w:t>
      </w:r>
      <w:r>
        <w:rPr>
          <w:bCs/>
          <w:sz w:val="24"/>
          <w:szCs w:val="20"/>
        </w:rPr>
        <w:t>风险估测方法应结合施工组织设计、风险事件的特点等因素确定。</w:t>
      </w:r>
    </w:p>
    <w:p w:rsidR="0073700B" w:rsidRDefault="001A2FFC" w:rsidP="00F80BAC">
      <w:pPr>
        <w:spacing w:beforeLines="50" w:before="156" w:line="360" w:lineRule="auto"/>
        <w:ind w:firstLineChars="200" w:firstLine="480"/>
        <w:rPr>
          <w:bCs/>
          <w:sz w:val="24"/>
          <w:szCs w:val="20"/>
        </w:rPr>
      </w:pPr>
      <w:r>
        <w:rPr>
          <w:rFonts w:hint="eastAsia"/>
          <w:bCs/>
          <w:sz w:val="24"/>
          <w:szCs w:val="20"/>
        </w:rPr>
        <w:t>③</w:t>
      </w:r>
      <w:r>
        <w:rPr>
          <w:bCs/>
          <w:sz w:val="24"/>
          <w:szCs w:val="20"/>
        </w:rPr>
        <w:t>明确了一般风险源和重大风险源的关系。在进行风险估测时，所有风险源均先视为一般风险源进行一般风险源风险估测，对于一般风险源风险估测中风险等级较高的风险源，将其列为重大风险源，再进行重大风险源风险估测。由此可见，虽然风险源分为一般风险源和重大风险源，但是由于重大风险源无法直接识别出，只能从一般风</w:t>
      </w:r>
      <w:r>
        <w:rPr>
          <w:bCs/>
          <w:sz w:val="24"/>
          <w:szCs w:val="20"/>
        </w:rPr>
        <w:t>险源风险估测产生，这是本标准不能取消一般风险源估测最根本的原因，所以一般风险源风险估测包括对重大风险源的初步定性或者半定量估测。从通俗意义上说，一般风险源估测即为风险源估测。</w:t>
      </w:r>
    </w:p>
    <w:p w:rsidR="0073700B" w:rsidRDefault="001A2FFC" w:rsidP="00F80BAC">
      <w:pPr>
        <w:spacing w:beforeLines="50" w:before="156" w:line="360" w:lineRule="auto"/>
        <w:ind w:firstLineChars="200" w:firstLine="480"/>
        <w:rPr>
          <w:bCs/>
          <w:sz w:val="24"/>
          <w:szCs w:val="20"/>
        </w:rPr>
      </w:pPr>
      <w:r>
        <w:rPr>
          <w:bCs/>
          <w:sz w:val="24"/>
          <w:szCs w:val="20"/>
        </w:rPr>
        <w:t>此外，定义一般风险源风险估测的</w:t>
      </w:r>
      <w:r>
        <w:rPr>
          <w:bCs/>
          <w:sz w:val="24"/>
          <w:szCs w:val="20"/>
        </w:rPr>
        <w:t>“</w:t>
      </w:r>
      <w:r>
        <w:rPr>
          <w:bCs/>
          <w:sz w:val="24"/>
          <w:szCs w:val="20"/>
        </w:rPr>
        <w:t>较高</w:t>
      </w:r>
      <w:r>
        <w:rPr>
          <w:bCs/>
          <w:sz w:val="24"/>
          <w:szCs w:val="20"/>
        </w:rPr>
        <w:t>”</w:t>
      </w:r>
      <w:r>
        <w:rPr>
          <w:bCs/>
          <w:sz w:val="24"/>
          <w:szCs w:val="20"/>
        </w:rPr>
        <w:t>等级，可依据选取的评估方法。例如常用的</w:t>
      </w:r>
      <w:r>
        <w:rPr>
          <w:bCs/>
          <w:sz w:val="24"/>
          <w:szCs w:val="20"/>
        </w:rPr>
        <w:t>LEC</w:t>
      </w:r>
      <w:r>
        <w:rPr>
          <w:bCs/>
          <w:sz w:val="24"/>
          <w:szCs w:val="20"/>
        </w:rPr>
        <w:t>法（见</w:t>
      </w:r>
      <w:r>
        <w:rPr>
          <w:bCs/>
          <w:sz w:val="24"/>
          <w:szCs w:val="20"/>
        </w:rPr>
        <w:t>6.5.3</w:t>
      </w:r>
      <w:r>
        <w:rPr>
          <w:bCs/>
          <w:sz w:val="24"/>
          <w:szCs w:val="20"/>
        </w:rPr>
        <w:t>），对于风险分值高于</w:t>
      </w:r>
      <w:r>
        <w:rPr>
          <w:bCs/>
          <w:sz w:val="24"/>
          <w:szCs w:val="20"/>
        </w:rPr>
        <w:t>70</w:t>
      </w:r>
      <w:r>
        <w:rPr>
          <w:bCs/>
          <w:sz w:val="24"/>
          <w:szCs w:val="20"/>
        </w:rPr>
        <w:t>分及以上的的一般风险源定义为</w:t>
      </w:r>
      <w:r>
        <w:rPr>
          <w:bCs/>
          <w:sz w:val="24"/>
          <w:szCs w:val="20"/>
        </w:rPr>
        <w:t>“</w:t>
      </w:r>
      <w:r>
        <w:rPr>
          <w:bCs/>
          <w:sz w:val="24"/>
          <w:szCs w:val="20"/>
        </w:rPr>
        <w:t>较高</w:t>
      </w:r>
      <w:r>
        <w:rPr>
          <w:bCs/>
          <w:sz w:val="24"/>
          <w:szCs w:val="20"/>
        </w:rPr>
        <w:t>”</w:t>
      </w:r>
      <w:r>
        <w:rPr>
          <w:bCs/>
          <w:sz w:val="24"/>
          <w:szCs w:val="20"/>
        </w:rPr>
        <w:t>等级，其它评估方法根据具体情况确定。</w:t>
      </w:r>
    </w:p>
    <w:p w:rsidR="0073700B" w:rsidRDefault="001A2FFC" w:rsidP="00F80BAC">
      <w:pPr>
        <w:spacing w:beforeLines="50" w:before="156" w:line="360" w:lineRule="auto"/>
        <w:ind w:firstLineChars="200" w:firstLine="480"/>
        <w:rPr>
          <w:bCs/>
          <w:sz w:val="24"/>
          <w:szCs w:val="20"/>
        </w:rPr>
      </w:pPr>
      <w:r>
        <w:rPr>
          <w:rFonts w:hint="eastAsia"/>
          <w:bCs/>
          <w:sz w:val="24"/>
          <w:szCs w:val="20"/>
        </w:rPr>
        <w:t>④</w:t>
      </w:r>
      <w:r>
        <w:rPr>
          <w:bCs/>
          <w:sz w:val="24"/>
          <w:szCs w:val="20"/>
        </w:rPr>
        <w:t>将风险事件可能性等级分为</w:t>
      </w:r>
      <w:r>
        <w:rPr>
          <w:bCs/>
          <w:sz w:val="24"/>
          <w:szCs w:val="20"/>
        </w:rPr>
        <w:t>5</w:t>
      </w:r>
      <w:r>
        <w:rPr>
          <w:bCs/>
          <w:sz w:val="24"/>
          <w:szCs w:val="20"/>
        </w:rPr>
        <w:t>级，主要参照了《</w:t>
      </w:r>
      <w:r>
        <w:rPr>
          <w:bCs/>
          <w:sz w:val="24"/>
          <w:szCs w:val="20"/>
        </w:rPr>
        <w:t>Guidelines for tunnelling risk management</w:t>
      </w:r>
      <w:r>
        <w:rPr>
          <w:bCs/>
          <w:sz w:val="24"/>
          <w:szCs w:val="20"/>
        </w:rPr>
        <w:t>》</w:t>
      </w:r>
      <w:r>
        <w:rPr>
          <w:bCs/>
          <w:sz w:val="24"/>
          <w:szCs w:val="20"/>
        </w:rPr>
        <w:fldChar w:fldCharType="begin"/>
      </w:r>
      <w:r>
        <w:rPr>
          <w:bCs/>
          <w:sz w:val="24"/>
          <w:szCs w:val="20"/>
        </w:rPr>
        <w:instrText xml:space="preserve"> ADDIN</w:instrText>
      </w:r>
      <w:r>
        <w:rPr>
          <w:bCs/>
          <w:sz w:val="24"/>
          <w:szCs w:val="20"/>
        </w:rPr>
        <w:instrText xml:space="preserve"> NE.Ref.{4A287DF8-E5B6-4C75-9C28-08C305E372D5}</w:instrText>
      </w:r>
      <w:r>
        <w:rPr>
          <w:bCs/>
          <w:sz w:val="24"/>
          <w:szCs w:val="20"/>
        </w:rPr>
        <w:fldChar w:fldCharType="separate"/>
      </w:r>
      <w:r>
        <w:rPr>
          <w:color w:val="080000"/>
          <w:kern w:val="0"/>
          <w:sz w:val="24"/>
          <w:szCs w:val="24"/>
          <w:vertAlign w:val="superscript"/>
        </w:rPr>
        <w:t>[18]</w:t>
      </w:r>
      <w:r>
        <w:rPr>
          <w:bCs/>
          <w:sz w:val="24"/>
          <w:szCs w:val="20"/>
        </w:rPr>
        <w:fldChar w:fldCharType="end"/>
      </w:r>
      <w:r>
        <w:rPr>
          <w:bCs/>
          <w:sz w:val="24"/>
          <w:szCs w:val="20"/>
        </w:rPr>
        <w:t>、《港口工程施工安全风险评估指南》</w:t>
      </w:r>
      <w:r>
        <w:rPr>
          <w:bCs/>
          <w:sz w:val="24"/>
          <w:szCs w:val="20"/>
        </w:rPr>
        <w:fldChar w:fldCharType="begin"/>
      </w:r>
      <w:r>
        <w:rPr>
          <w:bCs/>
          <w:sz w:val="24"/>
          <w:szCs w:val="20"/>
        </w:rPr>
        <w:instrText xml:space="preserve"> ADDIN NE.Ref.{19B0A65F-C154-49EC-9165-8366FE87E4D4}</w:instrText>
      </w:r>
      <w:r>
        <w:rPr>
          <w:bCs/>
          <w:sz w:val="24"/>
          <w:szCs w:val="20"/>
        </w:rPr>
        <w:fldChar w:fldCharType="separate"/>
      </w:r>
      <w:r>
        <w:rPr>
          <w:color w:val="080000"/>
          <w:kern w:val="0"/>
          <w:sz w:val="24"/>
          <w:szCs w:val="24"/>
          <w:vertAlign w:val="superscript"/>
        </w:rPr>
        <w:t>[19]</w:t>
      </w:r>
      <w:r>
        <w:rPr>
          <w:bCs/>
          <w:sz w:val="24"/>
          <w:szCs w:val="20"/>
        </w:rPr>
        <w:fldChar w:fldCharType="end"/>
      </w:r>
      <w:r>
        <w:rPr>
          <w:bCs/>
          <w:sz w:val="24"/>
          <w:szCs w:val="20"/>
        </w:rPr>
        <w:t>、《铁路隧道风险评估暂行规定》</w:t>
      </w:r>
      <w:r>
        <w:rPr>
          <w:bCs/>
          <w:sz w:val="24"/>
          <w:szCs w:val="20"/>
        </w:rPr>
        <w:fldChar w:fldCharType="begin"/>
      </w:r>
      <w:r>
        <w:rPr>
          <w:bCs/>
          <w:sz w:val="24"/>
          <w:szCs w:val="20"/>
        </w:rPr>
        <w:instrText xml:space="preserve"> ADDIN NE.Ref.{CCE7651B-69DC-4893-A0E3-94EE4DFF9E7C}</w:instrText>
      </w:r>
      <w:r>
        <w:rPr>
          <w:bCs/>
          <w:sz w:val="24"/>
          <w:szCs w:val="20"/>
        </w:rPr>
        <w:fldChar w:fldCharType="separate"/>
      </w:r>
      <w:r>
        <w:rPr>
          <w:color w:val="080000"/>
          <w:kern w:val="0"/>
          <w:sz w:val="24"/>
          <w:szCs w:val="24"/>
          <w:vertAlign w:val="superscript"/>
        </w:rPr>
        <w:t>[20]</w:t>
      </w:r>
      <w:r>
        <w:rPr>
          <w:bCs/>
          <w:sz w:val="24"/>
          <w:szCs w:val="20"/>
        </w:rPr>
        <w:fldChar w:fldCharType="end"/>
      </w:r>
      <w:r>
        <w:rPr>
          <w:bCs/>
          <w:sz w:val="24"/>
          <w:szCs w:val="20"/>
        </w:rPr>
        <w:t>、《公路桥梁和隧道工程设计安全风险评估指南</w:t>
      </w:r>
      <w:r>
        <w:rPr>
          <w:bCs/>
          <w:sz w:val="24"/>
          <w:szCs w:val="20"/>
        </w:rPr>
        <w:t>(</w:t>
      </w:r>
      <w:r>
        <w:rPr>
          <w:bCs/>
          <w:sz w:val="24"/>
          <w:szCs w:val="20"/>
        </w:rPr>
        <w:t>试行</w:t>
      </w:r>
      <w:r>
        <w:rPr>
          <w:bCs/>
          <w:sz w:val="24"/>
          <w:szCs w:val="20"/>
        </w:rPr>
        <w:t>)</w:t>
      </w:r>
      <w:r>
        <w:rPr>
          <w:bCs/>
          <w:sz w:val="24"/>
          <w:szCs w:val="20"/>
        </w:rPr>
        <w:t>》</w:t>
      </w:r>
      <w:r>
        <w:rPr>
          <w:bCs/>
          <w:sz w:val="24"/>
          <w:szCs w:val="20"/>
        </w:rPr>
        <w:fldChar w:fldCharType="begin"/>
      </w:r>
      <w:r>
        <w:rPr>
          <w:bCs/>
          <w:sz w:val="24"/>
          <w:szCs w:val="20"/>
        </w:rPr>
        <w:instrText xml:space="preserve"> ADDIN NE.Ref.{EED58BCA-C08</w:instrText>
      </w:r>
      <w:r>
        <w:rPr>
          <w:bCs/>
          <w:sz w:val="24"/>
          <w:szCs w:val="20"/>
        </w:rPr>
        <w:instrText>4-4FBF-9D2C-79C9B3BA3626}</w:instrText>
      </w:r>
      <w:r>
        <w:rPr>
          <w:bCs/>
          <w:sz w:val="24"/>
          <w:szCs w:val="20"/>
        </w:rPr>
        <w:fldChar w:fldCharType="separate"/>
      </w:r>
      <w:r>
        <w:rPr>
          <w:color w:val="080000"/>
          <w:kern w:val="0"/>
          <w:sz w:val="24"/>
          <w:szCs w:val="24"/>
          <w:vertAlign w:val="superscript"/>
        </w:rPr>
        <w:t>[21]</w:t>
      </w:r>
      <w:r>
        <w:rPr>
          <w:bCs/>
          <w:sz w:val="24"/>
          <w:szCs w:val="20"/>
        </w:rPr>
        <w:fldChar w:fldCharType="end"/>
      </w:r>
      <w:r>
        <w:rPr>
          <w:bCs/>
          <w:sz w:val="24"/>
          <w:szCs w:val="20"/>
        </w:rPr>
        <w:t>、《地铁及地下工程建设风险管理指南》</w:t>
      </w:r>
      <w:r>
        <w:rPr>
          <w:bCs/>
          <w:sz w:val="24"/>
          <w:szCs w:val="20"/>
        </w:rPr>
        <w:fldChar w:fldCharType="begin"/>
      </w:r>
      <w:r>
        <w:rPr>
          <w:bCs/>
          <w:sz w:val="24"/>
          <w:szCs w:val="20"/>
        </w:rPr>
        <w:instrText xml:space="preserve"> ADDIN NE.Ref.{34679279-F997-4EBE-B331-0D8F4A9A124F}</w:instrText>
      </w:r>
      <w:r>
        <w:rPr>
          <w:bCs/>
          <w:sz w:val="24"/>
          <w:szCs w:val="20"/>
        </w:rPr>
        <w:fldChar w:fldCharType="separate"/>
      </w:r>
      <w:r>
        <w:rPr>
          <w:color w:val="080000"/>
          <w:kern w:val="0"/>
          <w:sz w:val="24"/>
          <w:szCs w:val="24"/>
          <w:vertAlign w:val="superscript"/>
        </w:rPr>
        <w:t>[22]</w:t>
      </w:r>
      <w:r>
        <w:rPr>
          <w:bCs/>
          <w:sz w:val="24"/>
          <w:szCs w:val="20"/>
        </w:rPr>
        <w:fldChar w:fldCharType="end"/>
      </w:r>
      <w:r>
        <w:rPr>
          <w:bCs/>
          <w:sz w:val="24"/>
          <w:szCs w:val="20"/>
        </w:rPr>
        <w:t>等国内外标准规范通行做法。</w:t>
      </w:r>
    </w:p>
    <w:p w:rsidR="0073700B" w:rsidRDefault="001A2FFC" w:rsidP="00F80BAC">
      <w:pPr>
        <w:spacing w:beforeLines="50" w:before="156" w:line="360" w:lineRule="auto"/>
        <w:ind w:firstLineChars="200" w:firstLine="480"/>
        <w:rPr>
          <w:bCs/>
          <w:sz w:val="24"/>
          <w:szCs w:val="20"/>
        </w:rPr>
      </w:pPr>
      <w:r>
        <w:rPr>
          <w:rFonts w:hint="eastAsia"/>
          <w:bCs/>
          <w:sz w:val="24"/>
          <w:szCs w:val="20"/>
        </w:rPr>
        <w:t>⑤</w:t>
      </w:r>
      <w:r>
        <w:rPr>
          <w:bCs/>
          <w:sz w:val="24"/>
          <w:szCs w:val="20"/>
        </w:rPr>
        <w:t>将风险事件严重程度的等级分成</w:t>
      </w:r>
      <w:r>
        <w:rPr>
          <w:bCs/>
          <w:sz w:val="24"/>
          <w:szCs w:val="20"/>
        </w:rPr>
        <w:t>5</w:t>
      </w:r>
      <w:r>
        <w:rPr>
          <w:bCs/>
          <w:sz w:val="24"/>
          <w:szCs w:val="20"/>
        </w:rPr>
        <w:t>级，并提供两种确定风险事件严重程度的方法：</w:t>
      </w:r>
      <w:r>
        <w:rPr>
          <w:rFonts w:hint="eastAsia"/>
          <w:bCs/>
          <w:sz w:val="24"/>
          <w:szCs w:val="20"/>
        </w:rPr>
        <w:t>第一种方法一</w:t>
      </w:r>
      <w:r>
        <w:rPr>
          <w:bCs/>
          <w:sz w:val="24"/>
          <w:szCs w:val="20"/>
        </w:rPr>
        <w:t>般主要考虑人员伤亡和直接经济损失</w:t>
      </w:r>
      <w:r>
        <w:rPr>
          <w:rFonts w:hint="eastAsia"/>
          <w:bCs/>
          <w:sz w:val="24"/>
          <w:szCs w:val="20"/>
        </w:rPr>
        <w:t>；</w:t>
      </w:r>
      <w:r>
        <w:rPr>
          <w:bCs/>
          <w:sz w:val="24"/>
          <w:szCs w:val="20"/>
        </w:rPr>
        <w:t>当多种后果同时产生时，应考虑人员伤亡、直接经济损失、社会影响、环境影响、工期延误，宜采用</w:t>
      </w:r>
      <w:r>
        <w:rPr>
          <w:rFonts w:hint="eastAsia"/>
          <w:bCs/>
          <w:sz w:val="24"/>
          <w:szCs w:val="20"/>
        </w:rPr>
        <w:t>第二种方法——</w:t>
      </w:r>
      <w:r>
        <w:rPr>
          <w:bCs/>
          <w:sz w:val="24"/>
          <w:szCs w:val="20"/>
        </w:rPr>
        <w:t>后果当量法确定风险事件严重程度等级。</w:t>
      </w:r>
    </w:p>
    <w:p w:rsidR="0073700B" w:rsidRDefault="001A2FFC" w:rsidP="00F80BAC">
      <w:pPr>
        <w:spacing w:beforeLines="50" w:before="156" w:line="360" w:lineRule="auto"/>
        <w:ind w:firstLineChars="200" w:firstLine="480"/>
        <w:rPr>
          <w:bCs/>
          <w:sz w:val="24"/>
          <w:szCs w:val="20"/>
        </w:rPr>
      </w:pPr>
      <w:r>
        <w:rPr>
          <w:rFonts w:hint="eastAsia"/>
          <w:bCs/>
          <w:sz w:val="24"/>
          <w:szCs w:val="20"/>
        </w:rPr>
        <w:t>a</w:t>
      </w:r>
      <w:r>
        <w:rPr>
          <w:rFonts w:hint="eastAsia"/>
          <w:bCs/>
          <w:sz w:val="24"/>
          <w:szCs w:val="20"/>
        </w:rPr>
        <w:t>）</w:t>
      </w:r>
      <w:r>
        <w:rPr>
          <w:bCs/>
          <w:sz w:val="24"/>
          <w:szCs w:val="20"/>
        </w:rPr>
        <w:t>人员伤亡和直接经济损失的程度等级划分主要参考《</w:t>
      </w:r>
      <w:r>
        <w:rPr>
          <w:bCs/>
          <w:sz w:val="24"/>
          <w:szCs w:val="20"/>
        </w:rPr>
        <w:t>Q/CR 9006-2014</w:t>
      </w:r>
      <w:r>
        <w:rPr>
          <w:bCs/>
          <w:sz w:val="24"/>
          <w:szCs w:val="20"/>
        </w:rPr>
        <w:t>铁路建设工程风险管理技术规范》，一般情况下，从人员伤亡和直接经济损失两个方面并采用就高原则确定风险事件严重程度。</w:t>
      </w:r>
    </w:p>
    <w:p w:rsidR="0073700B" w:rsidRDefault="001A2FFC" w:rsidP="00F80BAC">
      <w:pPr>
        <w:spacing w:beforeLines="50" w:before="156" w:line="360" w:lineRule="auto"/>
        <w:ind w:firstLineChars="200" w:firstLine="480"/>
        <w:rPr>
          <w:bCs/>
          <w:sz w:val="24"/>
          <w:szCs w:val="20"/>
        </w:rPr>
      </w:pPr>
      <w:r>
        <w:rPr>
          <w:rFonts w:hint="eastAsia"/>
          <w:bCs/>
          <w:sz w:val="24"/>
          <w:szCs w:val="20"/>
        </w:rPr>
        <w:t>b</w:t>
      </w:r>
      <w:r>
        <w:rPr>
          <w:rFonts w:hint="eastAsia"/>
          <w:bCs/>
          <w:sz w:val="24"/>
          <w:szCs w:val="20"/>
        </w:rPr>
        <w:t>）</w:t>
      </w:r>
      <w:r>
        <w:rPr>
          <w:bCs/>
          <w:sz w:val="24"/>
          <w:szCs w:val="20"/>
        </w:rPr>
        <w:t>当多种后果同时产生时，在人员伤亡、直接经济损失的基础上，参照《</w:t>
      </w:r>
      <w:r>
        <w:rPr>
          <w:bCs/>
          <w:sz w:val="24"/>
          <w:szCs w:val="20"/>
        </w:rPr>
        <w:t>Guidelines for tunnelling risk management</w:t>
      </w:r>
      <w:r>
        <w:rPr>
          <w:bCs/>
          <w:sz w:val="24"/>
          <w:szCs w:val="20"/>
        </w:rPr>
        <w:t>》</w:t>
      </w:r>
      <w:r>
        <w:rPr>
          <w:bCs/>
          <w:sz w:val="24"/>
          <w:szCs w:val="20"/>
        </w:rPr>
        <w:fldChar w:fldCharType="begin"/>
      </w:r>
      <w:r>
        <w:rPr>
          <w:bCs/>
          <w:sz w:val="24"/>
          <w:szCs w:val="20"/>
        </w:rPr>
        <w:instrText xml:space="preserve"> ADDIN NE.Ref.{C0248C6B-0443-4BA7-B730-FB4FCC8CB2F7}</w:instrText>
      </w:r>
      <w:r>
        <w:rPr>
          <w:bCs/>
          <w:sz w:val="24"/>
          <w:szCs w:val="20"/>
        </w:rPr>
        <w:fldChar w:fldCharType="separate"/>
      </w:r>
      <w:r>
        <w:rPr>
          <w:color w:val="080000"/>
          <w:kern w:val="0"/>
          <w:sz w:val="24"/>
          <w:szCs w:val="24"/>
          <w:vertAlign w:val="superscript"/>
        </w:rPr>
        <w:t>[18]</w:t>
      </w:r>
      <w:r>
        <w:rPr>
          <w:bCs/>
          <w:sz w:val="24"/>
          <w:szCs w:val="20"/>
        </w:rPr>
        <w:fldChar w:fldCharType="end"/>
      </w:r>
      <w:r>
        <w:rPr>
          <w:bCs/>
          <w:sz w:val="24"/>
          <w:szCs w:val="20"/>
        </w:rPr>
        <w:t>、《铁路隧道风险评估暂行规定》</w:t>
      </w:r>
      <w:r>
        <w:rPr>
          <w:bCs/>
          <w:sz w:val="24"/>
          <w:szCs w:val="20"/>
        </w:rPr>
        <w:fldChar w:fldCharType="begin"/>
      </w:r>
      <w:r>
        <w:rPr>
          <w:bCs/>
          <w:sz w:val="24"/>
          <w:szCs w:val="20"/>
        </w:rPr>
        <w:instrText xml:space="preserve"> ADDIN NE.Ref</w:instrText>
      </w:r>
      <w:r>
        <w:rPr>
          <w:bCs/>
          <w:sz w:val="24"/>
          <w:szCs w:val="20"/>
        </w:rPr>
        <w:instrText>.{0F6E5BE9-39B3-47F6-98CD-1669802E64DB}</w:instrText>
      </w:r>
      <w:r>
        <w:rPr>
          <w:bCs/>
          <w:sz w:val="24"/>
          <w:szCs w:val="20"/>
        </w:rPr>
        <w:fldChar w:fldCharType="separate"/>
      </w:r>
      <w:r>
        <w:rPr>
          <w:color w:val="080000"/>
          <w:kern w:val="0"/>
          <w:sz w:val="24"/>
          <w:szCs w:val="24"/>
          <w:vertAlign w:val="superscript"/>
        </w:rPr>
        <w:t>[20]</w:t>
      </w:r>
      <w:r>
        <w:rPr>
          <w:bCs/>
          <w:sz w:val="24"/>
          <w:szCs w:val="20"/>
        </w:rPr>
        <w:fldChar w:fldCharType="end"/>
      </w:r>
      <w:r>
        <w:rPr>
          <w:bCs/>
          <w:sz w:val="24"/>
          <w:szCs w:val="20"/>
        </w:rPr>
        <w:t>、《公路水路行业安全生产风险辨识评估管控基本规范</w:t>
      </w:r>
      <w:r>
        <w:rPr>
          <w:bCs/>
          <w:sz w:val="24"/>
          <w:szCs w:val="20"/>
        </w:rPr>
        <w:t>(</w:t>
      </w:r>
      <w:r>
        <w:rPr>
          <w:bCs/>
          <w:sz w:val="24"/>
          <w:szCs w:val="20"/>
        </w:rPr>
        <w:t>试行</w:t>
      </w:r>
      <w:r>
        <w:rPr>
          <w:bCs/>
          <w:sz w:val="24"/>
          <w:szCs w:val="20"/>
        </w:rPr>
        <w:t>)</w:t>
      </w:r>
      <w:r>
        <w:rPr>
          <w:bCs/>
          <w:sz w:val="24"/>
          <w:szCs w:val="20"/>
        </w:rPr>
        <w:t>》</w:t>
      </w:r>
      <w:r>
        <w:rPr>
          <w:bCs/>
          <w:sz w:val="24"/>
          <w:szCs w:val="20"/>
        </w:rPr>
        <w:fldChar w:fldCharType="begin"/>
      </w:r>
      <w:r>
        <w:rPr>
          <w:bCs/>
          <w:sz w:val="24"/>
          <w:szCs w:val="20"/>
        </w:rPr>
        <w:instrText xml:space="preserve"> ADDIN NE.Ref.{C36504C1-89C4-4C20-9865-D4E7D5FB87EA}</w:instrText>
      </w:r>
      <w:r>
        <w:rPr>
          <w:bCs/>
          <w:sz w:val="24"/>
          <w:szCs w:val="20"/>
        </w:rPr>
        <w:fldChar w:fldCharType="separate"/>
      </w:r>
      <w:r>
        <w:rPr>
          <w:color w:val="080000"/>
          <w:kern w:val="0"/>
          <w:sz w:val="24"/>
          <w:szCs w:val="24"/>
          <w:vertAlign w:val="superscript"/>
        </w:rPr>
        <w:t>[23]</w:t>
      </w:r>
      <w:r>
        <w:rPr>
          <w:bCs/>
          <w:sz w:val="24"/>
          <w:szCs w:val="20"/>
        </w:rPr>
        <w:fldChar w:fldCharType="end"/>
      </w:r>
      <w:r>
        <w:rPr>
          <w:bCs/>
          <w:sz w:val="24"/>
          <w:szCs w:val="20"/>
        </w:rPr>
        <w:t>等国内外标准规范，进一步考虑社会影响、环境影响、工期延长等方面影响，采用后果当量法确定风险事件严重程度等级。</w:t>
      </w:r>
    </w:p>
    <w:p w:rsidR="0073700B" w:rsidRDefault="001A2FFC" w:rsidP="00F80BAC">
      <w:pPr>
        <w:spacing w:beforeLines="50" w:before="156" w:line="360" w:lineRule="auto"/>
        <w:ind w:firstLineChars="200" w:firstLine="480"/>
        <w:rPr>
          <w:bCs/>
          <w:sz w:val="24"/>
          <w:szCs w:val="20"/>
        </w:rPr>
      </w:pPr>
      <w:r>
        <w:rPr>
          <w:bCs/>
          <w:sz w:val="24"/>
          <w:szCs w:val="20"/>
        </w:rPr>
        <w:lastRenderedPageBreak/>
        <w:t>针对公路隧道施工风险事件后果的多样性以及各种风险事件后果计量方式的不统一，根据文献《山岭铁路隧道工程施工风险评估及其应用研究》</w:t>
      </w:r>
      <w:r>
        <w:rPr>
          <w:bCs/>
          <w:sz w:val="24"/>
          <w:szCs w:val="20"/>
        </w:rPr>
        <w:fldChar w:fldCharType="begin"/>
      </w:r>
      <w:r>
        <w:rPr>
          <w:bCs/>
          <w:sz w:val="24"/>
          <w:szCs w:val="20"/>
        </w:rPr>
        <w:instrText xml:space="preserve"> ADD</w:instrText>
      </w:r>
      <w:r>
        <w:rPr>
          <w:bCs/>
          <w:sz w:val="24"/>
          <w:szCs w:val="20"/>
        </w:rPr>
        <w:instrText>IN NE.Ref.{395A3660-552A-4921-BD29-EBFC01C1BDC8}</w:instrText>
      </w:r>
      <w:r>
        <w:rPr>
          <w:bCs/>
          <w:sz w:val="24"/>
          <w:szCs w:val="20"/>
        </w:rPr>
        <w:fldChar w:fldCharType="separate"/>
      </w:r>
      <w:r>
        <w:rPr>
          <w:color w:val="080000"/>
          <w:kern w:val="0"/>
          <w:sz w:val="24"/>
          <w:szCs w:val="24"/>
          <w:vertAlign w:val="superscript"/>
        </w:rPr>
        <w:t>[24]</w:t>
      </w:r>
      <w:r>
        <w:rPr>
          <w:bCs/>
          <w:sz w:val="24"/>
          <w:szCs w:val="20"/>
        </w:rPr>
        <w:fldChar w:fldCharType="end"/>
      </w:r>
      <w:r>
        <w:rPr>
          <w:bCs/>
          <w:sz w:val="24"/>
          <w:szCs w:val="20"/>
        </w:rPr>
        <w:t>、《铁路隧道施工安全风险管理研究》</w:t>
      </w:r>
      <w:r>
        <w:rPr>
          <w:bCs/>
          <w:sz w:val="24"/>
          <w:szCs w:val="20"/>
        </w:rPr>
        <w:fldChar w:fldCharType="begin"/>
      </w:r>
      <w:r>
        <w:rPr>
          <w:bCs/>
          <w:sz w:val="24"/>
          <w:szCs w:val="20"/>
        </w:rPr>
        <w:instrText xml:space="preserve"> ADDIN NE.Ref.{424C7238-2C54-444A-A4D8-8C3521FA6D35}</w:instrText>
      </w:r>
      <w:r>
        <w:rPr>
          <w:bCs/>
          <w:sz w:val="24"/>
          <w:szCs w:val="20"/>
        </w:rPr>
        <w:fldChar w:fldCharType="separate"/>
      </w:r>
      <w:r>
        <w:rPr>
          <w:color w:val="080000"/>
          <w:kern w:val="0"/>
          <w:sz w:val="24"/>
          <w:szCs w:val="24"/>
          <w:vertAlign w:val="superscript"/>
        </w:rPr>
        <w:t>[25]</w:t>
      </w:r>
      <w:r>
        <w:rPr>
          <w:bCs/>
          <w:sz w:val="24"/>
          <w:szCs w:val="20"/>
        </w:rPr>
        <w:fldChar w:fldCharType="end"/>
      </w:r>
      <w:r>
        <w:rPr>
          <w:bCs/>
          <w:sz w:val="24"/>
          <w:szCs w:val="20"/>
        </w:rPr>
        <w:t>等文献，引入当量的概念，当多种后果同时产生时，采用后果当量法确定风险事故严重程度等级。</w:t>
      </w:r>
    </w:p>
    <w:p w:rsidR="0073700B" w:rsidRDefault="001A2FFC" w:rsidP="00F80BAC">
      <w:pPr>
        <w:spacing w:beforeLines="50" w:before="156" w:line="360" w:lineRule="auto"/>
        <w:ind w:firstLineChars="200" w:firstLine="480"/>
        <w:rPr>
          <w:bCs/>
          <w:sz w:val="24"/>
          <w:szCs w:val="20"/>
        </w:rPr>
      </w:pPr>
      <w:r>
        <w:rPr>
          <w:bCs/>
          <w:sz w:val="24"/>
          <w:szCs w:val="20"/>
        </w:rPr>
        <w:t>后果当量法的意义主要有两个，一是它能够综合考虑多种后果的影响，而不是单纯利用就高原则来确定严重程度等级，这可以避免对风险事件严重程度的误判；另一方面，后果当量法考</w:t>
      </w:r>
      <w:r>
        <w:rPr>
          <w:bCs/>
          <w:sz w:val="24"/>
          <w:szCs w:val="20"/>
        </w:rPr>
        <w:t>虑并量化了社会、环境影响等，尤其是当量值的引入，可以更直观地认识到各后果严重程度的大小，统一的衡量标准对于施工人员对风险的理解具有重要意义。</w:t>
      </w:r>
    </w:p>
    <w:p w:rsidR="0073700B" w:rsidRDefault="001A2FFC" w:rsidP="00F80BAC">
      <w:pPr>
        <w:spacing w:beforeLines="50" w:before="156" w:line="360" w:lineRule="auto"/>
        <w:ind w:firstLineChars="200" w:firstLine="480"/>
        <w:rPr>
          <w:bCs/>
          <w:sz w:val="24"/>
          <w:szCs w:val="20"/>
        </w:rPr>
      </w:pPr>
      <w:r>
        <w:rPr>
          <w:bCs/>
          <w:sz w:val="24"/>
          <w:szCs w:val="20"/>
        </w:rPr>
        <w:t>如何确定各后果之前的换算标准是后果当量法是否合理有效的关键，以下给出本标准确定各后果当量值参考的相关规范和说明：</w:t>
      </w:r>
    </w:p>
    <w:p w:rsidR="0073700B" w:rsidRDefault="001A2FFC" w:rsidP="00F80BAC">
      <w:pPr>
        <w:spacing w:beforeLines="50" w:before="156" w:line="360" w:lineRule="auto"/>
        <w:ind w:firstLineChars="200" w:firstLine="480"/>
        <w:rPr>
          <w:bCs/>
          <w:sz w:val="24"/>
          <w:szCs w:val="20"/>
        </w:rPr>
      </w:pPr>
      <w:r>
        <w:rPr>
          <w:rFonts w:hint="eastAsia"/>
          <w:bCs/>
          <w:sz w:val="24"/>
          <w:szCs w:val="20"/>
        </w:rPr>
        <w:t>Ⅰ）</w:t>
      </w:r>
      <w:r>
        <w:rPr>
          <w:bCs/>
          <w:sz w:val="24"/>
          <w:szCs w:val="20"/>
        </w:rPr>
        <w:t>人员伤亡</w:t>
      </w:r>
      <w:r>
        <w:rPr>
          <w:rFonts w:hint="eastAsia"/>
          <w:bCs/>
          <w:sz w:val="24"/>
          <w:szCs w:val="20"/>
        </w:rPr>
        <w:t>：</w:t>
      </w:r>
    </w:p>
    <w:p w:rsidR="0073700B" w:rsidRDefault="001A2FFC">
      <w:pPr>
        <w:pStyle w:val="a6"/>
        <w:ind w:left="879"/>
        <w:rPr>
          <w:rFonts w:ascii="黑体" w:eastAsia="黑体" w:hAnsi="黑体"/>
          <w:b w:val="0"/>
          <w:bCs/>
          <w:sz w:val="22"/>
          <w:szCs w:val="22"/>
        </w:rPr>
      </w:pPr>
      <w:r>
        <w:rPr>
          <w:rFonts w:ascii="黑体" w:eastAsia="黑体" w:hAnsi="黑体"/>
          <w:b w:val="0"/>
          <w:bCs/>
          <w:sz w:val="22"/>
          <w:szCs w:val="22"/>
        </w:rPr>
        <w:t>表</w:t>
      </w:r>
      <w:r>
        <w:rPr>
          <w:rFonts w:ascii="黑体" w:eastAsia="黑体" w:hAnsi="黑体"/>
          <w:b w:val="0"/>
          <w:bCs/>
          <w:sz w:val="22"/>
          <w:szCs w:val="22"/>
        </w:rPr>
        <w:fldChar w:fldCharType="begin"/>
      </w:r>
      <w:r>
        <w:rPr>
          <w:rFonts w:ascii="黑体" w:eastAsia="黑体" w:hAnsi="黑体"/>
          <w:b w:val="0"/>
          <w:bCs/>
          <w:sz w:val="22"/>
          <w:szCs w:val="22"/>
        </w:rPr>
        <w:instrText xml:space="preserve"> STYLEREF 3 \s </w:instrText>
      </w:r>
      <w:r>
        <w:rPr>
          <w:rFonts w:ascii="黑体" w:eastAsia="黑体" w:hAnsi="黑体"/>
          <w:b w:val="0"/>
          <w:bCs/>
          <w:sz w:val="22"/>
          <w:szCs w:val="22"/>
        </w:rPr>
        <w:fldChar w:fldCharType="separate"/>
      </w:r>
      <w:r>
        <w:rPr>
          <w:rFonts w:ascii="黑体" w:eastAsia="黑体" w:hAnsi="黑体"/>
          <w:b w:val="0"/>
          <w:bCs/>
          <w:sz w:val="22"/>
          <w:szCs w:val="22"/>
        </w:rPr>
        <w:t>6</w:t>
      </w:r>
      <w:r>
        <w:rPr>
          <w:rFonts w:ascii="黑体" w:eastAsia="黑体" w:hAnsi="黑体"/>
          <w:b w:val="0"/>
          <w:bCs/>
          <w:sz w:val="22"/>
          <w:szCs w:val="22"/>
        </w:rPr>
        <w:fldChar w:fldCharType="end"/>
      </w:r>
      <w:r>
        <w:rPr>
          <w:rFonts w:ascii="黑体" w:eastAsia="黑体" w:hAnsi="黑体"/>
          <w:b w:val="0"/>
          <w:bCs/>
          <w:sz w:val="22"/>
          <w:szCs w:val="22"/>
        </w:rPr>
        <w:noBreakHyphen/>
      </w:r>
      <w:r>
        <w:rPr>
          <w:rFonts w:ascii="黑体" w:eastAsia="黑体" w:hAnsi="黑体"/>
          <w:b w:val="0"/>
          <w:bCs/>
          <w:sz w:val="22"/>
          <w:szCs w:val="22"/>
        </w:rPr>
        <w:fldChar w:fldCharType="begin"/>
      </w:r>
      <w:r>
        <w:rPr>
          <w:rFonts w:ascii="黑体" w:eastAsia="黑体" w:hAnsi="黑体"/>
          <w:b w:val="0"/>
          <w:bCs/>
          <w:sz w:val="22"/>
          <w:szCs w:val="22"/>
        </w:rPr>
        <w:instrText xml:space="preserve"> SEQ </w:instrText>
      </w:r>
      <w:r>
        <w:rPr>
          <w:rFonts w:ascii="黑体" w:eastAsia="黑体" w:hAnsi="黑体"/>
          <w:b w:val="0"/>
          <w:bCs/>
          <w:sz w:val="22"/>
          <w:szCs w:val="22"/>
        </w:rPr>
        <w:instrText>表</w:instrText>
      </w:r>
      <w:r>
        <w:rPr>
          <w:rFonts w:ascii="黑体" w:eastAsia="黑体" w:hAnsi="黑体"/>
          <w:b w:val="0"/>
          <w:bCs/>
          <w:sz w:val="22"/>
          <w:szCs w:val="22"/>
        </w:rPr>
        <w:instrText xml:space="preserve"> \* ARABIC \s 3 </w:instrText>
      </w:r>
      <w:r>
        <w:rPr>
          <w:rFonts w:ascii="黑体" w:eastAsia="黑体" w:hAnsi="黑体"/>
          <w:b w:val="0"/>
          <w:bCs/>
          <w:sz w:val="22"/>
          <w:szCs w:val="22"/>
        </w:rPr>
        <w:fldChar w:fldCharType="separate"/>
      </w:r>
      <w:r>
        <w:rPr>
          <w:rFonts w:ascii="黑体" w:eastAsia="黑体" w:hAnsi="黑体"/>
          <w:b w:val="0"/>
          <w:bCs/>
          <w:sz w:val="22"/>
          <w:szCs w:val="22"/>
        </w:rPr>
        <w:t>4</w:t>
      </w:r>
      <w:r>
        <w:rPr>
          <w:rFonts w:ascii="黑体" w:eastAsia="黑体" w:hAnsi="黑体"/>
          <w:b w:val="0"/>
          <w:bCs/>
          <w:sz w:val="22"/>
          <w:szCs w:val="22"/>
        </w:rPr>
        <w:fldChar w:fldCharType="end"/>
      </w:r>
      <w:r>
        <w:rPr>
          <w:rFonts w:ascii="黑体" w:eastAsia="黑体" w:hAnsi="黑体"/>
          <w:b w:val="0"/>
          <w:bCs/>
          <w:sz w:val="22"/>
          <w:szCs w:val="22"/>
        </w:rPr>
        <w:t xml:space="preserve">  </w:t>
      </w:r>
      <w:bookmarkStart w:id="45" w:name="_Hlk28893582"/>
      <w:r>
        <w:rPr>
          <w:rFonts w:ascii="黑体" w:eastAsia="黑体" w:hAnsi="黑体"/>
          <w:b w:val="0"/>
          <w:bCs/>
          <w:sz w:val="22"/>
          <w:szCs w:val="22"/>
        </w:rPr>
        <w:t>《</w:t>
      </w:r>
      <w:r>
        <w:rPr>
          <w:rFonts w:ascii="黑体" w:eastAsia="黑体" w:hAnsi="黑体"/>
          <w:b w:val="0"/>
          <w:bCs/>
          <w:sz w:val="22"/>
          <w:szCs w:val="22"/>
        </w:rPr>
        <w:t>Q/CR 9006-2014</w:t>
      </w:r>
      <w:r>
        <w:rPr>
          <w:rFonts w:ascii="黑体" w:eastAsia="黑体" w:hAnsi="黑体"/>
          <w:b w:val="0"/>
          <w:bCs/>
          <w:sz w:val="22"/>
          <w:szCs w:val="22"/>
        </w:rPr>
        <w:t>铁路建设工程风险管理技术规范》</w:t>
      </w:r>
      <w:bookmarkEnd w:id="45"/>
      <w:r>
        <w:rPr>
          <w:rFonts w:ascii="黑体" w:eastAsia="黑体" w:hAnsi="黑体"/>
          <w:b w:val="0"/>
          <w:bCs/>
          <w:sz w:val="22"/>
          <w:szCs w:val="22"/>
        </w:rPr>
        <w:fldChar w:fldCharType="begin"/>
      </w:r>
      <w:r>
        <w:rPr>
          <w:rFonts w:ascii="黑体" w:eastAsia="黑体" w:hAnsi="黑体"/>
          <w:b w:val="0"/>
          <w:bCs/>
          <w:sz w:val="22"/>
          <w:szCs w:val="22"/>
        </w:rPr>
        <w:instrText xml:space="preserve"> ADDIN NE.Ref.{5F6989F2-B14B-48CD-B673-B5</w:instrText>
      </w:r>
      <w:r>
        <w:rPr>
          <w:rFonts w:ascii="黑体" w:eastAsia="黑体" w:hAnsi="黑体"/>
          <w:b w:val="0"/>
          <w:bCs/>
          <w:sz w:val="22"/>
          <w:szCs w:val="22"/>
        </w:rPr>
        <w:instrText>693B13BC28}</w:instrText>
      </w:r>
      <w:r>
        <w:rPr>
          <w:rFonts w:ascii="黑体" w:eastAsia="黑体" w:hAnsi="黑体"/>
          <w:b w:val="0"/>
          <w:bCs/>
          <w:sz w:val="22"/>
          <w:szCs w:val="22"/>
        </w:rPr>
        <w:fldChar w:fldCharType="separate"/>
      </w:r>
      <w:r>
        <w:rPr>
          <w:rFonts w:ascii="黑体" w:eastAsia="黑体" w:hAnsi="黑体"/>
          <w:b w:val="0"/>
          <w:bCs/>
          <w:color w:val="080000"/>
          <w:kern w:val="0"/>
          <w:sz w:val="28"/>
          <w:szCs w:val="28"/>
          <w:vertAlign w:val="superscript"/>
        </w:rPr>
        <w:t>[26]</w:t>
      </w:r>
      <w:r>
        <w:rPr>
          <w:rFonts w:ascii="黑体" w:eastAsia="黑体" w:hAnsi="黑体"/>
          <w:b w:val="0"/>
          <w:bCs/>
          <w:sz w:val="22"/>
          <w:szCs w:val="22"/>
        </w:rPr>
        <w:fldChar w:fldCharType="end"/>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80"/>
        <w:gridCol w:w="1381"/>
        <w:gridCol w:w="1381"/>
        <w:gridCol w:w="1381"/>
        <w:gridCol w:w="1555"/>
        <w:gridCol w:w="1208"/>
      </w:tblGrid>
      <w:tr w:rsidR="0073700B">
        <w:tc>
          <w:tcPr>
            <w:tcW w:w="1380" w:type="dxa"/>
            <w:tcBorders>
              <w:top w:val="single" w:sz="8" w:space="0" w:color="auto"/>
              <w:bottom w:val="single" w:sz="8" w:space="0" w:color="auto"/>
            </w:tcBorders>
            <w:vAlign w:val="center"/>
          </w:tcPr>
          <w:p w:rsidR="0073700B" w:rsidRDefault="001A2FFC">
            <w:pPr>
              <w:jc w:val="center"/>
              <w:rPr>
                <w:bCs/>
              </w:rPr>
            </w:pPr>
            <w:r>
              <w:rPr>
                <w:bCs/>
              </w:rPr>
              <w:t>后果等级</w:t>
            </w:r>
          </w:p>
        </w:tc>
        <w:tc>
          <w:tcPr>
            <w:tcW w:w="1381" w:type="dxa"/>
            <w:tcBorders>
              <w:top w:val="single" w:sz="8" w:space="0" w:color="auto"/>
              <w:bottom w:val="single" w:sz="8" w:space="0" w:color="auto"/>
            </w:tcBorders>
            <w:vAlign w:val="center"/>
          </w:tcPr>
          <w:p w:rsidR="0073700B" w:rsidRDefault="001A2FFC">
            <w:pPr>
              <w:jc w:val="center"/>
              <w:rPr>
                <w:bCs/>
              </w:rPr>
            </w:pPr>
            <w:r>
              <w:rPr>
                <w:bCs/>
              </w:rPr>
              <w:t>1</w:t>
            </w:r>
          </w:p>
        </w:tc>
        <w:tc>
          <w:tcPr>
            <w:tcW w:w="1381" w:type="dxa"/>
            <w:tcBorders>
              <w:top w:val="single" w:sz="8" w:space="0" w:color="auto"/>
              <w:bottom w:val="single" w:sz="8" w:space="0" w:color="auto"/>
            </w:tcBorders>
            <w:vAlign w:val="center"/>
          </w:tcPr>
          <w:p w:rsidR="0073700B" w:rsidRDefault="001A2FFC">
            <w:pPr>
              <w:jc w:val="center"/>
              <w:rPr>
                <w:bCs/>
              </w:rPr>
            </w:pPr>
            <w:r>
              <w:rPr>
                <w:bCs/>
              </w:rPr>
              <w:t>2</w:t>
            </w:r>
          </w:p>
        </w:tc>
        <w:tc>
          <w:tcPr>
            <w:tcW w:w="1381" w:type="dxa"/>
            <w:tcBorders>
              <w:top w:val="single" w:sz="8" w:space="0" w:color="auto"/>
              <w:bottom w:val="single" w:sz="8" w:space="0" w:color="auto"/>
            </w:tcBorders>
            <w:vAlign w:val="center"/>
          </w:tcPr>
          <w:p w:rsidR="0073700B" w:rsidRDefault="001A2FFC">
            <w:pPr>
              <w:jc w:val="center"/>
              <w:rPr>
                <w:bCs/>
              </w:rPr>
            </w:pPr>
            <w:r>
              <w:rPr>
                <w:bCs/>
              </w:rPr>
              <w:t>3</w:t>
            </w:r>
          </w:p>
        </w:tc>
        <w:tc>
          <w:tcPr>
            <w:tcW w:w="1555" w:type="dxa"/>
            <w:tcBorders>
              <w:top w:val="single" w:sz="8" w:space="0" w:color="auto"/>
              <w:bottom w:val="single" w:sz="8" w:space="0" w:color="auto"/>
            </w:tcBorders>
            <w:vAlign w:val="center"/>
          </w:tcPr>
          <w:p w:rsidR="0073700B" w:rsidRDefault="001A2FFC">
            <w:pPr>
              <w:jc w:val="center"/>
              <w:rPr>
                <w:bCs/>
              </w:rPr>
            </w:pPr>
            <w:r>
              <w:rPr>
                <w:bCs/>
              </w:rPr>
              <w:t>4</w:t>
            </w:r>
          </w:p>
        </w:tc>
        <w:tc>
          <w:tcPr>
            <w:tcW w:w="1208" w:type="dxa"/>
            <w:tcBorders>
              <w:top w:val="single" w:sz="8" w:space="0" w:color="auto"/>
              <w:bottom w:val="single" w:sz="8" w:space="0" w:color="auto"/>
            </w:tcBorders>
            <w:vAlign w:val="center"/>
          </w:tcPr>
          <w:p w:rsidR="0073700B" w:rsidRDefault="001A2FFC">
            <w:pPr>
              <w:jc w:val="center"/>
              <w:rPr>
                <w:bCs/>
              </w:rPr>
            </w:pPr>
            <w:r>
              <w:rPr>
                <w:bCs/>
              </w:rPr>
              <w:t>5</w:t>
            </w:r>
          </w:p>
        </w:tc>
      </w:tr>
      <w:tr w:rsidR="0073700B">
        <w:tc>
          <w:tcPr>
            <w:tcW w:w="1380" w:type="dxa"/>
            <w:tcBorders>
              <w:top w:val="single" w:sz="8" w:space="0" w:color="auto"/>
            </w:tcBorders>
            <w:vAlign w:val="center"/>
          </w:tcPr>
          <w:p w:rsidR="0073700B" w:rsidRDefault="001A2FFC">
            <w:pPr>
              <w:jc w:val="center"/>
              <w:rPr>
                <w:bCs/>
              </w:rPr>
            </w:pPr>
            <w:r>
              <w:rPr>
                <w:bCs/>
              </w:rPr>
              <w:t>人员伤亡数量（人）</w:t>
            </w:r>
          </w:p>
        </w:tc>
        <w:tc>
          <w:tcPr>
            <w:tcW w:w="1381" w:type="dxa"/>
            <w:tcBorders>
              <w:top w:val="single" w:sz="8" w:space="0" w:color="auto"/>
            </w:tcBorders>
            <w:vAlign w:val="center"/>
          </w:tcPr>
          <w:p w:rsidR="0073700B" w:rsidRDefault="001A2FFC">
            <w:pPr>
              <w:jc w:val="center"/>
              <w:rPr>
                <w:bCs/>
              </w:rPr>
            </w:pPr>
            <w:r>
              <w:rPr>
                <w:bCs/>
                <w:i/>
                <w:iCs/>
              </w:rPr>
              <w:t>F</w:t>
            </w:r>
            <w:r>
              <w:rPr>
                <w:bCs/>
              </w:rPr>
              <w:t>≥30</w:t>
            </w:r>
            <w:r>
              <w:rPr>
                <w:bCs/>
              </w:rPr>
              <w:t>或</w:t>
            </w:r>
            <w:r>
              <w:rPr>
                <w:bCs/>
                <w:i/>
                <w:iCs/>
              </w:rPr>
              <w:t>SI</w:t>
            </w:r>
            <w:r>
              <w:rPr>
                <w:bCs/>
              </w:rPr>
              <w:t>≥100</w:t>
            </w:r>
          </w:p>
        </w:tc>
        <w:tc>
          <w:tcPr>
            <w:tcW w:w="1381" w:type="dxa"/>
            <w:tcBorders>
              <w:top w:val="single" w:sz="8" w:space="0" w:color="auto"/>
            </w:tcBorders>
            <w:vAlign w:val="center"/>
          </w:tcPr>
          <w:p w:rsidR="0073700B" w:rsidRDefault="001A2FFC">
            <w:pPr>
              <w:jc w:val="center"/>
              <w:rPr>
                <w:bCs/>
              </w:rPr>
            </w:pPr>
            <w:r>
              <w:rPr>
                <w:bCs/>
              </w:rPr>
              <w:t>10≤</w:t>
            </w:r>
            <w:r>
              <w:rPr>
                <w:bCs/>
                <w:i/>
                <w:iCs/>
              </w:rPr>
              <w:t>F</w:t>
            </w:r>
            <w:r>
              <w:rPr>
                <w:bCs/>
              </w:rPr>
              <w:t>&lt;30</w:t>
            </w:r>
            <w:r>
              <w:rPr>
                <w:bCs/>
              </w:rPr>
              <w:t>或</w:t>
            </w:r>
            <w:r>
              <w:rPr>
                <w:bCs/>
              </w:rPr>
              <w:t>50≤</w:t>
            </w:r>
            <w:r>
              <w:rPr>
                <w:bCs/>
                <w:i/>
                <w:iCs/>
              </w:rPr>
              <w:t>SI</w:t>
            </w:r>
            <w:r>
              <w:rPr>
                <w:bCs/>
              </w:rPr>
              <w:t>&lt;100</w:t>
            </w:r>
          </w:p>
        </w:tc>
        <w:tc>
          <w:tcPr>
            <w:tcW w:w="1381" w:type="dxa"/>
            <w:tcBorders>
              <w:top w:val="single" w:sz="8" w:space="0" w:color="auto"/>
            </w:tcBorders>
            <w:vAlign w:val="center"/>
          </w:tcPr>
          <w:p w:rsidR="0073700B" w:rsidRDefault="001A2FFC">
            <w:pPr>
              <w:jc w:val="center"/>
              <w:rPr>
                <w:bCs/>
              </w:rPr>
            </w:pPr>
            <w:r>
              <w:rPr>
                <w:bCs/>
              </w:rPr>
              <w:t>3≤</w:t>
            </w:r>
            <w:r>
              <w:rPr>
                <w:bCs/>
                <w:i/>
                <w:iCs/>
              </w:rPr>
              <w:t>F</w:t>
            </w:r>
            <w:r>
              <w:rPr>
                <w:bCs/>
              </w:rPr>
              <w:t>&lt;10</w:t>
            </w:r>
            <w:r>
              <w:rPr>
                <w:bCs/>
              </w:rPr>
              <w:t>或</w:t>
            </w:r>
            <w:r>
              <w:rPr>
                <w:bCs/>
              </w:rPr>
              <w:t>10≤</w:t>
            </w:r>
            <w:r>
              <w:rPr>
                <w:bCs/>
                <w:i/>
                <w:iCs/>
              </w:rPr>
              <w:t>SI</w:t>
            </w:r>
            <w:r>
              <w:rPr>
                <w:bCs/>
              </w:rPr>
              <w:t>&lt;50</w:t>
            </w:r>
          </w:p>
        </w:tc>
        <w:tc>
          <w:tcPr>
            <w:tcW w:w="1555" w:type="dxa"/>
            <w:tcBorders>
              <w:top w:val="single" w:sz="8" w:space="0" w:color="auto"/>
            </w:tcBorders>
            <w:vAlign w:val="center"/>
          </w:tcPr>
          <w:p w:rsidR="0073700B" w:rsidRDefault="001A2FFC">
            <w:pPr>
              <w:jc w:val="center"/>
              <w:rPr>
                <w:bCs/>
              </w:rPr>
            </w:pPr>
            <w:r>
              <w:rPr>
                <w:bCs/>
                <w:i/>
                <w:iCs/>
              </w:rPr>
              <w:t>F</w:t>
            </w:r>
            <w:r>
              <w:rPr>
                <w:bCs/>
              </w:rPr>
              <w:t>&lt;3</w:t>
            </w:r>
            <w:r>
              <w:rPr>
                <w:bCs/>
              </w:rPr>
              <w:t>或</w:t>
            </w:r>
            <w:r>
              <w:rPr>
                <w:bCs/>
                <w:i/>
                <w:iCs/>
              </w:rPr>
              <w:t>SI</w:t>
            </w:r>
            <w:r>
              <w:rPr>
                <w:bCs/>
              </w:rPr>
              <w:t>&lt;10</w:t>
            </w:r>
            <w:r>
              <w:rPr>
                <w:bCs/>
              </w:rPr>
              <w:t>或</w:t>
            </w:r>
            <w:r>
              <w:rPr>
                <w:bCs/>
                <w:i/>
                <w:iCs/>
              </w:rPr>
              <w:t>MI</w:t>
            </w:r>
            <w:r>
              <w:rPr>
                <w:bCs/>
              </w:rPr>
              <w:t>≥5</w:t>
            </w:r>
          </w:p>
        </w:tc>
        <w:tc>
          <w:tcPr>
            <w:tcW w:w="1208" w:type="dxa"/>
            <w:tcBorders>
              <w:top w:val="single" w:sz="8" w:space="0" w:color="auto"/>
            </w:tcBorders>
            <w:vAlign w:val="center"/>
          </w:tcPr>
          <w:p w:rsidR="0073700B" w:rsidRDefault="001A2FFC">
            <w:pPr>
              <w:jc w:val="center"/>
              <w:rPr>
                <w:bCs/>
              </w:rPr>
            </w:pPr>
            <w:r>
              <w:rPr>
                <w:bCs/>
                <w:i/>
                <w:iCs/>
              </w:rPr>
              <w:t>MI</w:t>
            </w:r>
            <w:r>
              <w:rPr>
                <w:bCs/>
              </w:rPr>
              <w:t>&lt;5</w:t>
            </w:r>
          </w:p>
        </w:tc>
      </w:tr>
    </w:tbl>
    <w:p w:rsidR="0073700B" w:rsidRDefault="001A2FFC" w:rsidP="00F80BAC">
      <w:pPr>
        <w:spacing w:beforeLines="50" w:before="156" w:line="360" w:lineRule="auto"/>
        <w:rPr>
          <w:bCs/>
          <w:sz w:val="18"/>
          <w:szCs w:val="18"/>
        </w:rPr>
      </w:pPr>
      <w:r>
        <w:rPr>
          <w:bCs/>
          <w:sz w:val="18"/>
          <w:szCs w:val="18"/>
        </w:rPr>
        <w:t>注：</w:t>
      </w:r>
      <w:r>
        <w:rPr>
          <w:bCs/>
          <w:i/>
          <w:iCs/>
          <w:sz w:val="18"/>
          <w:szCs w:val="18"/>
        </w:rPr>
        <w:t>F</w:t>
      </w:r>
      <w:bookmarkStart w:id="46" w:name="_Hlk18671571"/>
      <w:r>
        <w:rPr>
          <w:bCs/>
          <w:sz w:val="18"/>
          <w:szCs w:val="18"/>
        </w:rPr>
        <w:t>为</w:t>
      </w:r>
      <w:bookmarkEnd w:id="46"/>
      <w:r>
        <w:rPr>
          <w:bCs/>
          <w:sz w:val="18"/>
          <w:szCs w:val="18"/>
        </w:rPr>
        <w:t>死亡人数；</w:t>
      </w:r>
      <w:r>
        <w:rPr>
          <w:bCs/>
          <w:i/>
          <w:iCs/>
          <w:sz w:val="18"/>
          <w:szCs w:val="18"/>
        </w:rPr>
        <w:t>SI</w:t>
      </w:r>
      <w:r>
        <w:rPr>
          <w:bCs/>
          <w:sz w:val="18"/>
          <w:szCs w:val="18"/>
        </w:rPr>
        <w:t>为重伤；</w:t>
      </w:r>
      <w:r>
        <w:rPr>
          <w:bCs/>
          <w:i/>
          <w:iCs/>
          <w:sz w:val="18"/>
          <w:szCs w:val="18"/>
        </w:rPr>
        <w:t>MI</w:t>
      </w:r>
      <w:r>
        <w:rPr>
          <w:bCs/>
          <w:sz w:val="18"/>
          <w:szCs w:val="18"/>
        </w:rPr>
        <w:t>为轻伤</w:t>
      </w:r>
    </w:p>
    <w:p w:rsidR="0073700B" w:rsidRDefault="001A2FFC" w:rsidP="00F80BAC">
      <w:pPr>
        <w:pStyle w:val="a6"/>
        <w:spacing w:beforeLines="50" w:before="15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5</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国际隧协：《</w:t>
      </w:r>
      <w:r>
        <w:rPr>
          <w:rFonts w:ascii="黑体" w:eastAsia="黑体" w:hAnsi="黑体"/>
          <w:b w:val="0"/>
          <w:bCs/>
        </w:rPr>
        <w:t>Guidelines for tunnelling risk management</w:t>
      </w:r>
      <w:r>
        <w:rPr>
          <w:rFonts w:ascii="黑体" w:eastAsia="黑体" w:hAnsi="黑体"/>
          <w:b w:val="0"/>
          <w:bCs/>
        </w:rPr>
        <w:t>》</w:t>
      </w:r>
      <w:r>
        <w:rPr>
          <w:rFonts w:ascii="黑体" w:eastAsia="黑体" w:hAnsi="黑体"/>
          <w:b w:val="0"/>
          <w:bCs/>
        </w:rPr>
        <w:fldChar w:fldCharType="begin"/>
      </w:r>
      <w:r>
        <w:rPr>
          <w:rFonts w:ascii="黑体" w:eastAsia="黑体" w:hAnsi="黑体"/>
          <w:b w:val="0"/>
          <w:bCs/>
        </w:rPr>
        <w:instrText xml:space="preserve"> ADDIN NE.Ref.{A7C0340A-2072-4FFA-B7B4-19EF649B0E64}</w:instrText>
      </w:r>
      <w:r>
        <w:rPr>
          <w:rFonts w:ascii="黑体" w:eastAsia="黑体" w:hAnsi="黑体"/>
          <w:b w:val="0"/>
          <w:bCs/>
        </w:rPr>
        <w:fldChar w:fldCharType="separate"/>
      </w:r>
      <w:r>
        <w:rPr>
          <w:rFonts w:ascii="黑体" w:eastAsia="黑体" w:hAnsi="黑体"/>
          <w:b w:val="0"/>
          <w:bCs/>
          <w:color w:val="080000"/>
          <w:kern w:val="0"/>
          <w:vertAlign w:val="superscript"/>
        </w:rPr>
        <w:t>[18]</w:t>
      </w:r>
      <w:r>
        <w:rPr>
          <w:rFonts w:ascii="黑体" w:eastAsia="黑体" w:hAnsi="黑体"/>
          <w:b w:val="0"/>
          <w:bCs/>
        </w:rPr>
        <w:fldChar w:fldCharType="end"/>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28"/>
        <w:gridCol w:w="1331"/>
        <w:gridCol w:w="1332"/>
        <w:gridCol w:w="1228"/>
        <w:gridCol w:w="1435"/>
        <w:gridCol w:w="1332"/>
      </w:tblGrid>
      <w:tr w:rsidR="0073700B">
        <w:tc>
          <w:tcPr>
            <w:tcW w:w="1628" w:type="dxa"/>
            <w:tcBorders>
              <w:top w:val="single" w:sz="8" w:space="0" w:color="auto"/>
              <w:bottom w:val="single" w:sz="8" w:space="0" w:color="auto"/>
            </w:tcBorders>
            <w:vAlign w:val="center"/>
          </w:tcPr>
          <w:p w:rsidR="0073700B" w:rsidRDefault="0073700B">
            <w:pPr>
              <w:jc w:val="center"/>
              <w:rPr>
                <w:bCs/>
                <w:szCs w:val="21"/>
              </w:rPr>
            </w:pPr>
          </w:p>
        </w:tc>
        <w:tc>
          <w:tcPr>
            <w:tcW w:w="1331" w:type="dxa"/>
            <w:tcBorders>
              <w:top w:val="single" w:sz="8" w:space="0" w:color="auto"/>
              <w:bottom w:val="single" w:sz="8" w:space="0" w:color="auto"/>
            </w:tcBorders>
            <w:vAlign w:val="center"/>
          </w:tcPr>
          <w:p w:rsidR="0073700B" w:rsidRDefault="001A2FFC">
            <w:pPr>
              <w:jc w:val="center"/>
              <w:rPr>
                <w:bCs/>
                <w:szCs w:val="21"/>
              </w:rPr>
            </w:pPr>
            <w:r>
              <w:rPr>
                <w:bCs/>
                <w:szCs w:val="21"/>
              </w:rPr>
              <w:t>Disastrous</w:t>
            </w:r>
          </w:p>
        </w:tc>
        <w:tc>
          <w:tcPr>
            <w:tcW w:w="1332" w:type="dxa"/>
            <w:tcBorders>
              <w:top w:val="single" w:sz="8" w:space="0" w:color="auto"/>
              <w:bottom w:val="single" w:sz="8" w:space="0" w:color="auto"/>
            </w:tcBorders>
            <w:vAlign w:val="center"/>
          </w:tcPr>
          <w:p w:rsidR="0073700B" w:rsidRDefault="001A2FFC">
            <w:pPr>
              <w:jc w:val="center"/>
              <w:rPr>
                <w:bCs/>
                <w:szCs w:val="21"/>
              </w:rPr>
            </w:pPr>
            <w:r>
              <w:rPr>
                <w:bCs/>
                <w:szCs w:val="21"/>
              </w:rPr>
              <w:t>Severe</w:t>
            </w:r>
          </w:p>
        </w:tc>
        <w:tc>
          <w:tcPr>
            <w:tcW w:w="1228" w:type="dxa"/>
            <w:tcBorders>
              <w:top w:val="single" w:sz="8" w:space="0" w:color="auto"/>
              <w:bottom w:val="single" w:sz="8" w:space="0" w:color="auto"/>
            </w:tcBorders>
            <w:vAlign w:val="center"/>
          </w:tcPr>
          <w:p w:rsidR="0073700B" w:rsidRDefault="001A2FFC">
            <w:pPr>
              <w:jc w:val="center"/>
              <w:rPr>
                <w:bCs/>
                <w:szCs w:val="21"/>
              </w:rPr>
            </w:pPr>
            <w:r>
              <w:rPr>
                <w:bCs/>
                <w:szCs w:val="21"/>
              </w:rPr>
              <w:t>Serious</w:t>
            </w:r>
          </w:p>
        </w:tc>
        <w:tc>
          <w:tcPr>
            <w:tcW w:w="1435" w:type="dxa"/>
            <w:tcBorders>
              <w:top w:val="single" w:sz="8" w:space="0" w:color="auto"/>
              <w:bottom w:val="single" w:sz="8" w:space="0" w:color="auto"/>
            </w:tcBorders>
            <w:vAlign w:val="center"/>
          </w:tcPr>
          <w:p w:rsidR="0073700B" w:rsidRDefault="001A2FFC">
            <w:pPr>
              <w:jc w:val="center"/>
              <w:rPr>
                <w:bCs/>
                <w:szCs w:val="21"/>
              </w:rPr>
            </w:pPr>
            <w:r>
              <w:rPr>
                <w:bCs/>
                <w:szCs w:val="21"/>
              </w:rPr>
              <w:t>Comsiderable</w:t>
            </w:r>
          </w:p>
        </w:tc>
        <w:tc>
          <w:tcPr>
            <w:tcW w:w="1332" w:type="dxa"/>
            <w:tcBorders>
              <w:top w:val="single" w:sz="8" w:space="0" w:color="auto"/>
              <w:bottom w:val="single" w:sz="8" w:space="0" w:color="auto"/>
            </w:tcBorders>
            <w:vAlign w:val="center"/>
          </w:tcPr>
          <w:p w:rsidR="0073700B" w:rsidRDefault="001A2FFC">
            <w:pPr>
              <w:jc w:val="center"/>
              <w:rPr>
                <w:bCs/>
                <w:szCs w:val="21"/>
              </w:rPr>
            </w:pPr>
            <w:r>
              <w:rPr>
                <w:bCs/>
                <w:szCs w:val="21"/>
              </w:rPr>
              <w:t>Insignificant</w:t>
            </w:r>
          </w:p>
        </w:tc>
      </w:tr>
      <w:tr w:rsidR="0073700B">
        <w:tc>
          <w:tcPr>
            <w:tcW w:w="1628" w:type="dxa"/>
            <w:tcBorders>
              <w:top w:val="single" w:sz="8" w:space="0" w:color="auto"/>
            </w:tcBorders>
            <w:vAlign w:val="center"/>
          </w:tcPr>
          <w:p w:rsidR="0073700B" w:rsidRDefault="001A2FFC">
            <w:pPr>
              <w:jc w:val="center"/>
              <w:rPr>
                <w:bCs/>
                <w:szCs w:val="21"/>
              </w:rPr>
            </w:pPr>
            <w:r>
              <w:rPr>
                <w:bCs/>
                <w:szCs w:val="21"/>
              </w:rPr>
              <w:t>No.of fatalities/injuries</w:t>
            </w:r>
          </w:p>
        </w:tc>
        <w:tc>
          <w:tcPr>
            <w:tcW w:w="1331" w:type="dxa"/>
            <w:tcBorders>
              <w:top w:val="single" w:sz="8" w:space="0" w:color="auto"/>
            </w:tcBorders>
            <w:vAlign w:val="center"/>
          </w:tcPr>
          <w:p w:rsidR="0073700B" w:rsidRDefault="001A2FFC">
            <w:pPr>
              <w:jc w:val="center"/>
              <w:rPr>
                <w:bCs/>
                <w:szCs w:val="21"/>
              </w:rPr>
            </w:pPr>
            <w:r>
              <w:rPr>
                <w:bCs/>
                <w:i/>
                <w:iCs/>
                <w:szCs w:val="21"/>
              </w:rPr>
              <w:t>F</w:t>
            </w:r>
            <w:r>
              <w:rPr>
                <w:bCs/>
                <w:szCs w:val="21"/>
              </w:rPr>
              <w:t>&gt;10</w:t>
            </w:r>
          </w:p>
        </w:tc>
        <w:tc>
          <w:tcPr>
            <w:tcW w:w="1332" w:type="dxa"/>
            <w:tcBorders>
              <w:top w:val="single" w:sz="8" w:space="0" w:color="auto"/>
            </w:tcBorders>
            <w:vAlign w:val="center"/>
          </w:tcPr>
          <w:p w:rsidR="0073700B" w:rsidRDefault="001A2FFC">
            <w:pPr>
              <w:jc w:val="center"/>
              <w:rPr>
                <w:bCs/>
                <w:szCs w:val="21"/>
              </w:rPr>
            </w:pPr>
            <w:r>
              <w:rPr>
                <w:bCs/>
                <w:szCs w:val="21"/>
              </w:rPr>
              <w:t>1&lt;</w:t>
            </w:r>
            <w:r>
              <w:rPr>
                <w:bCs/>
                <w:i/>
                <w:iCs/>
                <w:szCs w:val="21"/>
              </w:rPr>
              <w:t>F</w:t>
            </w:r>
            <w:r>
              <w:rPr>
                <w:bCs/>
                <w:szCs w:val="21"/>
              </w:rPr>
              <w:t>≤10</w:t>
            </w:r>
            <w:r>
              <w:rPr>
                <w:bCs/>
                <w:szCs w:val="21"/>
              </w:rPr>
              <w:t>，</w:t>
            </w:r>
            <w:r>
              <w:rPr>
                <w:bCs/>
                <w:i/>
                <w:iCs/>
                <w:szCs w:val="21"/>
              </w:rPr>
              <w:t>SI</w:t>
            </w:r>
            <w:r>
              <w:rPr>
                <w:bCs/>
                <w:szCs w:val="21"/>
              </w:rPr>
              <w:t>&gt;10</w:t>
            </w:r>
          </w:p>
        </w:tc>
        <w:tc>
          <w:tcPr>
            <w:tcW w:w="1228" w:type="dxa"/>
            <w:tcBorders>
              <w:top w:val="single" w:sz="8" w:space="0" w:color="auto"/>
            </w:tcBorders>
            <w:vAlign w:val="center"/>
          </w:tcPr>
          <w:p w:rsidR="0073700B" w:rsidRDefault="001A2FFC">
            <w:pPr>
              <w:jc w:val="center"/>
              <w:rPr>
                <w:bCs/>
                <w:szCs w:val="21"/>
              </w:rPr>
            </w:pPr>
            <w:r>
              <w:rPr>
                <w:bCs/>
                <w:szCs w:val="21"/>
              </w:rPr>
              <w:t>1</w:t>
            </w:r>
            <w:r>
              <w:rPr>
                <w:bCs/>
                <w:i/>
                <w:iCs/>
                <w:szCs w:val="21"/>
              </w:rPr>
              <w:t>F</w:t>
            </w:r>
            <w:r>
              <w:rPr>
                <w:bCs/>
                <w:szCs w:val="21"/>
              </w:rPr>
              <w:t>，</w:t>
            </w:r>
            <w:r>
              <w:rPr>
                <w:bCs/>
                <w:szCs w:val="21"/>
              </w:rPr>
              <w:t>1&lt;</w:t>
            </w:r>
            <w:r>
              <w:rPr>
                <w:bCs/>
                <w:i/>
                <w:iCs/>
                <w:szCs w:val="21"/>
              </w:rPr>
              <w:t>SI</w:t>
            </w:r>
            <w:r>
              <w:rPr>
                <w:bCs/>
                <w:szCs w:val="21"/>
              </w:rPr>
              <w:t>≤10</w:t>
            </w:r>
          </w:p>
        </w:tc>
        <w:tc>
          <w:tcPr>
            <w:tcW w:w="1435" w:type="dxa"/>
            <w:tcBorders>
              <w:top w:val="single" w:sz="8" w:space="0" w:color="auto"/>
            </w:tcBorders>
            <w:vAlign w:val="center"/>
          </w:tcPr>
          <w:p w:rsidR="0073700B" w:rsidRDefault="001A2FFC">
            <w:pPr>
              <w:jc w:val="center"/>
              <w:rPr>
                <w:bCs/>
                <w:szCs w:val="21"/>
              </w:rPr>
            </w:pPr>
            <w:r>
              <w:rPr>
                <w:bCs/>
                <w:szCs w:val="21"/>
              </w:rPr>
              <w:t>1</w:t>
            </w:r>
            <w:r>
              <w:rPr>
                <w:bCs/>
                <w:i/>
                <w:iCs/>
                <w:szCs w:val="21"/>
              </w:rPr>
              <w:t>SI</w:t>
            </w:r>
            <w:r>
              <w:rPr>
                <w:bCs/>
                <w:szCs w:val="21"/>
              </w:rPr>
              <w:t>,1&lt;</w:t>
            </w:r>
            <w:r>
              <w:rPr>
                <w:bCs/>
                <w:i/>
                <w:iCs/>
                <w:szCs w:val="21"/>
              </w:rPr>
              <w:t>MI</w:t>
            </w:r>
            <w:r>
              <w:rPr>
                <w:bCs/>
                <w:szCs w:val="21"/>
              </w:rPr>
              <w:t>≤10</w:t>
            </w:r>
          </w:p>
        </w:tc>
        <w:tc>
          <w:tcPr>
            <w:tcW w:w="1332" w:type="dxa"/>
            <w:tcBorders>
              <w:top w:val="single" w:sz="8" w:space="0" w:color="auto"/>
            </w:tcBorders>
            <w:vAlign w:val="center"/>
          </w:tcPr>
          <w:p w:rsidR="0073700B" w:rsidRDefault="001A2FFC">
            <w:pPr>
              <w:jc w:val="center"/>
              <w:rPr>
                <w:bCs/>
                <w:szCs w:val="21"/>
              </w:rPr>
            </w:pPr>
            <w:r>
              <w:rPr>
                <w:bCs/>
                <w:szCs w:val="21"/>
              </w:rPr>
              <w:t xml:space="preserve">1 </w:t>
            </w:r>
            <w:r>
              <w:rPr>
                <w:bCs/>
                <w:i/>
                <w:iCs/>
                <w:szCs w:val="21"/>
              </w:rPr>
              <w:t>MI</w:t>
            </w:r>
          </w:p>
        </w:tc>
      </w:tr>
    </w:tbl>
    <w:p w:rsidR="0073700B" w:rsidRDefault="001A2FFC" w:rsidP="00F80BAC">
      <w:pPr>
        <w:spacing w:beforeLines="50" w:before="156" w:line="360" w:lineRule="auto"/>
        <w:rPr>
          <w:bCs/>
          <w:sz w:val="18"/>
          <w:szCs w:val="18"/>
        </w:rPr>
      </w:pPr>
      <w:r>
        <w:rPr>
          <w:bCs/>
          <w:sz w:val="18"/>
          <w:szCs w:val="18"/>
        </w:rPr>
        <w:t>注：</w:t>
      </w:r>
      <w:r>
        <w:rPr>
          <w:bCs/>
          <w:sz w:val="18"/>
          <w:szCs w:val="18"/>
        </w:rPr>
        <w:t>F-fatality;  SI-serious injury</w:t>
      </w:r>
      <w:bookmarkStart w:id="47" w:name="_Hlk14715803"/>
      <w:r>
        <w:rPr>
          <w:bCs/>
          <w:sz w:val="18"/>
          <w:szCs w:val="18"/>
        </w:rPr>
        <w:t>;  MI-minor injury.</w:t>
      </w:r>
      <w:bookmarkEnd w:id="47"/>
    </w:p>
    <w:p w:rsidR="0073700B" w:rsidRDefault="001A2FFC" w:rsidP="00F80BAC">
      <w:pPr>
        <w:pStyle w:val="a6"/>
        <w:spacing w:beforeLines="50" w:before="15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《生产安全事故报告和调查处理条例》</w:t>
      </w:r>
      <w:r>
        <w:rPr>
          <w:rFonts w:ascii="黑体" w:eastAsia="黑体" w:hAnsi="黑体"/>
          <w:b w:val="0"/>
          <w:bCs/>
        </w:rPr>
        <w:fldChar w:fldCharType="begin"/>
      </w:r>
      <w:r>
        <w:rPr>
          <w:rFonts w:ascii="黑体" w:eastAsia="黑体" w:hAnsi="黑体"/>
          <w:b w:val="0"/>
          <w:bCs/>
        </w:rPr>
        <w:instrText xml:space="preserve"> ADDIN NE.Ref.{54C009E0-884D-4C20-8BF2-F4E5D3C8218B}</w:instrText>
      </w:r>
      <w:r>
        <w:rPr>
          <w:rFonts w:ascii="黑体" w:eastAsia="黑体" w:hAnsi="黑体"/>
          <w:b w:val="0"/>
          <w:bCs/>
        </w:rPr>
        <w:fldChar w:fldCharType="separate"/>
      </w:r>
      <w:r>
        <w:rPr>
          <w:rFonts w:ascii="黑体" w:eastAsia="黑体" w:hAnsi="黑体"/>
          <w:b w:val="0"/>
          <w:bCs/>
          <w:color w:val="080000"/>
          <w:kern w:val="0"/>
          <w:vertAlign w:val="superscript"/>
        </w:rPr>
        <w:t>[4]</w:t>
      </w:r>
      <w:r>
        <w:rPr>
          <w:rFonts w:ascii="黑体" w:eastAsia="黑体" w:hAnsi="黑体"/>
          <w:b w:val="0"/>
          <w:bCs/>
        </w:rPr>
        <w:fldChar w:fldCharType="end"/>
      </w:r>
      <w:r>
        <w:rPr>
          <w:rFonts w:ascii="黑体" w:eastAsia="黑体" w:hAnsi="黑体"/>
          <w:b w:val="0"/>
          <w:bCs/>
        </w:rPr>
        <w:t>人员伤亡等级判断标准</w:t>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412"/>
        <w:gridCol w:w="6874"/>
      </w:tblGrid>
      <w:tr w:rsidR="0073700B">
        <w:tc>
          <w:tcPr>
            <w:tcW w:w="1412" w:type="dxa"/>
            <w:tcBorders>
              <w:top w:val="single" w:sz="8" w:space="0" w:color="auto"/>
              <w:bottom w:val="single" w:sz="8" w:space="0" w:color="auto"/>
            </w:tcBorders>
            <w:vAlign w:val="center"/>
          </w:tcPr>
          <w:p w:rsidR="0073700B" w:rsidRDefault="001A2FFC">
            <w:pPr>
              <w:jc w:val="center"/>
              <w:rPr>
                <w:bCs/>
                <w:szCs w:val="21"/>
              </w:rPr>
            </w:pPr>
            <w:r>
              <w:rPr>
                <w:bCs/>
                <w:szCs w:val="21"/>
              </w:rPr>
              <w:t>事故等级</w:t>
            </w:r>
          </w:p>
        </w:tc>
        <w:tc>
          <w:tcPr>
            <w:tcW w:w="6874" w:type="dxa"/>
            <w:tcBorders>
              <w:top w:val="single" w:sz="8" w:space="0" w:color="auto"/>
              <w:bottom w:val="single" w:sz="8" w:space="0" w:color="auto"/>
            </w:tcBorders>
            <w:vAlign w:val="center"/>
          </w:tcPr>
          <w:p w:rsidR="0073700B" w:rsidRDefault="001A2FFC">
            <w:pPr>
              <w:jc w:val="center"/>
              <w:rPr>
                <w:bCs/>
                <w:szCs w:val="21"/>
              </w:rPr>
            </w:pPr>
            <w:r>
              <w:rPr>
                <w:bCs/>
                <w:szCs w:val="21"/>
              </w:rPr>
              <w:t>判断标准</w:t>
            </w:r>
          </w:p>
        </w:tc>
      </w:tr>
      <w:tr w:rsidR="0073700B">
        <w:tc>
          <w:tcPr>
            <w:tcW w:w="1412" w:type="dxa"/>
            <w:tcBorders>
              <w:top w:val="single" w:sz="8" w:space="0" w:color="auto"/>
            </w:tcBorders>
            <w:vAlign w:val="center"/>
          </w:tcPr>
          <w:p w:rsidR="0073700B" w:rsidRDefault="001A2FFC">
            <w:pPr>
              <w:jc w:val="center"/>
              <w:rPr>
                <w:bCs/>
                <w:szCs w:val="21"/>
              </w:rPr>
            </w:pPr>
            <w:r>
              <w:rPr>
                <w:bCs/>
                <w:szCs w:val="21"/>
              </w:rPr>
              <w:t>特别重大</w:t>
            </w:r>
          </w:p>
        </w:tc>
        <w:tc>
          <w:tcPr>
            <w:tcW w:w="6874" w:type="dxa"/>
            <w:tcBorders>
              <w:top w:val="single" w:sz="8" w:space="0" w:color="auto"/>
            </w:tcBorders>
            <w:vAlign w:val="center"/>
          </w:tcPr>
          <w:p w:rsidR="0073700B" w:rsidRDefault="001A2FFC">
            <w:pPr>
              <w:jc w:val="center"/>
              <w:rPr>
                <w:bCs/>
                <w:szCs w:val="21"/>
              </w:rPr>
            </w:pPr>
            <w:r>
              <w:rPr>
                <w:bCs/>
                <w:szCs w:val="21"/>
              </w:rPr>
              <w:t>30</w:t>
            </w:r>
            <w:r>
              <w:rPr>
                <w:bCs/>
                <w:szCs w:val="21"/>
              </w:rPr>
              <w:t>人以上死亡，或者</w:t>
            </w:r>
            <w:r>
              <w:rPr>
                <w:bCs/>
                <w:szCs w:val="21"/>
              </w:rPr>
              <w:t>100</w:t>
            </w:r>
            <w:r>
              <w:rPr>
                <w:bCs/>
                <w:szCs w:val="21"/>
              </w:rPr>
              <w:t>人以上重伤（包括急性工业中毒，下同）</w:t>
            </w:r>
          </w:p>
        </w:tc>
      </w:tr>
      <w:tr w:rsidR="0073700B">
        <w:tc>
          <w:tcPr>
            <w:tcW w:w="1412" w:type="dxa"/>
            <w:vAlign w:val="center"/>
          </w:tcPr>
          <w:p w:rsidR="0073700B" w:rsidRDefault="001A2FFC">
            <w:pPr>
              <w:jc w:val="center"/>
              <w:rPr>
                <w:bCs/>
                <w:szCs w:val="21"/>
              </w:rPr>
            </w:pPr>
            <w:r>
              <w:rPr>
                <w:bCs/>
                <w:szCs w:val="21"/>
              </w:rPr>
              <w:t>重大</w:t>
            </w:r>
          </w:p>
        </w:tc>
        <w:tc>
          <w:tcPr>
            <w:tcW w:w="6874" w:type="dxa"/>
            <w:vAlign w:val="center"/>
          </w:tcPr>
          <w:p w:rsidR="0073700B" w:rsidRDefault="001A2FFC">
            <w:pPr>
              <w:jc w:val="center"/>
              <w:rPr>
                <w:bCs/>
                <w:szCs w:val="21"/>
              </w:rPr>
            </w:pPr>
            <w:r>
              <w:rPr>
                <w:bCs/>
                <w:szCs w:val="21"/>
              </w:rPr>
              <w:t>10</w:t>
            </w:r>
            <w:r>
              <w:rPr>
                <w:bCs/>
                <w:szCs w:val="21"/>
              </w:rPr>
              <w:t>人以上</w:t>
            </w:r>
            <w:r>
              <w:rPr>
                <w:bCs/>
                <w:szCs w:val="21"/>
              </w:rPr>
              <w:t>30</w:t>
            </w:r>
            <w:r>
              <w:rPr>
                <w:bCs/>
                <w:szCs w:val="21"/>
              </w:rPr>
              <w:t>人以下死亡，或者</w:t>
            </w:r>
            <w:r>
              <w:rPr>
                <w:bCs/>
                <w:szCs w:val="21"/>
              </w:rPr>
              <w:t>50</w:t>
            </w:r>
            <w:r>
              <w:rPr>
                <w:bCs/>
                <w:szCs w:val="21"/>
              </w:rPr>
              <w:t>人以上</w:t>
            </w:r>
            <w:r>
              <w:rPr>
                <w:bCs/>
                <w:szCs w:val="21"/>
              </w:rPr>
              <w:t>100</w:t>
            </w:r>
            <w:r>
              <w:rPr>
                <w:bCs/>
                <w:szCs w:val="21"/>
              </w:rPr>
              <w:t>人以下重伤</w:t>
            </w:r>
          </w:p>
        </w:tc>
      </w:tr>
      <w:tr w:rsidR="0073700B">
        <w:tc>
          <w:tcPr>
            <w:tcW w:w="1412" w:type="dxa"/>
            <w:vAlign w:val="center"/>
          </w:tcPr>
          <w:p w:rsidR="0073700B" w:rsidRDefault="001A2FFC">
            <w:pPr>
              <w:jc w:val="center"/>
              <w:rPr>
                <w:bCs/>
                <w:szCs w:val="21"/>
              </w:rPr>
            </w:pPr>
            <w:r>
              <w:rPr>
                <w:bCs/>
                <w:szCs w:val="21"/>
              </w:rPr>
              <w:t>较大</w:t>
            </w:r>
          </w:p>
        </w:tc>
        <w:tc>
          <w:tcPr>
            <w:tcW w:w="6874" w:type="dxa"/>
            <w:vAlign w:val="center"/>
          </w:tcPr>
          <w:p w:rsidR="0073700B" w:rsidRDefault="001A2FFC">
            <w:pPr>
              <w:jc w:val="center"/>
              <w:rPr>
                <w:bCs/>
                <w:szCs w:val="21"/>
              </w:rPr>
            </w:pPr>
            <w:r>
              <w:rPr>
                <w:bCs/>
                <w:szCs w:val="21"/>
              </w:rPr>
              <w:t>3</w:t>
            </w:r>
            <w:r>
              <w:rPr>
                <w:bCs/>
                <w:szCs w:val="21"/>
              </w:rPr>
              <w:t>人以上</w:t>
            </w:r>
            <w:r>
              <w:rPr>
                <w:bCs/>
                <w:szCs w:val="21"/>
              </w:rPr>
              <w:t>10</w:t>
            </w:r>
            <w:r>
              <w:rPr>
                <w:bCs/>
                <w:szCs w:val="21"/>
              </w:rPr>
              <w:t>人以下死亡，或者</w:t>
            </w:r>
            <w:r>
              <w:rPr>
                <w:bCs/>
                <w:szCs w:val="21"/>
              </w:rPr>
              <w:t>10</w:t>
            </w:r>
            <w:r>
              <w:rPr>
                <w:bCs/>
                <w:szCs w:val="21"/>
              </w:rPr>
              <w:t>人以上</w:t>
            </w:r>
            <w:r>
              <w:rPr>
                <w:bCs/>
                <w:szCs w:val="21"/>
              </w:rPr>
              <w:t>50</w:t>
            </w:r>
            <w:r>
              <w:rPr>
                <w:bCs/>
                <w:szCs w:val="21"/>
              </w:rPr>
              <w:t>人以下重伤</w:t>
            </w:r>
          </w:p>
        </w:tc>
      </w:tr>
      <w:tr w:rsidR="0073700B">
        <w:tc>
          <w:tcPr>
            <w:tcW w:w="1412" w:type="dxa"/>
            <w:vAlign w:val="center"/>
          </w:tcPr>
          <w:p w:rsidR="0073700B" w:rsidRDefault="001A2FFC">
            <w:pPr>
              <w:jc w:val="center"/>
              <w:rPr>
                <w:bCs/>
                <w:szCs w:val="21"/>
              </w:rPr>
            </w:pPr>
            <w:r>
              <w:rPr>
                <w:bCs/>
                <w:szCs w:val="21"/>
              </w:rPr>
              <w:t>一般</w:t>
            </w:r>
          </w:p>
        </w:tc>
        <w:tc>
          <w:tcPr>
            <w:tcW w:w="6874" w:type="dxa"/>
            <w:vAlign w:val="center"/>
          </w:tcPr>
          <w:p w:rsidR="0073700B" w:rsidRDefault="001A2FFC">
            <w:pPr>
              <w:jc w:val="center"/>
              <w:rPr>
                <w:bCs/>
                <w:szCs w:val="21"/>
              </w:rPr>
            </w:pPr>
            <w:r>
              <w:rPr>
                <w:bCs/>
                <w:szCs w:val="21"/>
              </w:rPr>
              <w:t>3</w:t>
            </w:r>
            <w:r>
              <w:rPr>
                <w:bCs/>
                <w:szCs w:val="21"/>
              </w:rPr>
              <w:t>人以下死亡，或者</w:t>
            </w:r>
            <w:r>
              <w:rPr>
                <w:bCs/>
                <w:szCs w:val="21"/>
              </w:rPr>
              <w:t>10</w:t>
            </w:r>
            <w:r>
              <w:rPr>
                <w:bCs/>
                <w:szCs w:val="21"/>
              </w:rPr>
              <w:t>人以下重伤</w:t>
            </w:r>
          </w:p>
        </w:tc>
      </w:tr>
    </w:tbl>
    <w:p w:rsidR="0073700B" w:rsidRDefault="0073700B" w:rsidP="00F80BAC">
      <w:pPr>
        <w:pStyle w:val="a6"/>
        <w:spacing w:beforeLines="50" w:before="156"/>
        <w:rPr>
          <w:rFonts w:ascii="黑体" w:eastAsia="黑体" w:hAnsi="黑体"/>
        </w:rPr>
      </w:pPr>
    </w:p>
    <w:p w:rsidR="0073700B" w:rsidRDefault="001A2FFC" w:rsidP="00F80BAC">
      <w:pPr>
        <w:pStyle w:val="a6"/>
        <w:spacing w:beforeLines="50" w:before="156"/>
        <w:rPr>
          <w:rFonts w:ascii="黑体" w:eastAsia="黑体" w:hAnsi="黑体"/>
          <w:b w:val="0"/>
          <w:bCs/>
        </w:rPr>
      </w:pPr>
      <w:r>
        <w:rPr>
          <w:rFonts w:ascii="黑体" w:eastAsia="黑体" w:hAnsi="黑体"/>
          <w:b w:val="0"/>
          <w:bCs/>
        </w:rPr>
        <w:lastRenderedPageBreak/>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7</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w:t>
      </w:r>
      <w:r>
        <w:rPr>
          <w:rFonts w:ascii="黑体" w:eastAsia="黑体" w:hAnsi="黑体"/>
          <w:b w:val="0"/>
          <w:bCs/>
        </w:rPr>
        <w:t>GB50652-2011</w:t>
      </w:r>
      <w:r>
        <w:rPr>
          <w:rFonts w:ascii="黑体" w:eastAsia="黑体" w:hAnsi="黑体"/>
          <w:b w:val="0"/>
          <w:bCs/>
        </w:rPr>
        <w:t>城市轨道交通地下工程建设风险管理规范》</w:t>
      </w:r>
      <w:r>
        <w:rPr>
          <w:rFonts w:ascii="黑体" w:eastAsia="黑体" w:hAnsi="黑体"/>
          <w:b w:val="0"/>
          <w:bCs/>
        </w:rPr>
        <w:fldChar w:fldCharType="begin"/>
      </w:r>
      <w:r>
        <w:rPr>
          <w:rFonts w:ascii="黑体" w:eastAsia="黑体" w:hAnsi="黑体"/>
          <w:b w:val="0"/>
          <w:bCs/>
        </w:rPr>
        <w:instrText xml:space="preserve"> ADDIN NE.Ref.{E318F53C-41EC-4934-915E-D9088B5831E2}</w:instrText>
      </w:r>
      <w:r>
        <w:rPr>
          <w:rFonts w:ascii="黑体" w:eastAsia="黑体" w:hAnsi="黑体"/>
          <w:b w:val="0"/>
          <w:bCs/>
        </w:rPr>
        <w:fldChar w:fldCharType="separate"/>
      </w:r>
      <w:r>
        <w:rPr>
          <w:rFonts w:ascii="黑体" w:eastAsia="黑体" w:hAnsi="黑体"/>
          <w:b w:val="0"/>
          <w:bCs/>
          <w:color w:val="080000"/>
          <w:kern w:val="0"/>
          <w:vertAlign w:val="superscript"/>
        </w:rPr>
        <w:t>[27]</w:t>
      </w:r>
      <w:r>
        <w:rPr>
          <w:rFonts w:ascii="黑体" w:eastAsia="黑体" w:hAnsi="黑体"/>
          <w:b w:val="0"/>
          <w:bCs/>
        </w:rPr>
        <w:fldChar w:fldCharType="end"/>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61"/>
        <w:gridCol w:w="1525"/>
        <w:gridCol w:w="1525"/>
        <w:gridCol w:w="1525"/>
        <w:gridCol w:w="1525"/>
        <w:gridCol w:w="1525"/>
      </w:tblGrid>
      <w:tr w:rsidR="0073700B">
        <w:tc>
          <w:tcPr>
            <w:tcW w:w="661" w:type="dxa"/>
            <w:tcBorders>
              <w:top w:val="single" w:sz="8" w:space="0" w:color="auto"/>
              <w:bottom w:val="single" w:sz="8" w:space="0" w:color="auto"/>
            </w:tcBorders>
            <w:vAlign w:val="center"/>
          </w:tcPr>
          <w:p w:rsidR="0073700B" w:rsidRDefault="001A2FFC">
            <w:pPr>
              <w:jc w:val="center"/>
              <w:rPr>
                <w:bCs/>
                <w:szCs w:val="21"/>
              </w:rPr>
            </w:pPr>
            <w:r>
              <w:rPr>
                <w:bCs/>
                <w:szCs w:val="21"/>
              </w:rPr>
              <w:t>等级</w:t>
            </w:r>
          </w:p>
        </w:tc>
        <w:tc>
          <w:tcPr>
            <w:tcW w:w="1525" w:type="dxa"/>
            <w:tcBorders>
              <w:top w:val="single" w:sz="8" w:space="0" w:color="auto"/>
              <w:bottom w:val="single" w:sz="8" w:space="0" w:color="auto"/>
            </w:tcBorders>
            <w:vAlign w:val="center"/>
          </w:tcPr>
          <w:p w:rsidR="0073700B" w:rsidRDefault="001A2FFC">
            <w:pPr>
              <w:jc w:val="center"/>
              <w:rPr>
                <w:bCs/>
                <w:szCs w:val="21"/>
              </w:rPr>
            </w:pPr>
            <w:r>
              <w:rPr>
                <w:bCs/>
                <w:szCs w:val="21"/>
              </w:rPr>
              <w:t>1</w:t>
            </w:r>
          </w:p>
        </w:tc>
        <w:tc>
          <w:tcPr>
            <w:tcW w:w="1525" w:type="dxa"/>
            <w:tcBorders>
              <w:top w:val="single" w:sz="8" w:space="0" w:color="auto"/>
              <w:bottom w:val="single" w:sz="8" w:space="0" w:color="auto"/>
            </w:tcBorders>
            <w:vAlign w:val="center"/>
          </w:tcPr>
          <w:p w:rsidR="0073700B" w:rsidRDefault="001A2FFC">
            <w:pPr>
              <w:jc w:val="center"/>
              <w:rPr>
                <w:bCs/>
                <w:szCs w:val="21"/>
              </w:rPr>
            </w:pPr>
            <w:r>
              <w:rPr>
                <w:bCs/>
                <w:szCs w:val="21"/>
              </w:rPr>
              <w:t>2</w:t>
            </w:r>
          </w:p>
        </w:tc>
        <w:tc>
          <w:tcPr>
            <w:tcW w:w="1525" w:type="dxa"/>
            <w:tcBorders>
              <w:top w:val="single" w:sz="8" w:space="0" w:color="auto"/>
              <w:bottom w:val="single" w:sz="8" w:space="0" w:color="auto"/>
            </w:tcBorders>
            <w:vAlign w:val="center"/>
          </w:tcPr>
          <w:p w:rsidR="0073700B" w:rsidRDefault="001A2FFC">
            <w:pPr>
              <w:jc w:val="center"/>
              <w:rPr>
                <w:bCs/>
                <w:szCs w:val="21"/>
              </w:rPr>
            </w:pPr>
            <w:r>
              <w:rPr>
                <w:bCs/>
                <w:szCs w:val="21"/>
              </w:rPr>
              <w:t>3</w:t>
            </w:r>
          </w:p>
        </w:tc>
        <w:tc>
          <w:tcPr>
            <w:tcW w:w="1525" w:type="dxa"/>
            <w:tcBorders>
              <w:top w:val="single" w:sz="8" w:space="0" w:color="auto"/>
              <w:bottom w:val="single" w:sz="8" w:space="0" w:color="auto"/>
            </w:tcBorders>
            <w:vAlign w:val="center"/>
          </w:tcPr>
          <w:p w:rsidR="0073700B" w:rsidRDefault="001A2FFC">
            <w:pPr>
              <w:jc w:val="center"/>
              <w:rPr>
                <w:bCs/>
                <w:szCs w:val="21"/>
              </w:rPr>
            </w:pPr>
            <w:r>
              <w:rPr>
                <w:bCs/>
                <w:szCs w:val="21"/>
              </w:rPr>
              <w:t>4</w:t>
            </w:r>
          </w:p>
        </w:tc>
        <w:tc>
          <w:tcPr>
            <w:tcW w:w="1525" w:type="dxa"/>
            <w:tcBorders>
              <w:top w:val="single" w:sz="8" w:space="0" w:color="auto"/>
              <w:bottom w:val="single" w:sz="8" w:space="0" w:color="auto"/>
            </w:tcBorders>
            <w:vAlign w:val="center"/>
          </w:tcPr>
          <w:p w:rsidR="0073700B" w:rsidRDefault="001A2FFC">
            <w:pPr>
              <w:jc w:val="center"/>
              <w:rPr>
                <w:bCs/>
                <w:szCs w:val="21"/>
              </w:rPr>
            </w:pPr>
            <w:r>
              <w:rPr>
                <w:bCs/>
                <w:szCs w:val="21"/>
              </w:rPr>
              <w:t>5</w:t>
            </w:r>
          </w:p>
        </w:tc>
      </w:tr>
      <w:tr w:rsidR="0073700B">
        <w:trPr>
          <w:trHeight w:val="981"/>
        </w:trPr>
        <w:tc>
          <w:tcPr>
            <w:tcW w:w="661" w:type="dxa"/>
            <w:tcBorders>
              <w:top w:val="single" w:sz="8" w:space="0" w:color="auto"/>
            </w:tcBorders>
            <w:vAlign w:val="center"/>
          </w:tcPr>
          <w:p w:rsidR="0073700B" w:rsidRDefault="001A2FFC">
            <w:pPr>
              <w:jc w:val="center"/>
              <w:rPr>
                <w:bCs/>
                <w:szCs w:val="21"/>
              </w:rPr>
            </w:pPr>
            <w:r>
              <w:rPr>
                <w:bCs/>
                <w:szCs w:val="21"/>
              </w:rPr>
              <w:t>建设人员</w:t>
            </w:r>
          </w:p>
        </w:tc>
        <w:tc>
          <w:tcPr>
            <w:tcW w:w="1525" w:type="dxa"/>
            <w:tcBorders>
              <w:top w:val="single" w:sz="8" w:space="0" w:color="auto"/>
            </w:tcBorders>
            <w:vAlign w:val="center"/>
          </w:tcPr>
          <w:p w:rsidR="0073700B" w:rsidRDefault="001A2FFC">
            <w:pPr>
              <w:jc w:val="center"/>
              <w:rPr>
                <w:bCs/>
                <w:szCs w:val="21"/>
              </w:rPr>
            </w:pPr>
            <w:r>
              <w:rPr>
                <w:bCs/>
                <w:szCs w:val="21"/>
              </w:rPr>
              <w:t>死亡（含失踪）</w:t>
            </w:r>
            <w:r>
              <w:rPr>
                <w:bCs/>
                <w:szCs w:val="21"/>
              </w:rPr>
              <w:t>10</w:t>
            </w:r>
            <w:r>
              <w:rPr>
                <w:bCs/>
                <w:szCs w:val="21"/>
              </w:rPr>
              <w:t>人以上</w:t>
            </w:r>
          </w:p>
        </w:tc>
        <w:tc>
          <w:tcPr>
            <w:tcW w:w="1525" w:type="dxa"/>
            <w:tcBorders>
              <w:top w:val="single" w:sz="8" w:space="0" w:color="auto"/>
            </w:tcBorders>
            <w:vAlign w:val="center"/>
          </w:tcPr>
          <w:p w:rsidR="0073700B" w:rsidRDefault="001A2FFC">
            <w:pPr>
              <w:jc w:val="center"/>
              <w:rPr>
                <w:bCs/>
                <w:szCs w:val="21"/>
              </w:rPr>
            </w:pPr>
            <w:r>
              <w:rPr>
                <w:bCs/>
                <w:szCs w:val="21"/>
              </w:rPr>
              <w:t>死亡（含失踪）</w:t>
            </w:r>
            <w:r>
              <w:rPr>
                <w:bCs/>
                <w:szCs w:val="21"/>
              </w:rPr>
              <w:t>3</w:t>
            </w:r>
            <w:r>
              <w:rPr>
                <w:bCs/>
                <w:szCs w:val="21"/>
              </w:rPr>
              <w:t>人</w:t>
            </w:r>
            <w:r>
              <w:rPr>
                <w:bCs/>
                <w:szCs w:val="21"/>
              </w:rPr>
              <w:t>~9</w:t>
            </w:r>
            <w:r>
              <w:rPr>
                <w:bCs/>
                <w:szCs w:val="21"/>
              </w:rPr>
              <w:t>人，或重伤</w:t>
            </w:r>
            <w:r>
              <w:rPr>
                <w:bCs/>
                <w:szCs w:val="21"/>
              </w:rPr>
              <w:t>10</w:t>
            </w:r>
            <w:r>
              <w:rPr>
                <w:bCs/>
                <w:szCs w:val="21"/>
              </w:rPr>
              <w:t>人以上</w:t>
            </w:r>
          </w:p>
        </w:tc>
        <w:tc>
          <w:tcPr>
            <w:tcW w:w="1525" w:type="dxa"/>
            <w:tcBorders>
              <w:top w:val="single" w:sz="8" w:space="0" w:color="auto"/>
            </w:tcBorders>
            <w:vAlign w:val="center"/>
          </w:tcPr>
          <w:p w:rsidR="0073700B" w:rsidRDefault="001A2FFC">
            <w:pPr>
              <w:jc w:val="center"/>
              <w:rPr>
                <w:bCs/>
                <w:szCs w:val="21"/>
              </w:rPr>
            </w:pPr>
            <w:r>
              <w:rPr>
                <w:bCs/>
                <w:szCs w:val="21"/>
              </w:rPr>
              <w:t>死亡（含失踪）</w:t>
            </w:r>
            <w:r>
              <w:rPr>
                <w:bCs/>
                <w:szCs w:val="21"/>
              </w:rPr>
              <w:t>1</w:t>
            </w:r>
            <w:r>
              <w:rPr>
                <w:bCs/>
                <w:szCs w:val="21"/>
              </w:rPr>
              <w:t>人</w:t>
            </w:r>
            <w:r>
              <w:rPr>
                <w:bCs/>
                <w:szCs w:val="21"/>
              </w:rPr>
              <w:t>~2</w:t>
            </w:r>
            <w:r>
              <w:rPr>
                <w:bCs/>
                <w:szCs w:val="21"/>
              </w:rPr>
              <w:t>人，或重伤</w:t>
            </w:r>
            <w:r>
              <w:rPr>
                <w:bCs/>
                <w:szCs w:val="21"/>
              </w:rPr>
              <w:t>2</w:t>
            </w:r>
            <w:r>
              <w:rPr>
                <w:bCs/>
                <w:szCs w:val="21"/>
              </w:rPr>
              <w:t>人</w:t>
            </w:r>
            <w:r>
              <w:rPr>
                <w:bCs/>
                <w:szCs w:val="21"/>
              </w:rPr>
              <w:t>~9</w:t>
            </w:r>
            <w:r>
              <w:rPr>
                <w:bCs/>
                <w:szCs w:val="21"/>
              </w:rPr>
              <w:t>人</w:t>
            </w:r>
          </w:p>
        </w:tc>
        <w:tc>
          <w:tcPr>
            <w:tcW w:w="1525" w:type="dxa"/>
            <w:tcBorders>
              <w:top w:val="single" w:sz="8" w:space="0" w:color="auto"/>
            </w:tcBorders>
            <w:vAlign w:val="center"/>
          </w:tcPr>
          <w:p w:rsidR="0073700B" w:rsidRDefault="001A2FFC">
            <w:pPr>
              <w:jc w:val="center"/>
              <w:rPr>
                <w:bCs/>
                <w:szCs w:val="21"/>
              </w:rPr>
            </w:pPr>
            <w:r>
              <w:rPr>
                <w:bCs/>
                <w:szCs w:val="21"/>
              </w:rPr>
              <w:t>重伤</w:t>
            </w:r>
            <w:r>
              <w:rPr>
                <w:bCs/>
                <w:szCs w:val="21"/>
              </w:rPr>
              <w:t>1</w:t>
            </w:r>
            <w:r>
              <w:rPr>
                <w:bCs/>
                <w:szCs w:val="21"/>
              </w:rPr>
              <w:t>人，或轻伤</w:t>
            </w:r>
            <w:r>
              <w:rPr>
                <w:bCs/>
                <w:szCs w:val="21"/>
              </w:rPr>
              <w:t>2</w:t>
            </w:r>
            <w:r>
              <w:rPr>
                <w:bCs/>
                <w:szCs w:val="21"/>
              </w:rPr>
              <w:t>人</w:t>
            </w:r>
            <w:r>
              <w:rPr>
                <w:bCs/>
                <w:szCs w:val="21"/>
              </w:rPr>
              <w:t>~10</w:t>
            </w:r>
            <w:r>
              <w:rPr>
                <w:bCs/>
                <w:szCs w:val="21"/>
              </w:rPr>
              <w:t>人</w:t>
            </w:r>
          </w:p>
        </w:tc>
        <w:tc>
          <w:tcPr>
            <w:tcW w:w="1525" w:type="dxa"/>
            <w:tcBorders>
              <w:top w:val="single" w:sz="8" w:space="0" w:color="auto"/>
            </w:tcBorders>
            <w:vAlign w:val="center"/>
          </w:tcPr>
          <w:p w:rsidR="0073700B" w:rsidRDefault="001A2FFC">
            <w:pPr>
              <w:jc w:val="center"/>
              <w:rPr>
                <w:bCs/>
                <w:szCs w:val="21"/>
              </w:rPr>
            </w:pPr>
            <w:r>
              <w:rPr>
                <w:bCs/>
                <w:szCs w:val="21"/>
              </w:rPr>
              <w:t>轻伤</w:t>
            </w:r>
            <w:r>
              <w:rPr>
                <w:bCs/>
                <w:szCs w:val="21"/>
              </w:rPr>
              <w:t>1</w:t>
            </w:r>
            <w:r>
              <w:rPr>
                <w:bCs/>
                <w:szCs w:val="21"/>
              </w:rPr>
              <w:t>人</w:t>
            </w:r>
          </w:p>
        </w:tc>
      </w:tr>
      <w:tr w:rsidR="0073700B">
        <w:tc>
          <w:tcPr>
            <w:tcW w:w="661" w:type="dxa"/>
            <w:vAlign w:val="center"/>
          </w:tcPr>
          <w:p w:rsidR="0073700B" w:rsidRDefault="001A2FFC">
            <w:pPr>
              <w:jc w:val="center"/>
              <w:rPr>
                <w:bCs/>
                <w:szCs w:val="21"/>
              </w:rPr>
            </w:pPr>
            <w:r>
              <w:rPr>
                <w:bCs/>
                <w:szCs w:val="21"/>
              </w:rPr>
              <w:t>第三方</w:t>
            </w:r>
          </w:p>
        </w:tc>
        <w:tc>
          <w:tcPr>
            <w:tcW w:w="1525" w:type="dxa"/>
            <w:vAlign w:val="center"/>
          </w:tcPr>
          <w:p w:rsidR="0073700B" w:rsidRDefault="001A2FFC">
            <w:pPr>
              <w:jc w:val="center"/>
              <w:rPr>
                <w:bCs/>
                <w:szCs w:val="21"/>
              </w:rPr>
            </w:pPr>
            <w:r>
              <w:rPr>
                <w:bCs/>
                <w:szCs w:val="21"/>
              </w:rPr>
              <w:t>死亡（含失踪）</w:t>
            </w:r>
            <w:r>
              <w:rPr>
                <w:bCs/>
                <w:szCs w:val="21"/>
              </w:rPr>
              <w:t>1</w:t>
            </w:r>
            <w:r>
              <w:rPr>
                <w:bCs/>
                <w:szCs w:val="21"/>
              </w:rPr>
              <w:t>人以上</w:t>
            </w:r>
          </w:p>
        </w:tc>
        <w:tc>
          <w:tcPr>
            <w:tcW w:w="1525" w:type="dxa"/>
            <w:vAlign w:val="center"/>
          </w:tcPr>
          <w:p w:rsidR="0073700B" w:rsidRDefault="001A2FFC">
            <w:pPr>
              <w:jc w:val="center"/>
              <w:rPr>
                <w:bCs/>
                <w:szCs w:val="21"/>
              </w:rPr>
            </w:pPr>
            <w:r>
              <w:rPr>
                <w:bCs/>
                <w:szCs w:val="21"/>
              </w:rPr>
              <w:t>重伤</w:t>
            </w:r>
            <w:r>
              <w:rPr>
                <w:bCs/>
                <w:szCs w:val="21"/>
              </w:rPr>
              <w:t>2</w:t>
            </w:r>
            <w:r>
              <w:rPr>
                <w:bCs/>
                <w:szCs w:val="21"/>
              </w:rPr>
              <w:t>人</w:t>
            </w:r>
            <w:r>
              <w:rPr>
                <w:bCs/>
                <w:szCs w:val="21"/>
              </w:rPr>
              <w:t>~9</w:t>
            </w:r>
            <w:r>
              <w:rPr>
                <w:bCs/>
                <w:szCs w:val="21"/>
              </w:rPr>
              <w:t>人</w:t>
            </w:r>
          </w:p>
        </w:tc>
        <w:tc>
          <w:tcPr>
            <w:tcW w:w="1525" w:type="dxa"/>
            <w:vAlign w:val="center"/>
          </w:tcPr>
          <w:p w:rsidR="0073700B" w:rsidRDefault="001A2FFC">
            <w:pPr>
              <w:jc w:val="center"/>
              <w:rPr>
                <w:bCs/>
                <w:szCs w:val="21"/>
              </w:rPr>
            </w:pPr>
            <w:r>
              <w:rPr>
                <w:bCs/>
                <w:szCs w:val="21"/>
              </w:rPr>
              <w:t>重伤</w:t>
            </w:r>
            <w:r>
              <w:rPr>
                <w:bCs/>
                <w:szCs w:val="21"/>
              </w:rPr>
              <w:t>1</w:t>
            </w:r>
            <w:r>
              <w:rPr>
                <w:bCs/>
                <w:szCs w:val="21"/>
              </w:rPr>
              <w:t>人</w:t>
            </w:r>
          </w:p>
        </w:tc>
        <w:tc>
          <w:tcPr>
            <w:tcW w:w="1525" w:type="dxa"/>
            <w:vAlign w:val="center"/>
          </w:tcPr>
          <w:p w:rsidR="0073700B" w:rsidRDefault="001A2FFC">
            <w:pPr>
              <w:jc w:val="center"/>
              <w:rPr>
                <w:bCs/>
                <w:szCs w:val="21"/>
              </w:rPr>
            </w:pPr>
            <w:r>
              <w:rPr>
                <w:bCs/>
                <w:szCs w:val="21"/>
              </w:rPr>
              <w:t>轻伤</w:t>
            </w:r>
            <w:r>
              <w:rPr>
                <w:bCs/>
                <w:szCs w:val="21"/>
              </w:rPr>
              <w:t>2</w:t>
            </w:r>
            <w:r>
              <w:rPr>
                <w:bCs/>
                <w:szCs w:val="21"/>
              </w:rPr>
              <w:t>人</w:t>
            </w:r>
            <w:r>
              <w:rPr>
                <w:bCs/>
                <w:szCs w:val="21"/>
              </w:rPr>
              <w:t>~10</w:t>
            </w:r>
            <w:r>
              <w:rPr>
                <w:bCs/>
                <w:szCs w:val="21"/>
              </w:rPr>
              <w:t>人</w:t>
            </w:r>
          </w:p>
        </w:tc>
        <w:tc>
          <w:tcPr>
            <w:tcW w:w="1525" w:type="dxa"/>
            <w:vAlign w:val="center"/>
          </w:tcPr>
          <w:p w:rsidR="0073700B" w:rsidRDefault="001A2FFC">
            <w:pPr>
              <w:jc w:val="center"/>
              <w:rPr>
                <w:bCs/>
                <w:szCs w:val="21"/>
              </w:rPr>
            </w:pPr>
            <w:r>
              <w:rPr>
                <w:bCs/>
                <w:szCs w:val="21"/>
              </w:rPr>
              <w:t>轻伤</w:t>
            </w:r>
            <w:r>
              <w:rPr>
                <w:bCs/>
                <w:szCs w:val="21"/>
              </w:rPr>
              <w:t>1</w:t>
            </w:r>
            <w:r>
              <w:rPr>
                <w:bCs/>
                <w:szCs w:val="21"/>
              </w:rPr>
              <w:t>人</w:t>
            </w:r>
          </w:p>
        </w:tc>
      </w:tr>
    </w:tbl>
    <w:p w:rsidR="0073700B" w:rsidRDefault="001A2FFC" w:rsidP="00F80BAC">
      <w:pPr>
        <w:spacing w:beforeLines="50" w:before="156" w:line="360" w:lineRule="auto"/>
        <w:ind w:firstLineChars="200" w:firstLine="480"/>
        <w:rPr>
          <w:bCs/>
          <w:sz w:val="24"/>
          <w:szCs w:val="24"/>
        </w:rPr>
      </w:pPr>
      <w:r>
        <w:rPr>
          <w:bCs/>
          <w:sz w:val="24"/>
          <w:szCs w:val="24"/>
        </w:rPr>
        <w:t>参考以上标准，可发现同一级别中死亡人数和重伤人数比例约为</w:t>
      </w:r>
      <w:r>
        <w:rPr>
          <w:bCs/>
          <w:sz w:val="24"/>
          <w:szCs w:val="24"/>
        </w:rPr>
        <w:t>3~5</w:t>
      </w:r>
      <w:r>
        <w:rPr>
          <w:bCs/>
          <w:sz w:val="24"/>
          <w:szCs w:val="24"/>
        </w:rPr>
        <w:t>：</w:t>
      </w:r>
      <w:r>
        <w:rPr>
          <w:bCs/>
          <w:sz w:val="24"/>
          <w:szCs w:val="24"/>
        </w:rPr>
        <w:t>1</w:t>
      </w:r>
      <w:r>
        <w:rPr>
          <w:bCs/>
          <w:sz w:val="24"/>
          <w:szCs w:val="24"/>
        </w:rPr>
        <w:t>，即</w:t>
      </w:r>
      <w:r>
        <w:rPr>
          <w:bCs/>
          <w:sz w:val="24"/>
          <w:szCs w:val="24"/>
        </w:rPr>
        <w:t>1</w:t>
      </w:r>
      <w:r>
        <w:rPr>
          <w:bCs/>
          <w:sz w:val="24"/>
          <w:szCs w:val="24"/>
        </w:rPr>
        <w:t>人死亡的后果约等于</w:t>
      </w:r>
      <w:r>
        <w:rPr>
          <w:bCs/>
          <w:sz w:val="24"/>
          <w:szCs w:val="24"/>
        </w:rPr>
        <w:t>3</w:t>
      </w:r>
      <w:r>
        <w:rPr>
          <w:bCs/>
          <w:sz w:val="24"/>
          <w:szCs w:val="24"/>
        </w:rPr>
        <w:t>到</w:t>
      </w:r>
      <w:r>
        <w:rPr>
          <w:bCs/>
          <w:sz w:val="24"/>
          <w:szCs w:val="24"/>
        </w:rPr>
        <w:t>5</w:t>
      </w:r>
      <w:r>
        <w:rPr>
          <w:bCs/>
          <w:sz w:val="24"/>
          <w:szCs w:val="24"/>
        </w:rPr>
        <w:t>人重伤。</w:t>
      </w:r>
    </w:p>
    <w:p w:rsidR="0073700B" w:rsidRDefault="001A2FFC" w:rsidP="00F80BAC">
      <w:pPr>
        <w:spacing w:beforeLines="50" w:before="156" w:line="360" w:lineRule="auto"/>
        <w:ind w:firstLineChars="200" w:firstLine="480"/>
        <w:rPr>
          <w:bCs/>
          <w:sz w:val="24"/>
          <w:szCs w:val="24"/>
        </w:rPr>
      </w:pPr>
      <w:r>
        <w:rPr>
          <w:bCs/>
          <w:sz w:val="24"/>
          <w:szCs w:val="24"/>
        </w:rPr>
        <w:t>《企业职工伤亡事故分类》</w:t>
      </w:r>
      <w:r>
        <w:rPr>
          <w:bCs/>
          <w:sz w:val="24"/>
          <w:szCs w:val="24"/>
        </w:rPr>
        <w:fldChar w:fldCharType="begin"/>
      </w:r>
      <w:r>
        <w:rPr>
          <w:bCs/>
          <w:sz w:val="24"/>
          <w:szCs w:val="24"/>
        </w:rPr>
        <w:instrText xml:space="preserve"> ADDIN NE.Ref.{CEDE328C-49D9-4309-9C2B-DFE21C67A9FC}</w:instrText>
      </w:r>
      <w:r>
        <w:rPr>
          <w:bCs/>
          <w:sz w:val="24"/>
          <w:szCs w:val="24"/>
        </w:rPr>
        <w:fldChar w:fldCharType="separate"/>
      </w:r>
      <w:r>
        <w:rPr>
          <w:color w:val="080000"/>
          <w:kern w:val="0"/>
          <w:sz w:val="24"/>
          <w:szCs w:val="24"/>
          <w:vertAlign w:val="superscript"/>
        </w:rPr>
        <w:t>[3]</w:t>
      </w:r>
      <w:r>
        <w:rPr>
          <w:bCs/>
          <w:sz w:val="24"/>
          <w:szCs w:val="24"/>
        </w:rPr>
        <w:fldChar w:fldCharType="end"/>
      </w:r>
      <w:r>
        <w:rPr>
          <w:bCs/>
          <w:sz w:val="24"/>
          <w:szCs w:val="24"/>
        </w:rPr>
        <w:t>规定：</w:t>
      </w:r>
    </w:p>
    <w:p w:rsidR="0073700B" w:rsidRDefault="001A2FFC" w:rsidP="00F80BAC">
      <w:pPr>
        <w:spacing w:beforeLines="50" w:before="156" w:line="360" w:lineRule="auto"/>
        <w:ind w:firstLineChars="200" w:firstLine="480"/>
        <w:rPr>
          <w:bCs/>
          <w:sz w:val="24"/>
          <w:szCs w:val="24"/>
        </w:rPr>
      </w:pPr>
      <w:r>
        <w:rPr>
          <w:rFonts w:hint="eastAsia"/>
          <w:bCs/>
          <w:sz w:val="24"/>
          <w:szCs w:val="24"/>
        </w:rPr>
        <w:t>——</w:t>
      </w:r>
      <w:r>
        <w:rPr>
          <w:bCs/>
          <w:sz w:val="24"/>
          <w:szCs w:val="24"/>
        </w:rPr>
        <w:t>轻伤指损失工作日低于</w:t>
      </w:r>
      <w:r>
        <w:rPr>
          <w:bCs/>
          <w:sz w:val="24"/>
          <w:szCs w:val="24"/>
        </w:rPr>
        <w:t>105</w:t>
      </w:r>
      <w:r>
        <w:rPr>
          <w:bCs/>
          <w:sz w:val="24"/>
          <w:szCs w:val="24"/>
        </w:rPr>
        <w:t>日的失能伤害；</w:t>
      </w:r>
    </w:p>
    <w:p w:rsidR="0073700B" w:rsidRDefault="001A2FFC" w:rsidP="00F80BAC">
      <w:pPr>
        <w:spacing w:beforeLines="50" w:before="156" w:line="360" w:lineRule="auto"/>
        <w:ind w:firstLineChars="200" w:firstLine="480"/>
        <w:rPr>
          <w:bCs/>
          <w:sz w:val="24"/>
          <w:szCs w:val="24"/>
        </w:rPr>
      </w:pPr>
      <w:r>
        <w:rPr>
          <w:rFonts w:hint="eastAsia"/>
          <w:bCs/>
          <w:sz w:val="24"/>
          <w:szCs w:val="24"/>
        </w:rPr>
        <w:t>——</w:t>
      </w:r>
      <w:r>
        <w:rPr>
          <w:bCs/>
          <w:sz w:val="24"/>
          <w:szCs w:val="24"/>
        </w:rPr>
        <w:t>重伤指相当于附录</w:t>
      </w:r>
      <w:r>
        <w:rPr>
          <w:bCs/>
          <w:sz w:val="24"/>
          <w:szCs w:val="24"/>
        </w:rPr>
        <w:t>B</w:t>
      </w:r>
      <w:r>
        <w:rPr>
          <w:bCs/>
          <w:sz w:val="24"/>
          <w:szCs w:val="24"/>
        </w:rPr>
        <w:t>（下文未列出）表中损失工作日等于和超过</w:t>
      </w:r>
      <w:r>
        <w:rPr>
          <w:bCs/>
          <w:sz w:val="24"/>
          <w:szCs w:val="24"/>
        </w:rPr>
        <w:t>105</w:t>
      </w:r>
      <w:r>
        <w:rPr>
          <w:bCs/>
          <w:sz w:val="24"/>
          <w:szCs w:val="24"/>
        </w:rPr>
        <w:t>日的失能伤害；</w:t>
      </w:r>
    </w:p>
    <w:p w:rsidR="0073700B" w:rsidRDefault="001A2FFC" w:rsidP="00F80BAC">
      <w:pPr>
        <w:spacing w:beforeLines="50" w:before="156" w:line="360" w:lineRule="auto"/>
        <w:ind w:firstLineChars="200" w:firstLine="480"/>
        <w:rPr>
          <w:bCs/>
          <w:sz w:val="24"/>
          <w:szCs w:val="24"/>
        </w:rPr>
      </w:pPr>
      <w:r>
        <w:rPr>
          <w:rFonts w:hint="eastAsia"/>
          <w:bCs/>
          <w:sz w:val="24"/>
          <w:szCs w:val="24"/>
        </w:rPr>
        <w:t>——</w:t>
      </w:r>
      <w:r>
        <w:rPr>
          <w:bCs/>
          <w:sz w:val="24"/>
          <w:szCs w:val="24"/>
        </w:rPr>
        <w:t>死亡或永久性全失能伤害规定为</w:t>
      </w:r>
      <w:r>
        <w:rPr>
          <w:bCs/>
          <w:sz w:val="24"/>
          <w:szCs w:val="24"/>
        </w:rPr>
        <w:t>6000</w:t>
      </w:r>
      <w:r>
        <w:rPr>
          <w:bCs/>
          <w:sz w:val="24"/>
          <w:szCs w:val="24"/>
        </w:rPr>
        <w:t>日。</w:t>
      </w:r>
    </w:p>
    <w:p w:rsidR="0073700B" w:rsidRDefault="001A2FFC" w:rsidP="00F80BAC">
      <w:pPr>
        <w:snapToGrid w:val="0"/>
        <w:spacing w:beforeLines="50" w:before="156" w:line="360" w:lineRule="auto"/>
        <w:ind w:firstLineChars="200" w:firstLine="480"/>
        <w:rPr>
          <w:bCs/>
          <w:sz w:val="24"/>
          <w:szCs w:val="24"/>
        </w:rPr>
      </w:pPr>
      <w:r>
        <w:rPr>
          <w:bCs/>
          <w:sz w:val="24"/>
          <w:szCs w:val="24"/>
        </w:rPr>
        <w:t>经计算，《企业职工伤亡事故分类》中附录</w:t>
      </w:r>
      <w:r>
        <w:rPr>
          <w:bCs/>
          <w:sz w:val="24"/>
          <w:szCs w:val="24"/>
        </w:rPr>
        <w:t>B</w:t>
      </w:r>
      <w:r>
        <w:rPr>
          <w:bCs/>
          <w:sz w:val="24"/>
          <w:szCs w:val="24"/>
        </w:rPr>
        <w:t>列出的所有重伤平均损失工作日为</w:t>
      </w:r>
      <w:r>
        <w:rPr>
          <w:bCs/>
          <w:sz w:val="24"/>
          <w:szCs w:val="24"/>
        </w:rPr>
        <w:t>2286</w:t>
      </w:r>
      <w:r>
        <w:rPr>
          <w:bCs/>
          <w:sz w:val="24"/>
          <w:szCs w:val="24"/>
        </w:rPr>
        <w:t>天，按照损失工作日计算，死亡、重伤和轻伤严重后果比例约为</w:t>
      </w:r>
      <w:r>
        <w:rPr>
          <w:bCs/>
          <w:sz w:val="24"/>
          <w:szCs w:val="24"/>
        </w:rPr>
        <w:t>1</w:t>
      </w:r>
      <w:r>
        <w:rPr>
          <w:bCs/>
          <w:sz w:val="24"/>
          <w:szCs w:val="24"/>
        </w:rPr>
        <w:t>：</w:t>
      </w:r>
      <w:r>
        <w:rPr>
          <w:bCs/>
          <w:sz w:val="24"/>
          <w:szCs w:val="24"/>
        </w:rPr>
        <w:t>3</w:t>
      </w:r>
      <w:r>
        <w:rPr>
          <w:bCs/>
          <w:sz w:val="24"/>
          <w:szCs w:val="24"/>
        </w:rPr>
        <w:t>：</w:t>
      </w:r>
      <w:r>
        <w:rPr>
          <w:bCs/>
          <w:sz w:val="24"/>
          <w:szCs w:val="24"/>
        </w:rPr>
        <w:t>60</w:t>
      </w:r>
      <w:r>
        <w:rPr>
          <w:bCs/>
          <w:sz w:val="24"/>
          <w:szCs w:val="24"/>
        </w:rPr>
        <w:t>。</w:t>
      </w:r>
    </w:p>
    <w:p w:rsidR="0073700B" w:rsidRDefault="001A2FFC" w:rsidP="00F80BAC">
      <w:pPr>
        <w:snapToGrid w:val="0"/>
        <w:spacing w:beforeLines="50" w:before="156" w:line="360" w:lineRule="auto"/>
        <w:ind w:firstLineChars="200" w:firstLine="480"/>
        <w:rPr>
          <w:bCs/>
          <w:sz w:val="24"/>
          <w:szCs w:val="24"/>
        </w:rPr>
      </w:pPr>
      <w:r>
        <w:rPr>
          <w:bCs/>
          <w:sz w:val="24"/>
          <w:szCs w:val="24"/>
        </w:rPr>
        <w:t>综上，</w:t>
      </w:r>
      <w:r>
        <w:rPr>
          <w:bCs/>
          <w:sz w:val="24"/>
          <w:szCs w:val="24"/>
        </w:rPr>
        <w:t>1</w:t>
      </w:r>
      <w:r>
        <w:rPr>
          <w:bCs/>
          <w:sz w:val="24"/>
          <w:szCs w:val="24"/>
        </w:rPr>
        <w:t>人死亡</w:t>
      </w:r>
      <w:r>
        <w:rPr>
          <w:bCs/>
          <w:sz w:val="24"/>
          <w:szCs w:val="24"/>
        </w:rPr>
        <w:t>=3</w:t>
      </w:r>
      <w:r>
        <w:rPr>
          <w:bCs/>
          <w:sz w:val="24"/>
          <w:szCs w:val="24"/>
        </w:rPr>
        <w:t>人重伤</w:t>
      </w:r>
      <w:r>
        <w:rPr>
          <w:bCs/>
          <w:sz w:val="24"/>
          <w:szCs w:val="24"/>
        </w:rPr>
        <w:t>=60</w:t>
      </w:r>
      <w:r>
        <w:rPr>
          <w:bCs/>
          <w:sz w:val="24"/>
          <w:szCs w:val="24"/>
        </w:rPr>
        <w:t>人轻伤。</w:t>
      </w:r>
    </w:p>
    <w:p w:rsidR="0073700B" w:rsidRDefault="001A2FFC" w:rsidP="00F80BAC">
      <w:pPr>
        <w:spacing w:beforeLines="50" w:before="156" w:line="360" w:lineRule="auto"/>
        <w:ind w:firstLineChars="200" w:firstLine="480"/>
        <w:rPr>
          <w:bCs/>
          <w:sz w:val="24"/>
          <w:szCs w:val="20"/>
        </w:rPr>
      </w:pPr>
      <w:r>
        <w:rPr>
          <w:rFonts w:hint="eastAsia"/>
          <w:bCs/>
          <w:sz w:val="24"/>
          <w:szCs w:val="20"/>
        </w:rPr>
        <w:t>Ⅱ）</w:t>
      </w:r>
      <w:r>
        <w:rPr>
          <w:bCs/>
          <w:sz w:val="24"/>
          <w:szCs w:val="20"/>
        </w:rPr>
        <w:t>直接经济损失</w:t>
      </w:r>
    </w:p>
    <w:p w:rsidR="0073700B" w:rsidRDefault="001A2FFC">
      <w:pPr>
        <w:pStyle w:val="a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8</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w:t>
      </w:r>
      <w:r>
        <w:rPr>
          <w:rFonts w:ascii="黑体" w:eastAsia="黑体" w:hAnsi="黑体"/>
          <w:b w:val="0"/>
          <w:bCs/>
        </w:rPr>
        <w:t>Q/CR 9006-2014</w:t>
      </w:r>
      <w:r>
        <w:rPr>
          <w:rFonts w:ascii="黑体" w:eastAsia="黑体" w:hAnsi="黑体"/>
          <w:b w:val="0"/>
          <w:bCs/>
        </w:rPr>
        <w:t>铁路建设工程风险管理技术规范》</w:t>
      </w:r>
      <w:r>
        <w:rPr>
          <w:rFonts w:ascii="黑体" w:eastAsia="黑体" w:hAnsi="黑体"/>
          <w:b w:val="0"/>
          <w:bCs/>
        </w:rPr>
        <w:fldChar w:fldCharType="begin"/>
      </w:r>
      <w:r>
        <w:rPr>
          <w:rFonts w:ascii="黑体" w:eastAsia="黑体" w:hAnsi="黑体"/>
          <w:b w:val="0"/>
          <w:bCs/>
        </w:rPr>
        <w:instrText xml:space="preserve"> ADDIN NE.Ref.{9B658ABC-7C9D-41AF-84D7-DB781DDAE972}</w:instrText>
      </w:r>
      <w:r>
        <w:rPr>
          <w:rFonts w:ascii="黑体" w:eastAsia="黑体" w:hAnsi="黑体"/>
          <w:b w:val="0"/>
          <w:bCs/>
        </w:rPr>
        <w:fldChar w:fldCharType="separate"/>
      </w:r>
      <w:r>
        <w:rPr>
          <w:rFonts w:ascii="黑体" w:eastAsia="黑体" w:hAnsi="黑体"/>
          <w:b w:val="0"/>
          <w:bCs/>
          <w:color w:val="080000"/>
          <w:kern w:val="0"/>
          <w:vertAlign w:val="superscript"/>
        </w:rPr>
        <w:t>[26]</w:t>
      </w:r>
      <w:r>
        <w:rPr>
          <w:rFonts w:ascii="黑体" w:eastAsia="黑体" w:hAnsi="黑体"/>
          <w:b w:val="0"/>
          <w:bCs/>
        </w:rPr>
        <w:fldChar w:fldCharType="end"/>
      </w:r>
    </w:p>
    <w:tbl>
      <w:tblPr>
        <w:tblStyle w:val="af1"/>
        <w:tblW w:w="8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1561"/>
        <w:gridCol w:w="1581"/>
        <w:gridCol w:w="1482"/>
        <w:gridCol w:w="1382"/>
        <w:gridCol w:w="872"/>
      </w:tblGrid>
      <w:tr w:rsidR="0073700B">
        <w:tc>
          <w:tcPr>
            <w:tcW w:w="1408" w:type="dxa"/>
            <w:tcBorders>
              <w:bottom w:val="single" w:sz="8" w:space="0" w:color="auto"/>
            </w:tcBorders>
            <w:vAlign w:val="center"/>
          </w:tcPr>
          <w:p w:rsidR="0073700B" w:rsidRDefault="001A2FFC">
            <w:pPr>
              <w:jc w:val="center"/>
              <w:rPr>
                <w:bCs/>
              </w:rPr>
            </w:pPr>
            <w:r>
              <w:rPr>
                <w:bCs/>
              </w:rPr>
              <w:t>后果等级</w:t>
            </w:r>
          </w:p>
        </w:tc>
        <w:tc>
          <w:tcPr>
            <w:tcW w:w="1561" w:type="dxa"/>
            <w:tcBorders>
              <w:bottom w:val="single" w:sz="8" w:space="0" w:color="auto"/>
            </w:tcBorders>
            <w:vAlign w:val="center"/>
          </w:tcPr>
          <w:p w:rsidR="0073700B" w:rsidRDefault="001A2FFC">
            <w:pPr>
              <w:jc w:val="center"/>
              <w:rPr>
                <w:bCs/>
              </w:rPr>
            </w:pPr>
            <w:r>
              <w:rPr>
                <w:bCs/>
              </w:rPr>
              <w:t>1</w:t>
            </w:r>
          </w:p>
        </w:tc>
        <w:tc>
          <w:tcPr>
            <w:tcW w:w="1581" w:type="dxa"/>
            <w:tcBorders>
              <w:bottom w:val="single" w:sz="8" w:space="0" w:color="auto"/>
            </w:tcBorders>
            <w:vAlign w:val="center"/>
          </w:tcPr>
          <w:p w:rsidR="0073700B" w:rsidRDefault="001A2FFC">
            <w:pPr>
              <w:jc w:val="center"/>
              <w:rPr>
                <w:bCs/>
              </w:rPr>
            </w:pPr>
            <w:r>
              <w:rPr>
                <w:bCs/>
              </w:rPr>
              <w:t>2</w:t>
            </w:r>
          </w:p>
        </w:tc>
        <w:tc>
          <w:tcPr>
            <w:tcW w:w="1482" w:type="dxa"/>
            <w:tcBorders>
              <w:bottom w:val="single" w:sz="8" w:space="0" w:color="auto"/>
            </w:tcBorders>
            <w:vAlign w:val="center"/>
          </w:tcPr>
          <w:p w:rsidR="0073700B" w:rsidRDefault="001A2FFC">
            <w:pPr>
              <w:jc w:val="center"/>
              <w:rPr>
                <w:bCs/>
              </w:rPr>
            </w:pPr>
            <w:r>
              <w:rPr>
                <w:bCs/>
              </w:rPr>
              <w:t>3</w:t>
            </w:r>
          </w:p>
        </w:tc>
        <w:tc>
          <w:tcPr>
            <w:tcW w:w="1382" w:type="dxa"/>
            <w:tcBorders>
              <w:bottom w:val="single" w:sz="8" w:space="0" w:color="auto"/>
            </w:tcBorders>
            <w:vAlign w:val="center"/>
          </w:tcPr>
          <w:p w:rsidR="0073700B" w:rsidRDefault="001A2FFC">
            <w:pPr>
              <w:jc w:val="center"/>
              <w:rPr>
                <w:bCs/>
              </w:rPr>
            </w:pPr>
            <w:r>
              <w:rPr>
                <w:bCs/>
              </w:rPr>
              <w:t>4</w:t>
            </w:r>
          </w:p>
        </w:tc>
        <w:tc>
          <w:tcPr>
            <w:tcW w:w="872" w:type="dxa"/>
            <w:tcBorders>
              <w:bottom w:val="single" w:sz="8" w:space="0" w:color="auto"/>
            </w:tcBorders>
            <w:vAlign w:val="center"/>
          </w:tcPr>
          <w:p w:rsidR="0073700B" w:rsidRDefault="001A2FFC">
            <w:pPr>
              <w:jc w:val="center"/>
              <w:rPr>
                <w:bCs/>
              </w:rPr>
            </w:pPr>
            <w:r>
              <w:rPr>
                <w:bCs/>
              </w:rPr>
              <w:t>5</w:t>
            </w:r>
          </w:p>
        </w:tc>
      </w:tr>
      <w:tr w:rsidR="0073700B">
        <w:tc>
          <w:tcPr>
            <w:tcW w:w="1408" w:type="dxa"/>
            <w:tcBorders>
              <w:bottom w:val="single" w:sz="4" w:space="0" w:color="auto"/>
            </w:tcBorders>
            <w:vAlign w:val="center"/>
          </w:tcPr>
          <w:p w:rsidR="0073700B" w:rsidRDefault="001A2FFC">
            <w:pPr>
              <w:rPr>
                <w:bCs/>
              </w:rPr>
            </w:pPr>
            <w:r>
              <w:rPr>
                <w:bCs/>
              </w:rPr>
              <w:t>绝对经济损失（万元）</w:t>
            </w:r>
          </w:p>
        </w:tc>
        <w:tc>
          <w:tcPr>
            <w:tcW w:w="1561" w:type="dxa"/>
            <w:tcBorders>
              <w:bottom w:val="single" w:sz="4" w:space="0" w:color="auto"/>
            </w:tcBorders>
            <w:vAlign w:val="center"/>
          </w:tcPr>
          <w:p w:rsidR="0073700B" w:rsidRDefault="001A2FFC">
            <w:pPr>
              <w:jc w:val="center"/>
              <w:rPr>
                <w:bCs/>
              </w:rPr>
            </w:pPr>
            <w:r>
              <w:rPr>
                <w:bCs/>
                <w:i/>
                <w:iCs/>
              </w:rPr>
              <w:t>EL</w:t>
            </w:r>
            <w:r>
              <w:rPr>
                <w:bCs/>
              </w:rPr>
              <w:t>≥10000</w:t>
            </w:r>
          </w:p>
        </w:tc>
        <w:tc>
          <w:tcPr>
            <w:tcW w:w="1581" w:type="dxa"/>
            <w:tcBorders>
              <w:bottom w:val="single" w:sz="4" w:space="0" w:color="auto"/>
            </w:tcBorders>
            <w:vAlign w:val="center"/>
          </w:tcPr>
          <w:p w:rsidR="0073700B" w:rsidRDefault="001A2FFC">
            <w:pPr>
              <w:jc w:val="center"/>
              <w:rPr>
                <w:bCs/>
              </w:rPr>
            </w:pPr>
            <w:r>
              <w:rPr>
                <w:bCs/>
              </w:rPr>
              <w:t>5000≤</w:t>
            </w:r>
            <w:r>
              <w:rPr>
                <w:bCs/>
                <w:i/>
                <w:iCs/>
              </w:rPr>
              <w:t>EL</w:t>
            </w:r>
            <w:r>
              <w:rPr>
                <w:bCs/>
              </w:rPr>
              <w:t>&lt;10000</w:t>
            </w:r>
          </w:p>
        </w:tc>
        <w:tc>
          <w:tcPr>
            <w:tcW w:w="1482" w:type="dxa"/>
            <w:tcBorders>
              <w:bottom w:val="single" w:sz="4" w:space="0" w:color="auto"/>
            </w:tcBorders>
            <w:vAlign w:val="center"/>
          </w:tcPr>
          <w:p w:rsidR="0073700B" w:rsidRDefault="001A2FFC">
            <w:pPr>
              <w:jc w:val="center"/>
              <w:rPr>
                <w:bCs/>
              </w:rPr>
            </w:pPr>
            <w:r>
              <w:rPr>
                <w:bCs/>
              </w:rPr>
              <w:t>1000≤</w:t>
            </w:r>
            <w:r>
              <w:rPr>
                <w:bCs/>
                <w:i/>
                <w:iCs/>
              </w:rPr>
              <w:t>EL</w:t>
            </w:r>
            <w:r>
              <w:rPr>
                <w:bCs/>
              </w:rPr>
              <w:t>&lt;5000</w:t>
            </w:r>
          </w:p>
        </w:tc>
        <w:tc>
          <w:tcPr>
            <w:tcW w:w="1382" w:type="dxa"/>
            <w:tcBorders>
              <w:bottom w:val="single" w:sz="4" w:space="0" w:color="auto"/>
            </w:tcBorders>
            <w:vAlign w:val="center"/>
          </w:tcPr>
          <w:p w:rsidR="0073700B" w:rsidRDefault="001A2FFC">
            <w:pPr>
              <w:jc w:val="center"/>
              <w:rPr>
                <w:bCs/>
              </w:rPr>
            </w:pPr>
            <w:r>
              <w:rPr>
                <w:bCs/>
              </w:rPr>
              <w:t>100≤</w:t>
            </w:r>
            <w:r>
              <w:rPr>
                <w:bCs/>
                <w:i/>
                <w:iCs/>
              </w:rPr>
              <w:t>EL</w:t>
            </w:r>
            <w:r>
              <w:rPr>
                <w:bCs/>
              </w:rPr>
              <w:t>&lt;1000</w:t>
            </w:r>
          </w:p>
        </w:tc>
        <w:tc>
          <w:tcPr>
            <w:tcW w:w="872" w:type="dxa"/>
            <w:tcBorders>
              <w:bottom w:val="single" w:sz="4" w:space="0" w:color="auto"/>
            </w:tcBorders>
            <w:vAlign w:val="center"/>
          </w:tcPr>
          <w:p w:rsidR="0073700B" w:rsidRDefault="001A2FFC">
            <w:pPr>
              <w:jc w:val="center"/>
              <w:rPr>
                <w:bCs/>
              </w:rPr>
            </w:pPr>
            <w:r>
              <w:rPr>
                <w:bCs/>
                <w:i/>
                <w:iCs/>
              </w:rPr>
              <w:t>EL</w:t>
            </w:r>
            <w:r>
              <w:rPr>
                <w:bCs/>
              </w:rPr>
              <w:t>&lt;100</w:t>
            </w:r>
          </w:p>
        </w:tc>
      </w:tr>
      <w:tr w:rsidR="0073700B">
        <w:tc>
          <w:tcPr>
            <w:tcW w:w="1408" w:type="dxa"/>
            <w:tcBorders>
              <w:top w:val="single" w:sz="4" w:space="0" w:color="auto"/>
              <w:bottom w:val="single" w:sz="8" w:space="0" w:color="auto"/>
            </w:tcBorders>
            <w:vAlign w:val="center"/>
          </w:tcPr>
          <w:p w:rsidR="0073700B" w:rsidRDefault="001A2FFC">
            <w:pPr>
              <w:jc w:val="center"/>
              <w:rPr>
                <w:bCs/>
              </w:rPr>
            </w:pPr>
            <w:r>
              <w:rPr>
                <w:bCs/>
              </w:rPr>
              <w:t>相对经济损失（</w:t>
            </w:r>
            <w:r>
              <w:rPr>
                <w:bCs/>
              </w:rPr>
              <w:t>%</w:t>
            </w:r>
            <w:r>
              <w:rPr>
                <w:bCs/>
              </w:rPr>
              <w:t>）</w:t>
            </w:r>
          </w:p>
        </w:tc>
        <w:tc>
          <w:tcPr>
            <w:tcW w:w="1561" w:type="dxa"/>
            <w:tcBorders>
              <w:top w:val="single" w:sz="4" w:space="0" w:color="auto"/>
              <w:bottom w:val="single" w:sz="8" w:space="0" w:color="auto"/>
            </w:tcBorders>
            <w:vAlign w:val="center"/>
          </w:tcPr>
          <w:p w:rsidR="0073700B" w:rsidRDefault="001A2FFC">
            <w:pPr>
              <w:jc w:val="center"/>
              <w:rPr>
                <w:bCs/>
              </w:rPr>
            </w:pPr>
            <w:r>
              <w:rPr>
                <w:bCs/>
                <w:i/>
                <w:iCs/>
              </w:rPr>
              <w:t>EL</w:t>
            </w:r>
            <w:r>
              <w:rPr>
                <w:bCs/>
              </w:rPr>
              <w:t>≥100</w:t>
            </w:r>
          </w:p>
        </w:tc>
        <w:tc>
          <w:tcPr>
            <w:tcW w:w="1581" w:type="dxa"/>
            <w:tcBorders>
              <w:top w:val="single" w:sz="4" w:space="0" w:color="auto"/>
              <w:bottom w:val="single" w:sz="8" w:space="0" w:color="auto"/>
            </w:tcBorders>
            <w:vAlign w:val="center"/>
          </w:tcPr>
          <w:p w:rsidR="0073700B" w:rsidRDefault="001A2FFC">
            <w:pPr>
              <w:jc w:val="center"/>
              <w:rPr>
                <w:bCs/>
              </w:rPr>
            </w:pPr>
            <w:r>
              <w:rPr>
                <w:bCs/>
              </w:rPr>
              <w:t>50≤</w:t>
            </w:r>
            <w:r>
              <w:rPr>
                <w:bCs/>
                <w:i/>
                <w:iCs/>
              </w:rPr>
              <w:t>EL</w:t>
            </w:r>
            <w:r>
              <w:rPr>
                <w:bCs/>
              </w:rPr>
              <w:t>&lt;100</w:t>
            </w:r>
          </w:p>
        </w:tc>
        <w:tc>
          <w:tcPr>
            <w:tcW w:w="1482" w:type="dxa"/>
            <w:tcBorders>
              <w:top w:val="single" w:sz="4" w:space="0" w:color="auto"/>
              <w:bottom w:val="single" w:sz="8" w:space="0" w:color="auto"/>
            </w:tcBorders>
            <w:vAlign w:val="center"/>
          </w:tcPr>
          <w:p w:rsidR="0073700B" w:rsidRDefault="001A2FFC">
            <w:pPr>
              <w:jc w:val="center"/>
              <w:rPr>
                <w:bCs/>
              </w:rPr>
            </w:pPr>
            <w:r>
              <w:rPr>
                <w:bCs/>
              </w:rPr>
              <w:t>20≤</w:t>
            </w:r>
            <w:r>
              <w:rPr>
                <w:bCs/>
                <w:i/>
                <w:iCs/>
              </w:rPr>
              <w:t>EL</w:t>
            </w:r>
            <w:r>
              <w:rPr>
                <w:bCs/>
              </w:rPr>
              <w:t>&lt;50</w:t>
            </w:r>
          </w:p>
        </w:tc>
        <w:tc>
          <w:tcPr>
            <w:tcW w:w="1382" w:type="dxa"/>
            <w:tcBorders>
              <w:top w:val="single" w:sz="4" w:space="0" w:color="auto"/>
              <w:bottom w:val="single" w:sz="8" w:space="0" w:color="auto"/>
            </w:tcBorders>
            <w:vAlign w:val="center"/>
          </w:tcPr>
          <w:p w:rsidR="0073700B" w:rsidRDefault="001A2FFC">
            <w:pPr>
              <w:jc w:val="center"/>
              <w:rPr>
                <w:bCs/>
              </w:rPr>
            </w:pPr>
            <w:r>
              <w:rPr>
                <w:bCs/>
              </w:rPr>
              <w:t>5≤</w:t>
            </w:r>
            <w:r>
              <w:rPr>
                <w:bCs/>
                <w:i/>
                <w:iCs/>
              </w:rPr>
              <w:t>EL</w:t>
            </w:r>
            <w:r>
              <w:rPr>
                <w:bCs/>
              </w:rPr>
              <w:t>&lt;20</w:t>
            </w:r>
          </w:p>
        </w:tc>
        <w:tc>
          <w:tcPr>
            <w:tcW w:w="872" w:type="dxa"/>
            <w:tcBorders>
              <w:top w:val="single" w:sz="4" w:space="0" w:color="auto"/>
              <w:bottom w:val="single" w:sz="8" w:space="0" w:color="auto"/>
            </w:tcBorders>
            <w:vAlign w:val="center"/>
          </w:tcPr>
          <w:p w:rsidR="0073700B" w:rsidRDefault="001A2FFC">
            <w:pPr>
              <w:jc w:val="center"/>
              <w:rPr>
                <w:bCs/>
              </w:rPr>
            </w:pPr>
            <w:r>
              <w:rPr>
                <w:bCs/>
                <w:i/>
                <w:iCs/>
              </w:rPr>
              <w:t>EL</w:t>
            </w:r>
            <w:r>
              <w:rPr>
                <w:bCs/>
              </w:rPr>
              <w:t>&lt;5</w:t>
            </w:r>
          </w:p>
        </w:tc>
      </w:tr>
    </w:tbl>
    <w:p w:rsidR="0073700B" w:rsidRDefault="001A2FFC" w:rsidP="00F80BAC">
      <w:pPr>
        <w:spacing w:beforeLines="50" w:before="156" w:line="360" w:lineRule="auto"/>
        <w:jc w:val="left"/>
        <w:rPr>
          <w:bCs/>
          <w:sz w:val="20"/>
          <w:szCs w:val="20"/>
        </w:rPr>
      </w:pPr>
      <w:r>
        <w:rPr>
          <w:bCs/>
          <w:sz w:val="20"/>
          <w:szCs w:val="20"/>
        </w:rPr>
        <w:t>注：</w:t>
      </w:r>
      <w:r>
        <w:rPr>
          <w:bCs/>
          <w:sz w:val="20"/>
          <w:szCs w:val="20"/>
        </w:rPr>
        <w:t>1.“</w:t>
      </w:r>
      <w:r>
        <w:rPr>
          <w:bCs/>
          <w:i/>
          <w:iCs/>
          <w:sz w:val="20"/>
          <w:szCs w:val="20"/>
        </w:rPr>
        <w:t>EL</w:t>
      </w:r>
      <w:r>
        <w:rPr>
          <w:bCs/>
          <w:sz w:val="20"/>
          <w:szCs w:val="20"/>
        </w:rPr>
        <w:t>”</w:t>
      </w:r>
      <w:r>
        <w:rPr>
          <w:bCs/>
          <w:sz w:val="20"/>
          <w:szCs w:val="20"/>
        </w:rPr>
        <w:t>指经济损失；</w:t>
      </w:r>
    </w:p>
    <w:p w:rsidR="0073700B" w:rsidRDefault="001A2FFC" w:rsidP="00F80BAC">
      <w:pPr>
        <w:spacing w:beforeLines="50" w:before="156" w:line="360" w:lineRule="auto"/>
        <w:ind w:firstLineChars="200" w:firstLine="400"/>
        <w:jc w:val="left"/>
        <w:rPr>
          <w:bCs/>
          <w:sz w:val="20"/>
          <w:szCs w:val="20"/>
        </w:rPr>
      </w:pPr>
      <w:r>
        <w:rPr>
          <w:bCs/>
          <w:sz w:val="20"/>
          <w:szCs w:val="20"/>
        </w:rPr>
        <w:t>2.</w:t>
      </w:r>
      <w:r>
        <w:rPr>
          <w:bCs/>
          <w:sz w:val="20"/>
          <w:szCs w:val="20"/>
        </w:rPr>
        <w:t>相对经济损失的基数为原工程的造价；</w:t>
      </w:r>
    </w:p>
    <w:p w:rsidR="0073700B" w:rsidRDefault="001A2FFC" w:rsidP="00F80BAC">
      <w:pPr>
        <w:spacing w:beforeLines="50" w:before="156" w:line="360" w:lineRule="auto"/>
        <w:ind w:firstLineChars="200" w:firstLine="400"/>
        <w:jc w:val="left"/>
        <w:rPr>
          <w:bCs/>
          <w:sz w:val="20"/>
          <w:szCs w:val="20"/>
        </w:rPr>
      </w:pPr>
      <w:r>
        <w:rPr>
          <w:bCs/>
          <w:sz w:val="20"/>
          <w:szCs w:val="20"/>
        </w:rPr>
        <w:t>3.</w:t>
      </w:r>
      <w:r>
        <w:rPr>
          <w:bCs/>
          <w:sz w:val="20"/>
          <w:szCs w:val="20"/>
        </w:rPr>
        <w:t>后果等级取绝对经济损失或相对经济损失中对应的最高等级。</w:t>
      </w:r>
    </w:p>
    <w:p w:rsidR="0073700B" w:rsidRDefault="001A2FFC" w:rsidP="00F80BAC">
      <w:pPr>
        <w:pStyle w:val="a6"/>
        <w:spacing w:beforeLines="50" w:before="156"/>
        <w:rPr>
          <w:rFonts w:ascii="黑体" w:eastAsia="黑体" w:hAnsi="黑体"/>
          <w:b w:val="0"/>
          <w:bCs/>
        </w:rPr>
      </w:pPr>
      <w:r>
        <w:rPr>
          <w:rFonts w:ascii="黑体" w:eastAsia="黑体" w:hAnsi="黑体"/>
          <w:b w:val="0"/>
          <w:bCs/>
        </w:rPr>
        <w:lastRenderedPageBreak/>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9</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w:t>
      </w:r>
      <w:r>
        <w:rPr>
          <w:rFonts w:ascii="黑体" w:eastAsia="黑体" w:hAnsi="黑体"/>
          <w:b w:val="0"/>
          <w:bCs/>
        </w:rPr>
        <w:t>GB50652-2011</w:t>
      </w:r>
      <w:r>
        <w:rPr>
          <w:rFonts w:ascii="黑体" w:eastAsia="黑体" w:hAnsi="黑体"/>
          <w:b w:val="0"/>
          <w:bCs/>
        </w:rPr>
        <w:t>城市轨道交通地下工程建设风险管理规范》</w:t>
      </w:r>
      <w:r>
        <w:rPr>
          <w:rFonts w:ascii="黑体" w:eastAsia="黑体" w:hAnsi="黑体"/>
          <w:b w:val="0"/>
          <w:bCs/>
        </w:rPr>
        <w:fldChar w:fldCharType="begin"/>
      </w:r>
      <w:r>
        <w:rPr>
          <w:rFonts w:ascii="黑体" w:eastAsia="黑体" w:hAnsi="黑体"/>
          <w:b w:val="0"/>
          <w:bCs/>
        </w:rPr>
        <w:instrText xml:space="preserve"> ADDIN NE.Ref.{A10766A4-CC7F-4F26-8A8F-5875DEE46CB7}</w:instrText>
      </w:r>
      <w:r>
        <w:rPr>
          <w:rFonts w:ascii="黑体" w:eastAsia="黑体" w:hAnsi="黑体"/>
          <w:b w:val="0"/>
          <w:bCs/>
        </w:rPr>
        <w:fldChar w:fldCharType="separate"/>
      </w:r>
      <w:r>
        <w:rPr>
          <w:rFonts w:ascii="黑体" w:eastAsia="黑体" w:hAnsi="黑体"/>
          <w:b w:val="0"/>
          <w:bCs/>
          <w:color w:val="080000"/>
          <w:kern w:val="0"/>
          <w:vertAlign w:val="superscript"/>
        </w:rPr>
        <w:t>[27]</w:t>
      </w:r>
      <w:r>
        <w:rPr>
          <w:rFonts w:ascii="黑体" w:eastAsia="黑体" w:hAnsi="黑体"/>
          <w:b w:val="0"/>
          <w:bCs/>
        </w:rPr>
        <w:fldChar w:fldCharType="end"/>
      </w:r>
    </w:p>
    <w:tbl>
      <w:tblPr>
        <w:tblStyle w:val="af1"/>
        <w:tblW w:w="863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0"/>
        <w:gridCol w:w="1418"/>
        <w:gridCol w:w="1809"/>
        <w:gridCol w:w="1734"/>
        <w:gridCol w:w="1701"/>
        <w:gridCol w:w="1275"/>
      </w:tblGrid>
      <w:tr w:rsidR="0073700B">
        <w:tc>
          <w:tcPr>
            <w:tcW w:w="700" w:type="dxa"/>
            <w:tcBorders>
              <w:top w:val="single" w:sz="8" w:space="0" w:color="auto"/>
              <w:bottom w:val="single" w:sz="8" w:space="0" w:color="auto"/>
            </w:tcBorders>
            <w:vAlign w:val="center"/>
          </w:tcPr>
          <w:p w:rsidR="0073700B" w:rsidRDefault="001A2FFC">
            <w:pPr>
              <w:jc w:val="center"/>
              <w:rPr>
                <w:bCs/>
                <w:szCs w:val="21"/>
              </w:rPr>
            </w:pPr>
            <w:r>
              <w:rPr>
                <w:bCs/>
                <w:szCs w:val="21"/>
              </w:rPr>
              <w:t>等级</w:t>
            </w:r>
          </w:p>
        </w:tc>
        <w:tc>
          <w:tcPr>
            <w:tcW w:w="1418" w:type="dxa"/>
            <w:tcBorders>
              <w:top w:val="single" w:sz="8" w:space="0" w:color="auto"/>
              <w:bottom w:val="single" w:sz="8" w:space="0" w:color="auto"/>
            </w:tcBorders>
            <w:vAlign w:val="center"/>
          </w:tcPr>
          <w:p w:rsidR="0073700B" w:rsidRDefault="001A2FFC">
            <w:pPr>
              <w:jc w:val="center"/>
              <w:rPr>
                <w:bCs/>
                <w:szCs w:val="21"/>
              </w:rPr>
            </w:pPr>
            <w:r>
              <w:rPr>
                <w:bCs/>
                <w:szCs w:val="21"/>
              </w:rPr>
              <w:t>1</w:t>
            </w:r>
          </w:p>
        </w:tc>
        <w:tc>
          <w:tcPr>
            <w:tcW w:w="1809" w:type="dxa"/>
            <w:tcBorders>
              <w:top w:val="single" w:sz="8" w:space="0" w:color="auto"/>
              <w:bottom w:val="single" w:sz="8" w:space="0" w:color="auto"/>
            </w:tcBorders>
            <w:vAlign w:val="center"/>
          </w:tcPr>
          <w:p w:rsidR="0073700B" w:rsidRDefault="001A2FFC">
            <w:pPr>
              <w:jc w:val="center"/>
              <w:rPr>
                <w:bCs/>
                <w:szCs w:val="21"/>
              </w:rPr>
            </w:pPr>
            <w:r>
              <w:rPr>
                <w:bCs/>
                <w:szCs w:val="21"/>
              </w:rPr>
              <w:t>2</w:t>
            </w:r>
          </w:p>
        </w:tc>
        <w:tc>
          <w:tcPr>
            <w:tcW w:w="1734" w:type="dxa"/>
            <w:tcBorders>
              <w:top w:val="single" w:sz="8" w:space="0" w:color="auto"/>
              <w:bottom w:val="single" w:sz="8" w:space="0" w:color="auto"/>
            </w:tcBorders>
            <w:vAlign w:val="center"/>
          </w:tcPr>
          <w:p w:rsidR="0073700B" w:rsidRDefault="001A2FFC">
            <w:pPr>
              <w:jc w:val="center"/>
              <w:rPr>
                <w:bCs/>
                <w:szCs w:val="21"/>
              </w:rPr>
            </w:pPr>
            <w:r>
              <w:rPr>
                <w:bCs/>
                <w:szCs w:val="21"/>
              </w:rPr>
              <w:t>3</w:t>
            </w:r>
          </w:p>
        </w:tc>
        <w:tc>
          <w:tcPr>
            <w:tcW w:w="1701" w:type="dxa"/>
            <w:tcBorders>
              <w:top w:val="single" w:sz="8" w:space="0" w:color="auto"/>
              <w:bottom w:val="single" w:sz="8" w:space="0" w:color="auto"/>
            </w:tcBorders>
            <w:vAlign w:val="center"/>
          </w:tcPr>
          <w:p w:rsidR="0073700B" w:rsidRDefault="001A2FFC">
            <w:pPr>
              <w:jc w:val="center"/>
              <w:rPr>
                <w:bCs/>
                <w:szCs w:val="21"/>
              </w:rPr>
            </w:pPr>
            <w:r>
              <w:rPr>
                <w:bCs/>
                <w:szCs w:val="21"/>
              </w:rPr>
              <w:t>4</w:t>
            </w:r>
          </w:p>
        </w:tc>
        <w:tc>
          <w:tcPr>
            <w:tcW w:w="1275" w:type="dxa"/>
            <w:tcBorders>
              <w:top w:val="single" w:sz="8" w:space="0" w:color="auto"/>
              <w:bottom w:val="single" w:sz="8" w:space="0" w:color="auto"/>
            </w:tcBorders>
            <w:vAlign w:val="center"/>
          </w:tcPr>
          <w:p w:rsidR="0073700B" w:rsidRDefault="001A2FFC">
            <w:pPr>
              <w:jc w:val="center"/>
              <w:rPr>
                <w:bCs/>
                <w:szCs w:val="21"/>
              </w:rPr>
            </w:pPr>
            <w:r>
              <w:rPr>
                <w:bCs/>
                <w:szCs w:val="21"/>
              </w:rPr>
              <w:t>5</w:t>
            </w:r>
          </w:p>
        </w:tc>
      </w:tr>
      <w:tr w:rsidR="0073700B">
        <w:trPr>
          <w:trHeight w:val="814"/>
        </w:trPr>
        <w:tc>
          <w:tcPr>
            <w:tcW w:w="700" w:type="dxa"/>
            <w:tcBorders>
              <w:top w:val="single" w:sz="8" w:space="0" w:color="auto"/>
            </w:tcBorders>
            <w:vAlign w:val="center"/>
          </w:tcPr>
          <w:p w:rsidR="0073700B" w:rsidRDefault="001A2FFC">
            <w:pPr>
              <w:jc w:val="center"/>
              <w:rPr>
                <w:bCs/>
                <w:szCs w:val="21"/>
              </w:rPr>
            </w:pPr>
            <w:r>
              <w:rPr>
                <w:bCs/>
                <w:szCs w:val="21"/>
              </w:rPr>
              <w:t>工程本身</w:t>
            </w:r>
          </w:p>
        </w:tc>
        <w:tc>
          <w:tcPr>
            <w:tcW w:w="1418" w:type="dxa"/>
            <w:tcBorders>
              <w:top w:val="single" w:sz="8" w:space="0" w:color="auto"/>
            </w:tcBorders>
            <w:vAlign w:val="center"/>
          </w:tcPr>
          <w:p w:rsidR="0073700B" w:rsidRDefault="001A2FFC">
            <w:pPr>
              <w:jc w:val="center"/>
              <w:rPr>
                <w:bCs/>
                <w:szCs w:val="21"/>
              </w:rPr>
            </w:pPr>
            <w:r>
              <w:rPr>
                <w:bCs/>
                <w:szCs w:val="21"/>
              </w:rPr>
              <w:t>1000</w:t>
            </w:r>
            <w:r>
              <w:rPr>
                <w:bCs/>
                <w:szCs w:val="21"/>
              </w:rPr>
              <w:t>万元以上</w:t>
            </w:r>
          </w:p>
        </w:tc>
        <w:tc>
          <w:tcPr>
            <w:tcW w:w="1809" w:type="dxa"/>
            <w:tcBorders>
              <w:top w:val="single" w:sz="8" w:space="0" w:color="auto"/>
            </w:tcBorders>
            <w:vAlign w:val="center"/>
          </w:tcPr>
          <w:p w:rsidR="0073700B" w:rsidRDefault="001A2FFC">
            <w:pPr>
              <w:jc w:val="center"/>
              <w:rPr>
                <w:bCs/>
                <w:szCs w:val="21"/>
              </w:rPr>
            </w:pPr>
            <w:r>
              <w:rPr>
                <w:bCs/>
                <w:szCs w:val="21"/>
              </w:rPr>
              <w:t>500</w:t>
            </w:r>
            <w:r>
              <w:rPr>
                <w:bCs/>
                <w:szCs w:val="21"/>
              </w:rPr>
              <w:t>万元</w:t>
            </w:r>
            <w:r>
              <w:rPr>
                <w:bCs/>
                <w:szCs w:val="21"/>
              </w:rPr>
              <w:t>~1000</w:t>
            </w:r>
            <w:r>
              <w:rPr>
                <w:bCs/>
                <w:szCs w:val="21"/>
              </w:rPr>
              <w:t>万元</w:t>
            </w:r>
          </w:p>
        </w:tc>
        <w:tc>
          <w:tcPr>
            <w:tcW w:w="1734" w:type="dxa"/>
            <w:tcBorders>
              <w:top w:val="single" w:sz="8" w:space="0" w:color="auto"/>
            </w:tcBorders>
            <w:vAlign w:val="center"/>
          </w:tcPr>
          <w:p w:rsidR="0073700B" w:rsidRDefault="001A2FFC">
            <w:pPr>
              <w:jc w:val="center"/>
              <w:rPr>
                <w:bCs/>
                <w:szCs w:val="21"/>
              </w:rPr>
            </w:pPr>
            <w:r>
              <w:rPr>
                <w:bCs/>
                <w:szCs w:val="21"/>
              </w:rPr>
              <w:t>100</w:t>
            </w:r>
            <w:r>
              <w:rPr>
                <w:bCs/>
                <w:szCs w:val="21"/>
              </w:rPr>
              <w:t>万元</w:t>
            </w:r>
            <w:r>
              <w:rPr>
                <w:bCs/>
                <w:szCs w:val="21"/>
              </w:rPr>
              <w:t>~500</w:t>
            </w:r>
            <w:r>
              <w:rPr>
                <w:bCs/>
                <w:szCs w:val="21"/>
              </w:rPr>
              <w:t>万元</w:t>
            </w:r>
          </w:p>
        </w:tc>
        <w:tc>
          <w:tcPr>
            <w:tcW w:w="1701" w:type="dxa"/>
            <w:tcBorders>
              <w:top w:val="single" w:sz="8" w:space="0" w:color="auto"/>
            </w:tcBorders>
            <w:vAlign w:val="center"/>
          </w:tcPr>
          <w:p w:rsidR="0073700B" w:rsidRDefault="001A2FFC">
            <w:pPr>
              <w:jc w:val="center"/>
              <w:rPr>
                <w:bCs/>
                <w:szCs w:val="21"/>
              </w:rPr>
            </w:pPr>
            <w:r>
              <w:rPr>
                <w:bCs/>
                <w:szCs w:val="21"/>
              </w:rPr>
              <w:t>50</w:t>
            </w:r>
            <w:r>
              <w:rPr>
                <w:bCs/>
                <w:szCs w:val="21"/>
              </w:rPr>
              <w:t>万元</w:t>
            </w:r>
            <w:r>
              <w:rPr>
                <w:bCs/>
                <w:szCs w:val="21"/>
              </w:rPr>
              <w:t>~100</w:t>
            </w:r>
            <w:r>
              <w:rPr>
                <w:bCs/>
                <w:szCs w:val="21"/>
              </w:rPr>
              <w:t>万元</w:t>
            </w:r>
          </w:p>
        </w:tc>
        <w:tc>
          <w:tcPr>
            <w:tcW w:w="1275" w:type="dxa"/>
            <w:tcBorders>
              <w:top w:val="single" w:sz="8" w:space="0" w:color="auto"/>
            </w:tcBorders>
            <w:vAlign w:val="center"/>
          </w:tcPr>
          <w:p w:rsidR="0073700B" w:rsidRDefault="001A2FFC">
            <w:pPr>
              <w:jc w:val="center"/>
              <w:rPr>
                <w:bCs/>
                <w:szCs w:val="21"/>
              </w:rPr>
            </w:pPr>
            <w:r>
              <w:rPr>
                <w:bCs/>
                <w:szCs w:val="21"/>
              </w:rPr>
              <w:t>50</w:t>
            </w:r>
            <w:r>
              <w:rPr>
                <w:bCs/>
                <w:szCs w:val="21"/>
              </w:rPr>
              <w:t>万元以下</w:t>
            </w:r>
          </w:p>
        </w:tc>
      </w:tr>
      <w:tr w:rsidR="0073700B">
        <w:tc>
          <w:tcPr>
            <w:tcW w:w="700" w:type="dxa"/>
            <w:vAlign w:val="center"/>
          </w:tcPr>
          <w:p w:rsidR="0073700B" w:rsidRDefault="001A2FFC">
            <w:pPr>
              <w:jc w:val="center"/>
              <w:rPr>
                <w:bCs/>
                <w:szCs w:val="21"/>
              </w:rPr>
            </w:pPr>
            <w:r>
              <w:rPr>
                <w:bCs/>
                <w:szCs w:val="21"/>
              </w:rPr>
              <w:t>第三方</w:t>
            </w:r>
          </w:p>
        </w:tc>
        <w:tc>
          <w:tcPr>
            <w:tcW w:w="1418" w:type="dxa"/>
            <w:vAlign w:val="center"/>
          </w:tcPr>
          <w:p w:rsidR="0073700B" w:rsidRDefault="001A2FFC">
            <w:pPr>
              <w:jc w:val="center"/>
              <w:rPr>
                <w:bCs/>
                <w:szCs w:val="21"/>
              </w:rPr>
            </w:pPr>
            <w:r>
              <w:rPr>
                <w:bCs/>
                <w:szCs w:val="21"/>
              </w:rPr>
              <w:t>200</w:t>
            </w:r>
            <w:r>
              <w:rPr>
                <w:bCs/>
                <w:szCs w:val="21"/>
              </w:rPr>
              <w:t>万元以上</w:t>
            </w:r>
          </w:p>
        </w:tc>
        <w:tc>
          <w:tcPr>
            <w:tcW w:w="1809" w:type="dxa"/>
            <w:vAlign w:val="center"/>
          </w:tcPr>
          <w:p w:rsidR="0073700B" w:rsidRDefault="001A2FFC">
            <w:pPr>
              <w:jc w:val="center"/>
              <w:rPr>
                <w:bCs/>
                <w:szCs w:val="21"/>
              </w:rPr>
            </w:pPr>
            <w:r>
              <w:rPr>
                <w:bCs/>
                <w:szCs w:val="21"/>
              </w:rPr>
              <w:t>100</w:t>
            </w:r>
            <w:r>
              <w:rPr>
                <w:bCs/>
                <w:szCs w:val="21"/>
              </w:rPr>
              <w:t>万元</w:t>
            </w:r>
            <w:r>
              <w:rPr>
                <w:bCs/>
                <w:szCs w:val="21"/>
              </w:rPr>
              <w:t>~200</w:t>
            </w:r>
            <w:r>
              <w:rPr>
                <w:bCs/>
                <w:szCs w:val="21"/>
              </w:rPr>
              <w:t>万元</w:t>
            </w:r>
          </w:p>
        </w:tc>
        <w:tc>
          <w:tcPr>
            <w:tcW w:w="1734" w:type="dxa"/>
            <w:vAlign w:val="center"/>
          </w:tcPr>
          <w:p w:rsidR="0073700B" w:rsidRDefault="001A2FFC">
            <w:pPr>
              <w:jc w:val="center"/>
              <w:rPr>
                <w:bCs/>
                <w:szCs w:val="21"/>
              </w:rPr>
            </w:pPr>
            <w:r>
              <w:rPr>
                <w:bCs/>
                <w:szCs w:val="21"/>
              </w:rPr>
              <w:t>50</w:t>
            </w:r>
            <w:r>
              <w:rPr>
                <w:bCs/>
                <w:szCs w:val="21"/>
              </w:rPr>
              <w:t>万元</w:t>
            </w:r>
            <w:r>
              <w:rPr>
                <w:bCs/>
                <w:szCs w:val="21"/>
              </w:rPr>
              <w:t>~100</w:t>
            </w:r>
            <w:r>
              <w:rPr>
                <w:bCs/>
                <w:szCs w:val="21"/>
              </w:rPr>
              <w:t>万元</w:t>
            </w:r>
          </w:p>
        </w:tc>
        <w:tc>
          <w:tcPr>
            <w:tcW w:w="1701" w:type="dxa"/>
            <w:vAlign w:val="center"/>
          </w:tcPr>
          <w:p w:rsidR="0073700B" w:rsidRDefault="001A2FFC">
            <w:pPr>
              <w:jc w:val="center"/>
              <w:rPr>
                <w:bCs/>
                <w:szCs w:val="21"/>
              </w:rPr>
            </w:pPr>
            <w:r>
              <w:rPr>
                <w:bCs/>
                <w:szCs w:val="21"/>
              </w:rPr>
              <w:t>10</w:t>
            </w:r>
            <w:r>
              <w:rPr>
                <w:bCs/>
                <w:szCs w:val="21"/>
              </w:rPr>
              <w:t>万元</w:t>
            </w:r>
            <w:r>
              <w:rPr>
                <w:bCs/>
                <w:szCs w:val="21"/>
              </w:rPr>
              <w:t>~50</w:t>
            </w:r>
            <w:r>
              <w:rPr>
                <w:bCs/>
                <w:szCs w:val="21"/>
              </w:rPr>
              <w:t>万元</w:t>
            </w:r>
          </w:p>
        </w:tc>
        <w:tc>
          <w:tcPr>
            <w:tcW w:w="1275" w:type="dxa"/>
            <w:vAlign w:val="center"/>
          </w:tcPr>
          <w:p w:rsidR="0073700B" w:rsidRDefault="001A2FFC">
            <w:pPr>
              <w:jc w:val="center"/>
              <w:rPr>
                <w:bCs/>
                <w:szCs w:val="21"/>
              </w:rPr>
            </w:pPr>
            <w:r>
              <w:rPr>
                <w:bCs/>
                <w:szCs w:val="21"/>
              </w:rPr>
              <w:t>10</w:t>
            </w:r>
            <w:r>
              <w:rPr>
                <w:bCs/>
                <w:szCs w:val="21"/>
              </w:rPr>
              <w:t>万元以下</w:t>
            </w:r>
          </w:p>
        </w:tc>
      </w:tr>
    </w:tbl>
    <w:p w:rsidR="0073700B" w:rsidRDefault="001A2FFC" w:rsidP="00F80BAC">
      <w:pPr>
        <w:pStyle w:val="a6"/>
        <w:spacing w:beforeLines="50" w:before="15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10</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国际隧协：《</w:t>
      </w:r>
      <w:r>
        <w:rPr>
          <w:rFonts w:ascii="黑体" w:eastAsia="黑体" w:hAnsi="黑体"/>
          <w:b w:val="0"/>
          <w:bCs/>
        </w:rPr>
        <w:t>Guidelines for tunnelling risk management</w:t>
      </w:r>
      <w:r>
        <w:rPr>
          <w:rFonts w:ascii="黑体" w:eastAsia="黑体" w:hAnsi="黑体"/>
          <w:b w:val="0"/>
          <w:bCs/>
        </w:rPr>
        <w:t>》</w:t>
      </w:r>
      <w:r>
        <w:rPr>
          <w:rFonts w:ascii="黑体" w:eastAsia="黑体" w:hAnsi="黑体"/>
          <w:b w:val="0"/>
          <w:bCs/>
        </w:rPr>
        <w:fldChar w:fldCharType="begin"/>
      </w:r>
      <w:r>
        <w:rPr>
          <w:rFonts w:ascii="黑体" w:eastAsia="黑体" w:hAnsi="黑体"/>
          <w:b w:val="0"/>
          <w:bCs/>
        </w:rPr>
        <w:instrText xml:space="preserve"> ADDIN NE.Ref.{5518EB55-718E-4601-A8AB-30603BA2A7B2}</w:instrText>
      </w:r>
      <w:r>
        <w:rPr>
          <w:rFonts w:ascii="黑体" w:eastAsia="黑体" w:hAnsi="黑体"/>
          <w:b w:val="0"/>
          <w:bCs/>
        </w:rPr>
        <w:fldChar w:fldCharType="separate"/>
      </w:r>
      <w:r>
        <w:rPr>
          <w:rFonts w:ascii="黑体" w:eastAsia="黑体" w:hAnsi="黑体"/>
          <w:b w:val="0"/>
          <w:bCs/>
          <w:color w:val="080000"/>
          <w:kern w:val="0"/>
          <w:vertAlign w:val="superscript"/>
        </w:rPr>
        <w:t>[18]</w:t>
      </w:r>
      <w:r>
        <w:rPr>
          <w:rFonts w:ascii="黑体" w:eastAsia="黑体" w:hAnsi="黑体"/>
          <w:b w:val="0"/>
          <w:bCs/>
        </w:rPr>
        <w:fldChar w:fldCharType="end"/>
      </w:r>
    </w:p>
    <w:p w:rsidR="0073700B" w:rsidRDefault="001A2FFC">
      <w:pPr>
        <w:spacing w:line="360" w:lineRule="auto"/>
        <w:jc w:val="left"/>
        <w:rPr>
          <w:bCs/>
        </w:rPr>
      </w:pPr>
      <w:r>
        <w:rPr>
          <w:bCs/>
        </w:rPr>
        <w:t>Economic loss to owner</w:t>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258"/>
        <w:gridCol w:w="1257"/>
        <w:gridCol w:w="868"/>
        <w:gridCol w:w="992"/>
        <w:gridCol w:w="1482"/>
        <w:gridCol w:w="1429"/>
      </w:tblGrid>
      <w:tr w:rsidR="0073700B">
        <w:tc>
          <w:tcPr>
            <w:tcW w:w="2258" w:type="dxa"/>
            <w:tcBorders>
              <w:top w:val="single" w:sz="8" w:space="0" w:color="auto"/>
              <w:bottom w:val="single" w:sz="8" w:space="0" w:color="auto"/>
            </w:tcBorders>
            <w:vAlign w:val="center"/>
          </w:tcPr>
          <w:p w:rsidR="0073700B" w:rsidRDefault="0073700B">
            <w:pPr>
              <w:jc w:val="center"/>
              <w:rPr>
                <w:bCs/>
                <w:szCs w:val="21"/>
              </w:rPr>
            </w:pPr>
          </w:p>
        </w:tc>
        <w:tc>
          <w:tcPr>
            <w:tcW w:w="1257" w:type="dxa"/>
            <w:tcBorders>
              <w:top w:val="single" w:sz="8" w:space="0" w:color="auto"/>
              <w:bottom w:val="single" w:sz="8" w:space="0" w:color="auto"/>
            </w:tcBorders>
            <w:vAlign w:val="center"/>
          </w:tcPr>
          <w:p w:rsidR="0073700B" w:rsidRDefault="001A2FFC">
            <w:pPr>
              <w:jc w:val="center"/>
              <w:rPr>
                <w:bCs/>
                <w:szCs w:val="21"/>
              </w:rPr>
            </w:pPr>
            <w:r>
              <w:rPr>
                <w:bCs/>
                <w:szCs w:val="21"/>
              </w:rPr>
              <w:t>Disastrous</w:t>
            </w:r>
          </w:p>
        </w:tc>
        <w:tc>
          <w:tcPr>
            <w:tcW w:w="868" w:type="dxa"/>
            <w:tcBorders>
              <w:top w:val="single" w:sz="8" w:space="0" w:color="auto"/>
              <w:bottom w:val="single" w:sz="8" w:space="0" w:color="auto"/>
            </w:tcBorders>
            <w:vAlign w:val="center"/>
          </w:tcPr>
          <w:p w:rsidR="0073700B" w:rsidRDefault="001A2FFC">
            <w:pPr>
              <w:jc w:val="center"/>
              <w:rPr>
                <w:bCs/>
                <w:szCs w:val="21"/>
              </w:rPr>
            </w:pPr>
            <w:r>
              <w:rPr>
                <w:bCs/>
                <w:szCs w:val="21"/>
              </w:rPr>
              <w:t>Severe</w:t>
            </w:r>
          </w:p>
        </w:tc>
        <w:tc>
          <w:tcPr>
            <w:tcW w:w="992" w:type="dxa"/>
            <w:tcBorders>
              <w:top w:val="single" w:sz="8" w:space="0" w:color="auto"/>
              <w:bottom w:val="single" w:sz="8" w:space="0" w:color="auto"/>
            </w:tcBorders>
            <w:vAlign w:val="center"/>
          </w:tcPr>
          <w:p w:rsidR="0073700B" w:rsidRDefault="001A2FFC">
            <w:pPr>
              <w:jc w:val="center"/>
              <w:rPr>
                <w:bCs/>
                <w:szCs w:val="21"/>
              </w:rPr>
            </w:pPr>
            <w:r>
              <w:rPr>
                <w:bCs/>
                <w:szCs w:val="21"/>
              </w:rPr>
              <w:t>Serious</w:t>
            </w:r>
          </w:p>
        </w:tc>
        <w:tc>
          <w:tcPr>
            <w:tcW w:w="1482" w:type="dxa"/>
            <w:tcBorders>
              <w:top w:val="single" w:sz="8" w:space="0" w:color="auto"/>
              <w:bottom w:val="single" w:sz="8" w:space="0" w:color="auto"/>
            </w:tcBorders>
            <w:vAlign w:val="center"/>
          </w:tcPr>
          <w:p w:rsidR="0073700B" w:rsidRDefault="001A2FFC">
            <w:pPr>
              <w:jc w:val="center"/>
              <w:rPr>
                <w:bCs/>
                <w:szCs w:val="21"/>
              </w:rPr>
            </w:pPr>
            <w:r>
              <w:rPr>
                <w:bCs/>
                <w:szCs w:val="21"/>
              </w:rPr>
              <w:t>Considerable</w:t>
            </w:r>
          </w:p>
        </w:tc>
        <w:tc>
          <w:tcPr>
            <w:tcW w:w="1429" w:type="dxa"/>
            <w:tcBorders>
              <w:top w:val="single" w:sz="8" w:space="0" w:color="auto"/>
              <w:bottom w:val="single" w:sz="8" w:space="0" w:color="auto"/>
            </w:tcBorders>
            <w:vAlign w:val="center"/>
          </w:tcPr>
          <w:p w:rsidR="0073700B" w:rsidRDefault="001A2FFC">
            <w:pPr>
              <w:jc w:val="center"/>
              <w:rPr>
                <w:bCs/>
                <w:szCs w:val="21"/>
              </w:rPr>
            </w:pPr>
            <w:r>
              <w:rPr>
                <w:bCs/>
                <w:szCs w:val="21"/>
              </w:rPr>
              <w:t>Insignificant</w:t>
            </w:r>
          </w:p>
        </w:tc>
      </w:tr>
      <w:tr w:rsidR="0073700B">
        <w:tc>
          <w:tcPr>
            <w:tcW w:w="2258" w:type="dxa"/>
            <w:tcBorders>
              <w:top w:val="single" w:sz="8" w:space="0" w:color="auto"/>
            </w:tcBorders>
            <w:vAlign w:val="center"/>
          </w:tcPr>
          <w:p w:rsidR="0073700B" w:rsidRDefault="001A2FFC">
            <w:pPr>
              <w:jc w:val="center"/>
              <w:rPr>
                <w:bCs/>
                <w:szCs w:val="21"/>
              </w:rPr>
            </w:pPr>
            <w:r>
              <w:rPr>
                <w:bCs/>
                <w:szCs w:val="21"/>
              </w:rPr>
              <w:t>Loss in Million Euro</w:t>
            </w:r>
          </w:p>
        </w:tc>
        <w:tc>
          <w:tcPr>
            <w:tcW w:w="1257" w:type="dxa"/>
            <w:tcBorders>
              <w:top w:val="single" w:sz="8" w:space="0" w:color="auto"/>
            </w:tcBorders>
            <w:vAlign w:val="center"/>
          </w:tcPr>
          <w:p w:rsidR="0073700B" w:rsidRDefault="001A2FFC">
            <w:pPr>
              <w:jc w:val="center"/>
              <w:rPr>
                <w:bCs/>
                <w:szCs w:val="21"/>
              </w:rPr>
            </w:pPr>
            <w:r>
              <w:rPr>
                <w:bCs/>
                <w:szCs w:val="21"/>
              </w:rPr>
              <w:t>&gt;30</w:t>
            </w:r>
          </w:p>
        </w:tc>
        <w:tc>
          <w:tcPr>
            <w:tcW w:w="868" w:type="dxa"/>
            <w:tcBorders>
              <w:top w:val="single" w:sz="8" w:space="0" w:color="auto"/>
            </w:tcBorders>
            <w:vAlign w:val="center"/>
          </w:tcPr>
          <w:p w:rsidR="0073700B" w:rsidRDefault="001A2FFC">
            <w:pPr>
              <w:jc w:val="center"/>
              <w:rPr>
                <w:bCs/>
                <w:szCs w:val="21"/>
              </w:rPr>
            </w:pPr>
            <w:r>
              <w:rPr>
                <w:bCs/>
                <w:szCs w:val="21"/>
              </w:rPr>
              <w:t>3-30</w:t>
            </w:r>
          </w:p>
        </w:tc>
        <w:tc>
          <w:tcPr>
            <w:tcW w:w="992" w:type="dxa"/>
            <w:tcBorders>
              <w:top w:val="single" w:sz="8" w:space="0" w:color="auto"/>
            </w:tcBorders>
            <w:vAlign w:val="center"/>
          </w:tcPr>
          <w:p w:rsidR="0073700B" w:rsidRDefault="001A2FFC">
            <w:pPr>
              <w:jc w:val="center"/>
              <w:rPr>
                <w:bCs/>
                <w:szCs w:val="21"/>
              </w:rPr>
            </w:pPr>
            <w:r>
              <w:rPr>
                <w:bCs/>
                <w:szCs w:val="21"/>
              </w:rPr>
              <w:t>0.3-3</w:t>
            </w:r>
          </w:p>
        </w:tc>
        <w:tc>
          <w:tcPr>
            <w:tcW w:w="1482" w:type="dxa"/>
            <w:tcBorders>
              <w:top w:val="single" w:sz="8" w:space="0" w:color="auto"/>
            </w:tcBorders>
            <w:vAlign w:val="center"/>
          </w:tcPr>
          <w:p w:rsidR="0073700B" w:rsidRDefault="001A2FFC">
            <w:pPr>
              <w:jc w:val="center"/>
              <w:rPr>
                <w:bCs/>
                <w:szCs w:val="21"/>
              </w:rPr>
            </w:pPr>
            <w:r>
              <w:rPr>
                <w:bCs/>
                <w:szCs w:val="21"/>
              </w:rPr>
              <w:t>0.03-0.3</w:t>
            </w:r>
          </w:p>
        </w:tc>
        <w:tc>
          <w:tcPr>
            <w:tcW w:w="1429" w:type="dxa"/>
            <w:tcBorders>
              <w:top w:val="single" w:sz="8" w:space="0" w:color="auto"/>
            </w:tcBorders>
            <w:vAlign w:val="center"/>
          </w:tcPr>
          <w:p w:rsidR="0073700B" w:rsidRDefault="001A2FFC">
            <w:pPr>
              <w:jc w:val="center"/>
              <w:rPr>
                <w:bCs/>
                <w:szCs w:val="21"/>
              </w:rPr>
            </w:pPr>
            <w:r>
              <w:rPr>
                <w:bCs/>
                <w:szCs w:val="21"/>
              </w:rPr>
              <w:t>&lt;0.03</w:t>
            </w:r>
          </w:p>
        </w:tc>
      </w:tr>
    </w:tbl>
    <w:p w:rsidR="0073700B" w:rsidRDefault="001A2FFC">
      <w:pPr>
        <w:spacing w:line="360" w:lineRule="auto"/>
        <w:jc w:val="left"/>
        <w:rPr>
          <w:bCs/>
        </w:rPr>
      </w:pPr>
      <w:r>
        <w:rPr>
          <w:bCs/>
        </w:rPr>
        <w:t>Damage or economic loss to third party</w:t>
      </w:r>
    </w:p>
    <w:tbl>
      <w:tblPr>
        <w:tblStyle w:val="af1"/>
        <w:tblW w:w="829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263"/>
        <w:gridCol w:w="1258"/>
        <w:gridCol w:w="869"/>
        <w:gridCol w:w="993"/>
        <w:gridCol w:w="1483"/>
        <w:gridCol w:w="1430"/>
      </w:tblGrid>
      <w:tr w:rsidR="0073700B">
        <w:tc>
          <w:tcPr>
            <w:tcW w:w="2263" w:type="dxa"/>
            <w:tcBorders>
              <w:top w:val="single" w:sz="8" w:space="0" w:color="auto"/>
              <w:bottom w:val="single" w:sz="8" w:space="0" w:color="auto"/>
            </w:tcBorders>
            <w:vAlign w:val="center"/>
          </w:tcPr>
          <w:p w:rsidR="0073700B" w:rsidRDefault="0073700B">
            <w:pPr>
              <w:spacing w:line="312" w:lineRule="auto"/>
              <w:jc w:val="center"/>
              <w:rPr>
                <w:bCs/>
                <w:szCs w:val="21"/>
              </w:rPr>
            </w:pPr>
          </w:p>
        </w:tc>
        <w:tc>
          <w:tcPr>
            <w:tcW w:w="1258" w:type="dxa"/>
            <w:tcBorders>
              <w:top w:val="single" w:sz="8" w:space="0" w:color="auto"/>
              <w:bottom w:val="single" w:sz="8" w:space="0" w:color="auto"/>
            </w:tcBorders>
            <w:vAlign w:val="center"/>
          </w:tcPr>
          <w:p w:rsidR="0073700B" w:rsidRDefault="001A2FFC">
            <w:pPr>
              <w:spacing w:line="312" w:lineRule="auto"/>
              <w:jc w:val="center"/>
              <w:rPr>
                <w:bCs/>
                <w:szCs w:val="21"/>
              </w:rPr>
            </w:pPr>
            <w:r>
              <w:rPr>
                <w:bCs/>
                <w:szCs w:val="21"/>
              </w:rPr>
              <w:t>Disastrous</w:t>
            </w:r>
          </w:p>
        </w:tc>
        <w:tc>
          <w:tcPr>
            <w:tcW w:w="869" w:type="dxa"/>
            <w:tcBorders>
              <w:top w:val="single" w:sz="8" w:space="0" w:color="auto"/>
              <w:bottom w:val="single" w:sz="8" w:space="0" w:color="auto"/>
            </w:tcBorders>
            <w:vAlign w:val="center"/>
          </w:tcPr>
          <w:p w:rsidR="0073700B" w:rsidRDefault="001A2FFC">
            <w:pPr>
              <w:spacing w:line="312" w:lineRule="auto"/>
              <w:jc w:val="center"/>
              <w:rPr>
                <w:bCs/>
                <w:szCs w:val="21"/>
              </w:rPr>
            </w:pPr>
            <w:r>
              <w:rPr>
                <w:bCs/>
                <w:szCs w:val="21"/>
              </w:rPr>
              <w:t>Severe</w:t>
            </w:r>
          </w:p>
        </w:tc>
        <w:tc>
          <w:tcPr>
            <w:tcW w:w="993" w:type="dxa"/>
            <w:tcBorders>
              <w:top w:val="single" w:sz="8" w:space="0" w:color="auto"/>
              <w:bottom w:val="single" w:sz="8" w:space="0" w:color="auto"/>
            </w:tcBorders>
            <w:vAlign w:val="center"/>
          </w:tcPr>
          <w:p w:rsidR="0073700B" w:rsidRDefault="001A2FFC">
            <w:pPr>
              <w:spacing w:line="312" w:lineRule="auto"/>
              <w:jc w:val="center"/>
              <w:rPr>
                <w:bCs/>
                <w:szCs w:val="21"/>
              </w:rPr>
            </w:pPr>
            <w:r>
              <w:rPr>
                <w:bCs/>
                <w:szCs w:val="21"/>
              </w:rPr>
              <w:t>Serious</w:t>
            </w:r>
          </w:p>
        </w:tc>
        <w:tc>
          <w:tcPr>
            <w:tcW w:w="1483" w:type="dxa"/>
            <w:tcBorders>
              <w:top w:val="single" w:sz="8" w:space="0" w:color="auto"/>
              <w:bottom w:val="single" w:sz="8" w:space="0" w:color="auto"/>
            </w:tcBorders>
            <w:vAlign w:val="center"/>
          </w:tcPr>
          <w:p w:rsidR="0073700B" w:rsidRDefault="001A2FFC">
            <w:pPr>
              <w:spacing w:line="312" w:lineRule="auto"/>
              <w:jc w:val="center"/>
              <w:rPr>
                <w:bCs/>
                <w:szCs w:val="21"/>
              </w:rPr>
            </w:pPr>
            <w:r>
              <w:rPr>
                <w:bCs/>
                <w:szCs w:val="21"/>
              </w:rPr>
              <w:t>Considerable</w:t>
            </w:r>
          </w:p>
        </w:tc>
        <w:tc>
          <w:tcPr>
            <w:tcW w:w="1430" w:type="dxa"/>
            <w:tcBorders>
              <w:top w:val="single" w:sz="8" w:space="0" w:color="auto"/>
              <w:bottom w:val="single" w:sz="8" w:space="0" w:color="auto"/>
            </w:tcBorders>
            <w:vAlign w:val="center"/>
          </w:tcPr>
          <w:p w:rsidR="0073700B" w:rsidRDefault="001A2FFC">
            <w:pPr>
              <w:spacing w:line="312" w:lineRule="auto"/>
              <w:jc w:val="center"/>
              <w:rPr>
                <w:bCs/>
                <w:szCs w:val="21"/>
              </w:rPr>
            </w:pPr>
            <w:r>
              <w:rPr>
                <w:bCs/>
                <w:szCs w:val="21"/>
              </w:rPr>
              <w:t>Insignificant</w:t>
            </w:r>
          </w:p>
        </w:tc>
      </w:tr>
      <w:tr w:rsidR="0073700B">
        <w:tc>
          <w:tcPr>
            <w:tcW w:w="2263" w:type="dxa"/>
            <w:tcBorders>
              <w:top w:val="single" w:sz="8" w:space="0" w:color="auto"/>
            </w:tcBorders>
            <w:vAlign w:val="center"/>
          </w:tcPr>
          <w:p w:rsidR="0073700B" w:rsidRDefault="001A2FFC">
            <w:pPr>
              <w:spacing w:line="312" w:lineRule="auto"/>
              <w:jc w:val="center"/>
              <w:rPr>
                <w:bCs/>
                <w:szCs w:val="21"/>
              </w:rPr>
            </w:pPr>
            <w:r>
              <w:rPr>
                <w:bCs/>
                <w:szCs w:val="21"/>
              </w:rPr>
              <w:t>Loss in Million Euro</w:t>
            </w:r>
          </w:p>
        </w:tc>
        <w:tc>
          <w:tcPr>
            <w:tcW w:w="1258" w:type="dxa"/>
            <w:tcBorders>
              <w:top w:val="single" w:sz="8" w:space="0" w:color="auto"/>
            </w:tcBorders>
            <w:vAlign w:val="center"/>
          </w:tcPr>
          <w:p w:rsidR="0073700B" w:rsidRDefault="001A2FFC">
            <w:pPr>
              <w:spacing w:line="312" w:lineRule="auto"/>
              <w:jc w:val="center"/>
              <w:rPr>
                <w:bCs/>
                <w:szCs w:val="21"/>
              </w:rPr>
            </w:pPr>
            <w:r>
              <w:rPr>
                <w:bCs/>
                <w:szCs w:val="21"/>
              </w:rPr>
              <w:t>&gt;3</w:t>
            </w:r>
          </w:p>
        </w:tc>
        <w:tc>
          <w:tcPr>
            <w:tcW w:w="869" w:type="dxa"/>
            <w:tcBorders>
              <w:top w:val="single" w:sz="8" w:space="0" w:color="auto"/>
            </w:tcBorders>
            <w:vAlign w:val="center"/>
          </w:tcPr>
          <w:p w:rsidR="0073700B" w:rsidRDefault="001A2FFC">
            <w:pPr>
              <w:spacing w:line="312" w:lineRule="auto"/>
              <w:jc w:val="center"/>
              <w:rPr>
                <w:bCs/>
                <w:szCs w:val="21"/>
              </w:rPr>
            </w:pPr>
            <w:r>
              <w:rPr>
                <w:bCs/>
                <w:szCs w:val="21"/>
              </w:rPr>
              <w:t>0.3-3</w:t>
            </w:r>
          </w:p>
        </w:tc>
        <w:tc>
          <w:tcPr>
            <w:tcW w:w="993" w:type="dxa"/>
            <w:tcBorders>
              <w:top w:val="single" w:sz="8" w:space="0" w:color="auto"/>
            </w:tcBorders>
            <w:vAlign w:val="center"/>
          </w:tcPr>
          <w:p w:rsidR="0073700B" w:rsidRDefault="001A2FFC">
            <w:pPr>
              <w:spacing w:line="312" w:lineRule="auto"/>
              <w:jc w:val="center"/>
              <w:rPr>
                <w:bCs/>
                <w:szCs w:val="21"/>
              </w:rPr>
            </w:pPr>
            <w:r>
              <w:rPr>
                <w:bCs/>
                <w:szCs w:val="21"/>
              </w:rPr>
              <w:t>0.03-0.3</w:t>
            </w:r>
          </w:p>
        </w:tc>
        <w:tc>
          <w:tcPr>
            <w:tcW w:w="1483" w:type="dxa"/>
            <w:tcBorders>
              <w:top w:val="single" w:sz="8" w:space="0" w:color="auto"/>
            </w:tcBorders>
            <w:vAlign w:val="center"/>
          </w:tcPr>
          <w:p w:rsidR="0073700B" w:rsidRDefault="001A2FFC">
            <w:pPr>
              <w:spacing w:line="312" w:lineRule="auto"/>
              <w:jc w:val="center"/>
              <w:rPr>
                <w:bCs/>
                <w:szCs w:val="21"/>
              </w:rPr>
            </w:pPr>
            <w:r>
              <w:rPr>
                <w:bCs/>
                <w:szCs w:val="21"/>
              </w:rPr>
              <w:t>0.003-0.03</w:t>
            </w:r>
          </w:p>
        </w:tc>
        <w:tc>
          <w:tcPr>
            <w:tcW w:w="1430" w:type="dxa"/>
            <w:tcBorders>
              <w:top w:val="single" w:sz="8" w:space="0" w:color="auto"/>
            </w:tcBorders>
            <w:vAlign w:val="center"/>
          </w:tcPr>
          <w:p w:rsidR="0073700B" w:rsidRDefault="001A2FFC">
            <w:pPr>
              <w:spacing w:line="312" w:lineRule="auto"/>
              <w:jc w:val="center"/>
              <w:rPr>
                <w:bCs/>
                <w:szCs w:val="21"/>
              </w:rPr>
            </w:pPr>
            <w:r>
              <w:rPr>
                <w:bCs/>
                <w:szCs w:val="21"/>
              </w:rPr>
              <w:t>&lt;0.003</w:t>
            </w:r>
          </w:p>
        </w:tc>
      </w:tr>
    </w:tbl>
    <w:p w:rsidR="0073700B" w:rsidRDefault="001A2FFC" w:rsidP="00F80BAC">
      <w:pPr>
        <w:spacing w:beforeLines="50" w:before="156" w:line="360" w:lineRule="auto"/>
        <w:ind w:firstLineChars="200" w:firstLine="480"/>
        <w:jc w:val="left"/>
        <w:rPr>
          <w:bCs/>
          <w:sz w:val="24"/>
          <w:szCs w:val="20"/>
        </w:rPr>
      </w:pPr>
      <w:r>
        <w:rPr>
          <w:bCs/>
          <w:sz w:val="24"/>
          <w:szCs w:val="24"/>
        </w:rPr>
        <w:t>《生产安全事故报告和调查处理条例》</w:t>
      </w:r>
      <w:r>
        <w:rPr>
          <w:bCs/>
          <w:sz w:val="24"/>
          <w:szCs w:val="20"/>
        </w:rPr>
        <w:fldChar w:fldCharType="begin"/>
      </w:r>
      <w:r>
        <w:rPr>
          <w:bCs/>
          <w:sz w:val="24"/>
          <w:szCs w:val="20"/>
        </w:rPr>
        <w:instrText xml:space="preserve"> ADDIN NE.Ref.{AE28C786-9691-48E2-AB61-F15D79C4D93D}</w:instrText>
      </w:r>
      <w:r>
        <w:rPr>
          <w:bCs/>
          <w:sz w:val="24"/>
          <w:szCs w:val="20"/>
        </w:rPr>
        <w:fldChar w:fldCharType="separate"/>
      </w:r>
      <w:r>
        <w:rPr>
          <w:color w:val="080000"/>
          <w:kern w:val="0"/>
          <w:sz w:val="24"/>
          <w:szCs w:val="24"/>
          <w:vertAlign w:val="superscript"/>
        </w:rPr>
        <w:t>[4]</w:t>
      </w:r>
      <w:r>
        <w:rPr>
          <w:bCs/>
          <w:sz w:val="24"/>
          <w:szCs w:val="20"/>
        </w:rPr>
        <w:fldChar w:fldCharType="end"/>
      </w:r>
      <w:r>
        <w:rPr>
          <w:bCs/>
          <w:sz w:val="24"/>
          <w:szCs w:val="24"/>
        </w:rPr>
        <w:t>中规定：</w:t>
      </w:r>
    </w:p>
    <w:p w:rsidR="0073700B" w:rsidRDefault="001A2FFC" w:rsidP="00F80BAC">
      <w:pPr>
        <w:spacing w:beforeLines="50" w:before="156" w:line="360" w:lineRule="auto"/>
        <w:ind w:firstLine="482"/>
        <w:jc w:val="left"/>
        <w:rPr>
          <w:bCs/>
          <w:sz w:val="24"/>
          <w:szCs w:val="24"/>
        </w:rPr>
      </w:pPr>
      <w:r>
        <w:rPr>
          <w:bCs/>
          <w:sz w:val="24"/>
          <w:szCs w:val="24"/>
        </w:rPr>
        <w:t>根据生产安全事故（以下简称事故）造成的人员伤亡或者直接经济损失，事故一般分为以下等级：</w:t>
      </w:r>
    </w:p>
    <w:p w:rsidR="0073700B" w:rsidRDefault="001A2FFC" w:rsidP="00F80BAC">
      <w:pPr>
        <w:spacing w:beforeLines="50" w:before="156" w:line="360" w:lineRule="auto"/>
        <w:ind w:firstLine="482"/>
        <w:jc w:val="left"/>
        <w:rPr>
          <w:bCs/>
          <w:sz w:val="24"/>
          <w:szCs w:val="24"/>
        </w:rPr>
      </w:pPr>
      <w:r>
        <w:rPr>
          <w:rFonts w:hint="eastAsia"/>
          <w:bCs/>
          <w:sz w:val="24"/>
          <w:szCs w:val="24"/>
        </w:rPr>
        <w:t>——</w:t>
      </w:r>
      <w:r>
        <w:rPr>
          <w:bCs/>
          <w:sz w:val="24"/>
          <w:szCs w:val="24"/>
        </w:rPr>
        <w:t>特别重大事故，是指造成</w:t>
      </w:r>
      <w:r>
        <w:rPr>
          <w:bCs/>
          <w:sz w:val="24"/>
          <w:szCs w:val="24"/>
        </w:rPr>
        <w:t>30</w:t>
      </w:r>
      <w:r>
        <w:rPr>
          <w:bCs/>
          <w:sz w:val="24"/>
          <w:szCs w:val="24"/>
        </w:rPr>
        <w:t>人以上死亡，或者</w:t>
      </w:r>
      <w:r>
        <w:rPr>
          <w:bCs/>
          <w:sz w:val="24"/>
          <w:szCs w:val="24"/>
        </w:rPr>
        <w:t>100</w:t>
      </w:r>
      <w:r>
        <w:rPr>
          <w:bCs/>
          <w:sz w:val="24"/>
          <w:szCs w:val="24"/>
        </w:rPr>
        <w:t>人以上重伤（包括急性工业中毒，下同），或者</w:t>
      </w:r>
      <w:r>
        <w:rPr>
          <w:bCs/>
          <w:sz w:val="24"/>
          <w:szCs w:val="24"/>
        </w:rPr>
        <w:t>1</w:t>
      </w:r>
      <w:r>
        <w:rPr>
          <w:bCs/>
          <w:sz w:val="24"/>
          <w:szCs w:val="24"/>
        </w:rPr>
        <w:t>亿元以上直接经济损失的事故；</w:t>
      </w:r>
    </w:p>
    <w:p w:rsidR="0073700B" w:rsidRDefault="001A2FFC" w:rsidP="00F80BAC">
      <w:pPr>
        <w:spacing w:beforeLines="50" w:before="156" w:line="360" w:lineRule="auto"/>
        <w:ind w:firstLine="482"/>
        <w:jc w:val="left"/>
        <w:rPr>
          <w:bCs/>
          <w:sz w:val="24"/>
          <w:szCs w:val="24"/>
        </w:rPr>
      </w:pPr>
      <w:r>
        <w:rPr>
          <w:rFonts w:hint="eastAsia"/>
          <w:bCs/>
          <w:sz w:val="24"/>
          <w:szCs w:val="24"/>
        </w:rPr>
        <w:t>——</w:t>
      </w:r>
      <w:r>
        <w:rPr>
          <w:bCs/>
          <w:sz w:val="24"/>
          <w:szCs w:val="24"/>
        </w:rPr>
        <w:t>重大事故，是指造成</w:t>
      </w:r>
      <w:r>
        <w:rPr>
          <w:bCs/>
          <w:sz w:val="24"/>
          <w:szCs w:val="24"/>
        </w:rPr>
        <w:t>10</w:t>
      </w:r>
      <w:r>
        <w:rPr>
          <w:bCs/>
          <w:sz w:val="24"/>
          <w:szCs w:val="24"/>
        </w:rPr>
        <w:t>人以上</w:t>
      </w:r>
      <w:r>
        <w:rPr>
          <w:bCs/>
          <w:sz w:val="24"/>
          <w:szCs w:val="24"/>
        </w:rPr>
        <w:t>30</w:t>
      </w:r>
      <w:r>
        <w:rPr>
          <w:bCs/>
          <w:sz w:val="24"/>
          <w:szCs w:val="24"/>
        </w:rPr>
        <w:t>人以下死亡，或者</w:t>
      </w:r>
      <w:r>
        <w:rPr>
          <w:bCs/>
          <w:sz w:val="24"/>
          <w:szCs w:val="24"/>
        </w:rPr>
        <w:t>50</w:t>
      </w:r>
      <w:r>
        <w:rPr>
          <w:bCs/>
          <w:sz w:val="24"/>
          <w:szCs w:val="24"/>
        </w:rPr>
        <w:t>人以上</w:t>
      </w:r>
      <w:r>
        <w:rPr>
          <w:bCs/>
          <w:sz w:val="24"/>
          <w:szCs w:val="24"/>
        </w:rPr>
        <w:t>100</w:t>
      </w:r>
      <w:r>
        <w:rPr>
          <w:bCs/>
          <w:sz w:val="24"/>
          <w:szCs w:val="24"/>
        </w:rPr>
        <w:t>人以下重伤，或者</w:t>
      </w:r>
      <w:r>
        <w:rPr>
          <w:bCs/>
          <w:sz w:val="24"/>
          <w:szCs w:val="24"/>
        </w:rPr>
        <w:t>5000</w:t>
      </w:r>
      <w:r>
        <w:rPr>
          <w:bCs/>
          <w:sz w:val="24"/>
          <w:szCs w:val="24"/>
        </w:rPr>
        <w:t>万元以上</w:t>
      </w:r>
      <w:r>
        <w:rPr>
          <w:bCs/>
          <w:sz w:val="24"/>
          <w:szCs w:val="24"/>
        </w:rPr>
        <w:t>1</w:t>
      </w:r>
      <w:r>
        <w:rPr>
          <w:bCs/>
          <w:sz w:val="24"/>
          <w:szCs w:val="24"/>
        </w:rPr>
        <w:t>亿元以下直接经济损失的事故；</w:t>
      </w:r>
    </w:p>
    <w:p w:rsidR="0073700B" w:rsidRDefault="001A2FFC" w:rsidP="00F80BAC">
      <w:pPr>
        <w:spacing w:beforeLines="50" w:before="156" w:line="360" w:lineRule="auto"/>
        <w:ind w:firstLine="482"/>
        <w:jc w:val="left"/>
        <w:rPr>
          <w:bCs/>
          <w:sz w:val="24"/>
          <w:szCs w:val="24"/>
        </w:rPr>
      </w:pPr>
      <w:r>
        <w:rPr>
          <w:rFonts w:hint="eastAsia"/>
          <w:bCs/>
          <w:sz w:val="24"/>
          <w:szCs w:val="24"/>
        </w:rPr>
        <w:t>——</w:t>
      </w:r>
      <w:r>
        <w:rPr>
          <w:bCs/>
          <w:sz w:val="24"/>
          <w:szCs w:val="24"/>
        </w:rPr>
        <w:t>较大事故，是指造成</w:t>
      </w:r>
      <w:r>
        <w:rPr>
          <w:bCs/>
          <w:sz w:val="24"/>
          <w:szCs w:val="24"/>
        </w:rPr>
        <w:t>3</w:t>
      </w:r>
      <w:r>
        <w:rPr>
          <w:bCs/>
          <w:sz w:val="24"/>
          <w:szCs w:val="24"/>
        </w:rPr>
        <w:t>人以上</w:t>
      </w:r>
      <w:r>
        <w:rPr>
          <w:bCs/>
          <w:sz w:val="24"/>
          <w:szCs w:val="24"/>
        </w:rPr>
        <w:t>10</w:t>
      </w:r>
      <w:r>
        <w:rPr>
          <w:bCs/>
          <w:sz w:val="24"/>
          <w:szCs w:val="24"/>
        </w:rPr>
        <w:t>人以下死亡，或者</w:t>
      </w:r>
      <w:r>
        <w:rPr>
          <w:bCs/>
          <w:sz w:val="24"/>
          <w:szCs w:val="24"/>
        </w:rPr>
        <w:t>10</w:t>
      </w:r>
      <w:r>
        <w:rPr>
          <w:bCs/>
          <w:sz w:val="24"/>
          <w:szCs w:val="24"/>
        </w:rPr>
        <w:t>人以上</w:t>
      </w:r>
      <w:r>
        <w:rPr>
          <w:bCs/>
          <w:sz w:val="24"/>
          <w:szCs w:val="24"/>
        </w:rPr>
        <w:t>50</w:t>
      </w:r>
      <w:r>
        <w:rPr>
          <w:bCs/>
          <w:sz w:val="24"/>
          <w:szCs w:val="24"/>
        </w:rPr>
        <w:t>人以下重伤，或者</w:t>
      </w:r>
      <w:r>
        <w:rPr>
          <w:bCs/>
          <w:sz w:val="24"/>
          <w:szCs w:val="24"/>
        </w:rPr>
        <w:t>1000</w:t>
      </w:r>
      <w:r>
        <w:rPr>
          <w:bCs/>
          <w:sz w:val="24"/>
          <w:szCs w:val="24"/>
        </w:rPr>
        <w:t>万元以上</w:t>
      </w:r>
      <w:r>
        <w:rPr>
          <w:bCs/>
          <w:sz w:val="24"/>
          <w:szCs w:val="24"/>
        </w:rPr>
        <w:t>5000</w:t>
      </w:r>
      <w:r>
        <w:rPr>
          <w:bCs/>
          <w:sz w:val="24"/>
          <w:szCs w:val="24"/>
        </w:rPr>
        <w:t>万元以下直接经济损失的事故；</w:t>
      </w:r>
    </w:p>
    <w:p w:rsidR="0073700B" w:rsidRDefault="001A2FFC" w:rsidP="00F80BAC">
      <w:pPr>
        <w:spacing w:beforeLines="50" w:before="156" w:line="360" w:lineRule="auto"/>
        <w:ind w:firstLine="482"/>
        <w:jc w:val="left"/>
        <w:rPr>
          <w:bCs/>
          <w:sz w:val="24"/>
          <w:szCs w:val="24"/>
        </w:rPr>
      </w:pPr>
      <w:r>
        <w:rPr>
          <w:rFonts w:hint="eastAsia"/>
          <w:bCs/>
          <w:sz w:val="24"/>
          <w:szCs w:val="24"/>
        </w:rPr>
        <w:t>——</w:t>
      </w:r>
      <w:r>
        <w:rPr>
          <w:bCs/>
          <w:sz w:val="24"/>
          <w:szCs w:val="24"/>
        </w:rPr>
        <w:t>一般事故，是指造成</w:t>
      </w:r>
      <w:r>
        <w:rPr>
          <w:bCs/>
          <w:sz w:val="24"/>
          <w:szCs w:val="24"/>
        </w:rPr>
        <w:t>3</w:t>
      </w:r>
      <w:r>
        <w:rPr>
          <w:bCs/>
          <w:sz w:val="24"/>
          <w:szCs w:val="24"/>
        </w:rPr>
        <w:t>人以下死</w:t>
      </w:r>
      <w:r>
        <w:rPr>
          <w:bCs/>
          <w:sz w:val="24"/>
          <w:szCs w:val="24"/>
        </w:rPr>
        <w:t>亡，或者</w:t>
      </w:r>
      <w:r>
        <w:rPr>
          <w:bCs/>
          <w:sz w:val="24"/>
          <w:szCs w:val="24"/>
        </w:rPr>
        <w:t>10</w:t>
      </w:r>
      <w:r>
        <w:rPr>
          <w:bCs/>
          <w:sz w:val="24"/>
          <w:szCs w:val="24"/>
        </w:rPr>
        <w:t>人以下重伤，或者</w:t>
      </w:r>
      <w:r>
        <w:rPr>
          <w:bCs/>
          <w:sz w:val="24"/>
          <w:szCs w:val="24"/>
        </w:rPr>
        <w:t>1000</w:t>
      </w:r>
      <w:r>
        <w:rPr>
          <w:bCs/>
          <w:sz w:val="24"/>
          <w:szCs w:val="24"/>
        </w:rPr>
        <w:t>万元以下直接经济损失的事故。</w:t>
      </w:r>
    </w:p>
    <w:p w:rsidR="0073700B" w:rsidRDefault="001A2FFC" w:rsidP="00F80BAC">
      <w:pPr>
        <w:spacing w:beforeLines="50" w:before="156" w:line="360" w:lineRule="auto"/>
        <w:ind w:firstLine="482"/>
        <w:jc w:val="left"/>
        <w:rPr>
          <w:bCs/>
          <w:sz w:val="24"/>
          <w:szCs w:val="24"/>
        </w:rPr>
      </w:pPr>
      <w:r>
        <w:rPr>
          <w:bCs/>
          <w:sz w:val="24"/>
          <w:szCs w:val="24"/>
        </w:rPr>
        <w:t>简单计算，</w:t>
      </w:r>
      <w:r>
        <w:rPr>
          <w:bCs/>
          <w:sz w:val="24"/>
          <w:szCs w:val="24"/>
        </w:rPr>
        <w:t>1</w:t>
      </w:r>
      <w:r>
        <w:rPr>
          <w:bCs/>
          <w:sz w:val="24"/>
          <w:szCs w:val="24"/>
        </w:rPr>
        <w:t>人死亡的严重后果，约和</w:t>
      </w:r>
      <w:r>
        <w:rPr>
          <w:bCs/>
          <w:sz w:val="24"/>
          <w:szCs w:val="24"/>
        </w:rPr>
        <w:t>300-500</w:t>
      </w:r>
      <w:r>
        <w:rPr>
          <w:bCs/>
          <w:sz w:val="24"/>
          <w:szCs w:val="24"/>
        </w:rPr>
        <w:t>万的直接经济损失相当。</w:t>
      </w:r>
    </w:p>
    <w:p w:rsidR="0073700B" w:rsidRDefault="001A2FFC" w:rsidP="00F80BAC">
      <w:pPr>
        <w:spacing w:beforeLines="50" w:before="156" w:line="360" w:lineRule="auto"/>
        <w:ind w:firstLine="482"/>
        <w:rPr>
          <w:bCs/>
          <w:sz w:val="24"/>
          <w:szCs w:val="24"/>
        </w:rPr>
      </w:pPr>
      <w:r>
        <w:rPr>
          <w:bCs/>
          <w:sz w:val="24"/>
          <w:szCs w:val="24"/>
        </w:rPr>
        <w:t>此外，《工伤保险条例》</w:t>
      </w:r>
      <w:r>
        <w:rPr>
          <w:bCs/>
          <w:sz w:val="24"/>
          <w:szCs w:val="24"/>
        </w:rPr>
        <w:fldChar w:fldCharType="begin"/>
      </w:r>
      <w:r>
        <w:rPr>
          <w:bCs/>
          <w:sz w:val="24"/>
          <w:szCs w:val="24"/>
        </w:rPr>
        <w:instrText xml:space="preserve"> ADDIN NE.Ref.{E13B4E1B-CD14-4977-82B6-44FFFA25551A}</w:instrText>
      </w:r>
      <w:r>
        <w:rPr>
          <w:bCs/>
          <w:sz w:val="24"/>
          <w:szCs w:val="24"/>
        </w:rPr>
        <w:fldChar w:fldCharType="separate"/>
      </w:r>
      <w:r>
        <w:rPr>
          <w:color w:val="080000"/>
          <w:kern w:val="0"/>
          <w:sz w:val="24"/>
          <w:szCs w:val="24"/>
          <w:vertAlign w:val="superscript"/>
        </w:rPr>
        <w:t>[28]</w:t>
      </w:r>
      <w:r>
        <w:rPr>
          <w:bCs/>
          <w:sz w:val="24"/>
          <w:szCs w:val="24"/>
        </w:rPr>
        <w:fldChar w:fldCharType="end"/>
      </w:r>
      <w:r>
        <w:rPr>
          <w:bCs/>
          <w:sz w:val="24"/>
          <w:szCs w:val="24"/>
        </w:rPr>
        <w:t>第三十九条规定，职工因工死亡，其近亲属按照下列规定从工伤保险基金领取丧葬补助金、供养亲属抚恤金和一次性工亡补助金：</w:t>
      </w:r>
    </w:p>
    <w:p w:rsidR="0073700B" w:rsidRDefault="001A2FFC" w:rsidP="00F80BAC">
      <w:pPr>
        <w:spacing w:beforeLines="50" w:before="156" w:line="360" w:lineRule="auto"/>
        <w:ind w:firstLine="482"/>
        <w:rPr>
          <w:bCs/>
          <w:sz w:val="24"/>
          <w:szCs w:val="24"/>
        </w:rPr>
      </w:pPr>
      <w:r>
        <w:rPr>
          <w:rFonts w:hint="eastAsia"/>
          <w:bCs/>
          <w:sz w:val="24"/>
          <w:szCs w:val="24"/>
        </w:rPr>
        <w:lastRenderedPageBreak/>
        <w:t>——</w:t>
      </w:r>
      <w:r>
        <w:rPr>
          <w:bCs/>
          <w:sz w:val="24"/>
          <w:szCs w:val="24"/>
        </w:rPr>
        <w:t>丧葬补助金按统筹地区上年度职工月平均工资</w:t>
      </w:r>
      <w:r>
        <w:rPr>
          <w:bCs/>
          <w:sz w:val="24"/>
          <w:szCs w:val="24"/>
        </w:rPr>
        <w:t>6</w:t>
      </w:r>
      <w:r>
        <w:rPr>
          <w:bCs/>
          <w:sz w:val="24"/>
          <w:szCs w:val="24"/>
        </w:rPr>
        <w:t>个月支付；</w:t>
      </w:r>
    </w:p>
    <w:p w:rsidR="0073700B" w:rsidRDefault="001A2FFC" w:rsidP="00F80BAC">
      <w:pPr>
        <w:spacing w:beforeLines="50" w:before="156" w:line="360" w:lineRule="auto"/>
        <w:ind w:firstLine="482"/>
        <w:rPr>
          <w:bCs/>
          <w:sz w:val="24"/>
          <w:szCs w:val="24"/>
        </w:rPr>
      </w:pPr>
      <w:r>
        <w:rPr>
          <w:rFonts w:hint="eastAsia"/>
          <w:bCs/>
          <w:sz w:val="24"/>
          <w:szCs w:val="24"/>
        </w:rPr>
        <w:t>——</w:t>
      </w:r>
      <w:r>
        <w:rPr>
          <w:bCs/>
          <w:sz w:val="24"/>
          <w:szCs w:val="24"/>
        </w:rPr>
        <w:t>供养亲属抚恤金按照职工本人工资的一定比例发给由因工死亡职工生前提供主要生活来源、无劳动能力的亲属。标准为：配偶每月</w:t>
      </w:r>
      <w:r>
        <w:rPr>
          <w:bCs/>
          <w:sz w:val="24"/>
          <w:szCs w:val="24"/>
        </w:rPr>
        <w:t>40%</w:t>
      </w:r>
      <w:r>
        <w:rPr>
          <w:bCs/>
          <w:sz w:val="24"/>
          <w:szCs w:val="24"/>
        </w:rPr>
        <w:t>，其他亲属每人每月</w:t>
      </w:r>
      <w:r>
        <w:rPr>
          <w:bCs/>
          <w:sz w:val="24"/>
          <w:szCs w:val="24"/>
        </w:rPr>
        <w:t>30%</w:t>
      </w:r>
      <w:r>
        <w:rPr>
          <w:bCs/>
          <w:sz w:val="24"/>
          <w:szCs w:val="24"/>
        </w:rPr>
        <w:t>，孤寡老人或者孤儿每人每月在上述标准的基础上增加</w:t>
      </w:r>
      <w:r>
        <w:rPr>
          <w:bCs/>
          <w:sz w:val="24"/>
          <w:szCs w:val="24"/>
        </w:rPr>
        <w:t>10%</w:t>
      </w:r>
      <w:r>
        <w:rPr>
          <w:bCs/>
          <w:sz w:val="24"/>
          <w:szCs w:val="24"/>
        </w:rPr>
        <w:t>，核定的各供养亲属的抚恤金之和不应高于因工死亡职工生前的工资；</w:t>
      </w:r>
    </w:p>
    <w:p w:rsidR="0073700B" w:rsidRDefault="001A2FFC" w:rsidP="00F80BAC">
      <w:pPr>
        <w:spacing w:beforeLines="50" w:before="156" w:line="360" w:lineRule="auto"/>
        <w:ind w:firstLine="482"/>
        <w:rPr>
          <w:bCs/>
          <w:sz w:val="24"/>
          <w:szCs w:val="24"/>
        </w:rPr>
      </w:pPr>
      <w:r>
        <w:rPr>
          <w:rFonts w:hint="eastAsia"/>
          <w:bCs/>
          <w:sz w:val="24"/>
          <w:szCs w:val="24"/>
        </w:rPr>
        <w:t>——</w:t>
      </w:r>
      <w:r>
        <w:rPr>
          <w:bCs/>
          <w:sz w:val="24"/>
          <w:szCs w:val="24"/>
        </w:rPr>
        <w:t>一次性工亡补助金标准按上一年度全国城镇居民人均可支配收入的</w:t>
      </w:r>
      <w:r>
        <w:rPr>
          <w:bCs/>
          <w:sz w:val="24"/>
          <w:szCs w:val="24"/>
        </w:rPr>
        <w:t>20</w:t>
      </w:r>
      <w:r>
        <w:rPr>
          <w:bCs/>
          <w:sz w:val="24"/>
          <w:szCs w:val="24"/>
        </w:rPr>
        <w:t>倍支付。</w:t>
      </w:r>
    </w:p>
    <w:p w:rsidR="0073700B" w:rsidRDefault="001A2FFC" w:rsidP="00F80BAC">
      <w:pPr>
        <w:spacing w:beforeLines="50" w:before="156" w:line="360" w:lineRule="auto"/>
        <w:ind w:firstLineChars="200" w:firstLine="420"/>
        <w:jc w:val="left"/>
        <w:rPr>
          <w:bCs/>
          <w:sz w:val="24"/>
          <w:szCs w:val="24"/>
        </w:rPr>
      </w:pPr>
      <w:r>
        <w:fldChar w:fldCharType="begin"/>
      </w:r>
      <w:r>
        <w:instrText xml:space="preserve"> REF _Ref25649823 \h  \* MERGEFORMAT </w:instrText>
      </w:r>
      <w:r>
        <w:fldChar w:fldCharType="separate"/>
      </w:r>
      <w:r>
        <w:rPr>
          <w:bCs/>
          <w:sz w:val="24"/>
          <w:szCs w:val="24"/>
        </w:rPr>
        <w:t>表</w:t>
      </w:r>
      <w:r>
        <w:rPr>
          <w:bCs/>
          <w:sz w:val="24"/>
          <w:szCs w:val="24"/>
        </w:rPr>
        <w:t>6</w:t>
      </w:r>
      <w:r>
        <w:rPr>
          <w:bCs/>
          <w:sz w:val="24"/>
          <w:szCs w:val="24"/>
        </w:rPr>
        <w:noBreakHyphen/>
        <w:t>11</w:t>
      </w:r>
      <w:r>
        <w:rPr>
          <w:bCs/>
          <w:sz w:val="24"/>
          <w:szCs w:val="24"/>
        </w:rPr>
        <w:fldChar w:fldCharType="end"/>
      </w:r>
      <w:r>
        <w:rPr>
          <w:bCs/>
          <w:sz w:val="24"/>
          <w:szCs w:val="24"/>
        </w:rPr>
        <w:t>为举例计算结果，根据国家统计局资料，</w:t>
      </w:r>
      <w:r>
        <w:rPr>
          <w:bCs/>
          <w:sz w:val="24"/>
          <w:szCs w:val="24"/>
        </w:rPr>
        <w:t>2018</w:t>
      </w:r>
      <w:r>
        <w:rPr>
          <w:bCs/>
          <w:sz w:val="24"/>
          <w:szCs w:val="24"/>
        </w:rPr>
        <w:t>年全国城镇居民人均可支配收入</w:t>
      </w:r>
      <w:r>
        <w:rPr>
          <w:bCs/>
          <w:sz w:val="24"/>
          <w:szCs w:val="24"/>
        </w:rPr>
        <w:t>39251</w:t>
      </w:r>
      <w:r>
        <w:rPr>
          <w:bCs/>
          <w:sz w:val="24"/>
          <w:szCs w:val="24"/>
        </w:rPr>
        <w:t>元，人均年工资约</w:t>
      </w:r>
      <w:r>
        <w:rPr>
          <w:bCs/>
          <w:sz w:val="24"/>
          <w:szCs w:val="24"/>
        </w:rPr>
        <w:t>8</w:t>
      </w:r>
      <w:r>
        <w:rPr>
          <w:bCs/>
          <w:sz w:val="24"/>
          <w:szCs w:val="24"/>
        </w:rPr>
        <w:t>万元。假设供养亲属抚恤金赔偿比例为</w:t>
      </w:r>
      <w:r>
        <w:rPr>
          <w:bCs/>
          <w:sz w:val="24"/>
          <w:szCs w:val="24"/>
        </w:rPr>
        <w:t>70%</w:t>
      </w:r>
      <w:r>
        <w:rPr>
          <w:bCs/>
          <w:sz w:val="24"/>
          <w:szCs w:val="24"/>
        </w:rPr>
        <w:t>，赔偿</w:t>
      </w:r>
      <w:r>
        <w:rPr>
          <w:bCs/>
          <w:sz w:val="24"/>
          <w:szCs w:val="24"/>
        </w:rPr>
        <w:t>10</w:t>
      </w:r>
      <w:r>
        <w:rPr>
          <w:bCs/>
          <w:sz w:val="24"/>
          <w:szCs w:val="24"/>
        </w:rPr>
        <w:t>年。经计算，</w:t>
      </w:r>
      <w:r>
        <w:rPr>
          <w:bCs/>
          <w:sz w:val="24"/>
          <w:szCs w:val="24"/>
        </w:rPr>
        <w:t>1</w:t>
      </w:r>
      <w:r>
        <w:rPr>
          <w:bCs/>
          <w:sz w:val="24"/>
          <w:szCs w:val="24"/>
        </w:rPr>
        <w:t>人死亡的赔偿总额约为</w:t>
      </w:r>
      <w:r>
        <w:rPr>
          <w:bCs/>
          <w:sz w:val="24"/>
          <w:szCs w:val="24"/>
        </w:rPr>
        <w:t>138</w:t>
      </w:r>
      <w:r>
        <w:rPr>
          <w:bCs/>
          <w:sz w:val="24"/>
          <w:szCs w:val="24"/>
        </w:rPr>
        <w:t>万。</w:t>
      </w:r>
    </w:p>
    <w:p w:rsidR="0073700B" w:rsidRDefault="001A2FFC" w:rsidP="00F80BAC">
      <w:pPr>
        <w:pStyle w:val="a6"/>
        <w:spacing w:beforeLines="50" w:before="156"/>
        <w:rPr>
          <w:rFonts w:ascii="黑体" w:eastAsia="黑体" w:hAnsi="黑体"/>
          <w:b w:val="0"/>
          <w:bCs/>
        </w:rPr>
      </w:pPr>
      <w:bookmarkStart w:id="48" w:name="_Ref25649823"/>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11</w:t>
      </w:r>
      <w:r>
        <w:rPr>
          <w:rFonts w:ascii="黑体" w:eastAsia="黑体" w:hAnsi="黑体"/>
          <w:b w:val="0"/>
          <w:bCs/>
        </w:rPr>
        <w:fldChar w:fldCharType="end"/>
      </w:r>
      <w:bookmarkEnd w:id="48"/>
      <w:r>
        <w:rPr>
          <w:rFonts w:ascii="黑体" w:eastAsia="黑体" w:hAnsi="黑体"/>
          <w:b w:val="0"/>
          <w:bCs/>
        </w:rPr>
        <w:t xml:space="preserve">  </w:t>
      </w:r>
      <w:r>
        <w:rPr>
          <w:rFonts w:ascii="黑体" w:eastAsia="黑体" w:hAnsi="黑体"/>
          <w:b w:val="0"/>
          <w:bCs/>
        </w:rPr>
        <w:t>赔偿金额计算结果</w:t>
      </w:r>
    </w:p>
    <w:tbl>
      <w:tblPr>
        <w:tblStyle w:val="af1"/>
        <w:tblW w:w="82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143"/>
        <w:gridCol w:w="4069"/>
      </w:tblGrid>
      <w:tr w:rsidR="0073700B">
        <w:tc>
          <w:tcPr>
            <w:tcW w:w="4143" w:type="dxa"/>
            <w:tcBorders>
              <w:top w:val="single" w:sz="8" w:space="0" w:color="auto"/>
              <w:bottom w:val="single" w:sz="8" w:space="0" w:color="auto"/>
            </w:tcBorders>
          </w:tcPr>
          <w:p w:rsidR="0073700B" w:rsidRDefault="001A2FFC">
            <w:pPr>
              <w:jc w:val="center"/>
              <w:rPr>
                <w:bCs/>
                <w:szCs w:val="21"/>
              </w:rPr>
            </w:pPr>
            <w:r>
              <w:rPr>
                <w:bCs/>
                <w:szCs w:val="21"/>
              </w:rPr>
              <w:t>赔偿项目</w:t>
            </w:r>
          </w:p>
        </w:tc>
        <w:tc>
          <w:tcPr>
            <w:tcW w:w="4069" w:type="dxa"/>
            <w:tcBorders>
              <w:top w:val="single" w:sz="8" w:space="0" w:color="auto"/>
              <w:bottom w:val="single" w:sz="8" w:space="0" w:color="auto"/>
            </w:tcBorders>
          </w:tcPr>
          <w:p w:rsidR="0073700B" w:rsidRDefault="001A2FFC">
            <w:pPr>
              <w:jc w:val="center"/>
              <w:rPr>
                <w:bCs/>
                <w:szCs w:val="21"/>
              </w:rPr>
            </w:pPr>
            <w:r>
              <w:rPr>
                <w:bCs/>
                <w:szCs w:val="21"/>
              </w:rPr>
              <w:t>赔偿标准（近似值）</w:t>
            </w:r>
          </w:p>
        </w:tc>
      </w:tr>
      <w:tr w:rsidR="0073700B">
        <w:tc>
          <w:tcPr>
            <w:tcW w:w="4143" w:type="dxa"/>
            <w:tcBorders>
              <w:top w:val="single" w:sz="8" w:space="0" w:color="auto"/>
            </w:tcBorders>
          </w:tcPr>
          <w:p w:rsidR="0073700B" w:rsidRDefault="001A2FFC">
            <w:pPr>
              <w:jc w:val="center"/>
              <w:rPr>
                <w:bCs/>
                <w:szCs w:val="21"/>
              </w:rPr>
            </w:pPr>
            <w:r>
              <w:rPr>
                <w:bCs/>
                <w:szCs w:val="21"/>
              </w:rPr>
              <w:t>丧葬补助金</w:t>
            </w:r>
          </w:p>
        </w:tc>
        <w:tc>
          <w:tcPr>
            <w:tcW w:w="4069" w:type="dxa"/>
            <w:tcBorders>
              <w:top w:val="single" w:sz="8" w:space="0" w:color="auto"/>
            </w:tcBorders>
          </w:tcPr>
          <w:p w:rsidR="0073700B" w:rsidRDefault="001A2FFC">
            <w:pPr>
              <w:jc w:val="center"/>
              <w:rPr>
                <w:bCs/>
                <w:szCs w:val="21"/>
              </w:rPr>
            </w:pPr>
            <w:r>
              <w:rPr>
                <w:bCs/>
                <w:szCs w:val="21"/>
              </w:rPr>
              <w:t>8</w:t>
            </w:r>
            <w:r>
              <w:rPr>
                <w:bCs/>
                <w:szCs w:val="21"/>
              </w:rPr>
              <w:t>万元</w:t>
            </w:r>
            <w:r>
              <w:rPr>
                <w:bCs/>
                <w:szCs w:val="21"/>
              </w:rPr>
              <w:t>/</w:t>
            </w:r>
            <w:r>
              <w:rPr>
                <w:bCs/>
                <w:szCs w:val="21"/>
              </w:rPr>
              <w:t>年</w:t>
            </w:r>
            <w:r>
              <w:rPr>
                <w:bCs/>
                <w:szCs w:val="21"/>
              </w:rPr>
              <w:t>×0.5</w:t>
            </w:r>
            <w:r>
              <w:rPr>
                <w:bCs/>
                <w:szCs w:val="21"/>
              </w:rPr>
              <w:t>年</w:t>
            </w:r>
            <w:r>
              <w:rPr>
                <w:bCs/>
                <w:szCs w:val="21"/>
              </w:rPr>
              <w:t>=4</w:t>
            </w:r>
            <w:r>
              <w:rPr>
                <w:bCs/>
                <w:szCs w:val="21"/>
              </w:rPr>
              <w:t>万元</w:t>
            </w:r>
          </w:p>
        </w:tc>
      </w:tr>
      <w:tr w:rsidR="0073700B">
        <w:tc>
          <w:tcPr>
            <w:tcW w:w="4143" w:type="dxa"/>
          </w:tcPr>
          <w:p w:rsidR="0073700B" w:rsidRDefault="001A2FFC">
            <w:pPr>
              <w:jc w:val="center"/>
              <w:rPr>
                <w:bCs/>
                <w:szCs w:val="21"/>
              </w:rPr>
            </w:pPr>
            <w:r>
              <w:rPr>
                <w:bCs/>
                <w:szCs w:val="21"/>
              </w:rPr>
              <w:t>供养亲属抚恤金</w:t>
            </w:r>
          </w:p>
        </w:tc>
        <w:tc>
          <w:tcPr>
            <w:tcW w:w="4069" w:type="dxa"/>
          </w:tcPr>
          <w:p w:rsidR="0073700B" w:rsidRDefault="001A2FFC">
            <w:pPr>
              <w:jc w:val="center"/>
              <w:rPr>
                <w:bCs/>
                <w:szCs w:val="21"/>
              </w:rPr>
            </w:pPr>
            <w:r>
              <w:rPr>
                <w:bCs/>
                <w:szCs w:val="21"/>
              </w:rPr>
              <w:t>5.6</w:t>
            </w:r>
            <w:r>
              <w:rPr>
                <w:bCs/>
                <w:szCs w:val="21"/>
              </w:rPr>
              <w:t>万</w:t>
            </w:r>
            <w:r>
              <w:rPr>
                <w:bCs/>
                <w:szCs w:val="21"/>
              </w:rPr>
              <w:t>/</w:t>
            </w:r>
            <w:r>
              <w:rPr>
                <w:bCs/>
                <w:szCs w:val="21"/>
              </w:rPr>
              <w:t>年</w:t>
            </w:r>
            <w:r>
              <w:rPr>
                <w:bCs/>
                <w:szCs w:val="21"/>
              </w:rPr>
              <w:t>×10</w:t>
            </w:r>
            <w:r>
              <w:rPr>
                <w:bCs/>
                <w:szCs w:val="21"/>
              </w:rPr>
              <w:t>年</w:t>
            </w:r>
            <w:r>
              <w:rPr>
                <w:bCs/>
                <w:szCs w:val="21"/>
              </w:rPr>
              <w:t>=56</w:t>
            </w:r>
            <w:r>
              <w:rPr>
                <w:bCs/>
                <w:szCs w:val="21"/>
              </w:rPr>
              <w:t>万元</w:t>
            </w:r>
          </w:p>
        </w:tc>
      </w:tr>
      <w:tr w:rsidR="0073700B">
        <w:tc>
          <w:tcPr>
            <w:tcW w:w="4143" w:type="dxa"/>
          </w:tcPr>
          <w:p w:rsidR="0073700B" w:rsidRDefault="001A2FFC">
            <w:pPr>
              <w:jc w:val="center"/>
              <w:rPr>
                <w:bCs/>
                <w:szCs w:val="21"/>
              </w:rPr>
            </w:pPr>
            <w:r>
              <w:rPr>
                <w:bCs/>
                <w:szCs w:val="21"/>
              </w:rPr>
              <w:t>死亡赔偿金</w:t>
            </w:r>
          </w:p>
        </w:tc>
        <w:tc>
          <w:tcPr>
            <w:tcW w:w="4069" w:type="dxa"/>
          </w:tcPr>
          <w:p w:rsidR="0073700B" w:rsidRDefault="001A2FFC">
            <w:pPr>
              <w:jc w:val="center"/>
              <w:rPr>
                <w:bCs/>
                <w:szCs w:val="21"/>
              </w:rPr>
            </w:pPr>
            <w:r>
              <w:rPr>
                <w:bCs/>
                <w:szCs w:val="21"/>
              </w:rPr>
              <w:t>39251</w:t>
            </w:r>
            <w:r>
              <w:rPr>
                <w:bCs/>
                <w:szCs w:val="21"/>
              </w:rPr>
              <w:t>元</w:t>
            </w:r>
            <w:r>
              <w:rPr>
                <w:bCs/>
                <w:szCs w:val="21"/>
              </w:rPr>
              <w:t>/</w:t>
            </w:r>
            <w:r>
              <w:rPr>
                <w:bCs/>
                <w:szCs w:val="21"/>
              </w:rPr>
              <w:t>年</w:t>
            </w:r>
            <w:r>
              <w:rPr>
                <w:bCs/>
                <w:szCs w:val="21"/>
              </w:rPr>
              <w:t>×20</w:t>
            </w:r>
            <w:r>
              <w:rPr>
                <w:bCs/>
                <w:szCs w:val="21"/>
              </w:rPr>
              <w:t>年</w:t>
            </w:r>
            <w:r>
              <w:rPr>
                <w:bCs/>
                <w:szCs w:val="21"/>
              </w:rPr>
              <w:t>=78.5</w:t>
            </w:r>
            <w:r>
              <w:rPr>
                <w:bCs/>
                <w:szCs w:val="21"/>
              </w:rPr>
              <w:t>万元</w:t>
            </w:r>
          </w:p>
        </w:tc>
      </w:tr>
      <w:tr w:rsidR="0073700B">
        <w:tc>
          <w:tcPr>
            <w:tcW w:w="4143" w:type="dxa"/>
          </w:tcPr>
          <w:p w:rsidR="0073700B" w:rsidRDefault="001A2FFC">
            <w:pPr>
              <w:jc w:val="center"/>
              <w:rPr>
                <w:bCs/>
                <w:szCs w:val="21"/>
              </w:rPr>
            </w:pPr>
            <w:r>
              <w:rPr>
                <w:bCs/>
                <w:szCs w:val="21"/>
              </w:rPr>
              <w:t>合计</w:t>
            </w:r>
          </w:p>
        </w:tc>
        <w:tc>
          <w:tcPr>
            <w:tcW w:w="4069" w:type="dxa"/>
          </w:tcPr>
          <w:p w:rsidR="0073700B" w:rsidRDefault="001A2FFC">
            <w:pPr>
              <w:jc w:val="center"/>
              <w:rPr>
                <w:bCs/>
                <w:szCs w:val="21"/>
              </w:rPr>
            </w:pPr>
            <w:r>
              <w:rPr>
                <w:bCs/>
                <w:szCs w:val="21"/>
              </w:rPr>
              <w:t>约</w:t>
            </w:r>
            <w:r>
              <w:rPr>
                <w:bCs/>
                <w:szCs w:val="21"/>
              </w:rPr>
              <w:t>138.5</w:t>
            </w:r>
            <w:r>
              <w:rPr>
                <w:bCs/>
                <w:szCs w:val="21"/>
              </w:rPr>
              <w:t>万元</w:t>
            </w:r>
          </w:p>
        </w:tc>
      </w:tr>
    </w:tbl>
    <w:p w:rsidR="0073700B" w:rsidRDefault="001A2FFC" w:rsidP="00F80BAC">
      <w:pPr>
        <w:spacing w:beforeLines="50" w:before="156" w:line="360" w:lineRule="auto"/>
        <w:ind w:firstLineChars="200" w:firstLine="480"/>
        <w:jc w:val="left"/>
        <w:rPr>
          <w:bCs/>
          <w:sz w:val="24"/>
          <w:szCs w:val="24"/>
        </w:rPr>
      </w:pPr>
      <w:r>
        <w:rPr>
          <w:bCs/>
          <w:sz w:val="24"/>
          <w:szCs w:val="24"/>
        </w:rPr>
        <w:t>综上，为了与</w:t>
      </w:r>
      <w:r>
        <w:rPr>
          <w:bCs/>
          <w:sz w:val="24"/>
          <w:szCs w:val="24"/>
        </w:rPr>
        <w:t>1</w:t>
      </w:r>
      <w:r>
        <w:rPr>
          <w:bCs/>
          <w:sz w:val="24"/>
          <w:szCs w:val="24"/>
        </w:rPr>
        <w:t>亿元直接经济损失和</w:t>
      </w:r>
      <w:r>
        <w:rPr>
          <w:bCs/>
          <w:sz w:val="24"/>
          <w:szCs w:val="24"/>
        </w:rPr>
        <w:t>30</w:t>
      </w:r>
      <w:r>
        <w:rPr>
          <w:bCs/>
          <w:sz w:val="24"/>
          <w:szCs w:val="24"/>
        </w:rPr>
        <w:t>人以上死亡严重后果相当，也不考虑相对的经济损失占比，</w:t>
      </w:r>
      <w:r>
        <w:rPr>
          <w:bCs/>
          <w:sz w:val="24"/>
          <w:szCs w:val="24"/>
        </w:rPr>
        <w:t>1</w:t>
      </w:r>
      <w:r>
        <w:rPr>
          <w:bCs/>
          <w:sz w:val="24"/>
          <w:szCs w:val="24"/>
        </w:rPr>
        <w:t>人死亡相当于约</w:t>
      </w:r>
      <w:r>
        <w:rPr>
          <w:bCs/>
          <w:sz w:val="24"/>
          <w:szCs w:val="24"/>
        </w:rPr>
        <w:t>400</w:t>
      </w:r>
      <w:r>
        <w:rPr>
          <w:bCs/>
          <w:sz w:val="24"/>
          <w:szCs w:val="24"/>
        </w:rPr>
        <w:t>万元直接经济损失。</w:t>
      </w:r>
    </w:p>
    <w:p w:rsidR="0073700B" w:rsidRDefault="001A2FFC" w:rsidP="00F80BAC">
      <w:pPr>
        <w:spacing w:beforeLines="50" w:before="156" w:line="360" w:lineRule="auto"/>
        <w:ind w:firstLineChars="200" w:firstLine="480"/>
        <w:rPr>
          <w:bCs/>
          <w:sz w:val="24"/>
          <w:szCs w:val="20"/>
        </w:rPr>
      </w:pPr>
      <w:r>
        <w:rPr>
          <w:rFonts w:hint="eastAsia"/>
          <w:bCs/>
          <w:sz w:val="24"/>
          <w:szCs w:val="20"/>
        </w:rPr>
        <w:t>Ⅲ）</w:t>
      </w:r>
      <w:r>
        <w:rPr>
          <w:bCs/>
          <w:sz w:val="24"/>
          <w:szCs w:val="20"/>
        </w:rPr>
        <w:t>环境影响</w:t>
      </w:r>
    </w:p>
    <w:p w:rsidR="0073700B" w:rsidRDefault="001A2FFC" w:rsidP="00F80BAC">
      <w:pPr>
        <w:pStyle w:val="a6"/>
        <w:spacing w:beforeLines="50" w:before="15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12</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w:t>
      </w:r>
      <w:r>
        <w:rPr>
          <w:rFonts w:ascii="黑体" w:eastAsia="黑体" w:hAnsi="黑体"/>
          <w:b w:val="0"/>
          <w:bCs/>
        </w:rPr>
        <w:t>Q/CR 9006-2014</w:t>
      </w:r>
      <w:r>
        <w:rPr>
          <w:rFonts w:ascii="黑体" w:eastAsia="黑体" w:hAnsi="黑体"/>
          <w:b w:val="0"/>
          <w:bCs/>
        </w:rPr>
        <w:t>铁路建设工程风险管理技术规范》</w:t>
      </w:r>
      <w:r>
        <w:rPr>
          <w:rFonts w:ascii="黑体" w:eastAsia="黑体" w:hAnsi="黑体"/>
          <w:b w:val="0"/>
          <w:bCs/>
        </w:rPr>
        <w:fldChar w:fldCharType="begin"/>
      </w:r>
      <w:r>
        <w:rPr>
          <w:rFonts w:ascii="黑体" w:eastAsia="黑体" w:hAnsi="黑体"/>
          <w:b w:val="0"/>
          <w:bCs/>
        </w:rPr>
        <w:instrText xml:space="preserve"> ADDIN NE.Ref.{F4A51BA7-3C59-42D1-8678-4CB28A849DC4}</w:instrText>
      </w:r>
      <w:r>
        <w:rPr>
          <w:rFonts w:ascii="黑体" w:eastAsia="黑体" w:hAnsi="黑体"/>
          <w:b w:val="0"/>
          <w:bCs/>
        </w:rPr>
        <w:fldChar w:fldCharType="separate"/>
      </w:r>
      <w:r>
        <w:rPr>
          <w:rFonts w:ascii="黑体" w:eastAsia="黑体" w:hAnsi="黑体"/>
          <w:b w:val="0"/>
          <w:bCs/>
          <w:color w:val="080000"/>
          <w:kern w:val="0"/>
          <w:vertAlign w:val="superscript"/>
        </w:rPr>
        <w:t>[26]</w:t>
      </w:r>
      <w:r>
        <w:rPr>
          <w:rFonts w:ascii="黑体" w:eastAsia="黑体" w:hAnsi="黑体"/>
          <w:b w:val="0"/>
          <w:bCs/>
        </w:rPr>
        <w:fldChar w:fldCharType="end"/>
      </w:r>
    </w:p>
    <w:tbl>
      <w:tblPr>
        <w:tblStyle w:val="af1"/>
        <w:tblW w:w="8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41"/>
        <w:gridCol w:w="1300"/>
        <w:gridCol w:w="1554"/>
        <w:gridCol w:w="1520"/>
        <w:gridCol w:w="1561"/>
        <w:gridCol w:w="1510"/>
      </w:tblGrid>
      <w:tr w:rsidR="0073700B">
        <w:trPr>
          <w:trHeight w:val="397"/>
          <w:jc w:val="center"/>
        </w:trPr>
        <w:tc>
          <w:tcPr>
            <w:tcW w:w="841"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后果等级</w:t>
            </w:r>
          </w:p>
        </w:tc>
        <w:tc>
          <w:tcPr>
            <w:tcW w:w="1300"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1</w:t>
            </w:r>
          </w:p>
        </w:tc>
        <w:tc>
          <w:tcPr>
            <w:tcW w:w="1554"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2</w:t>
            </w:r>
          </w:p>
        </w:tc>
        <w:tc>
          <w:tcPr>
            <w:tcW w:w="1520"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3</w:t>
            </w:r>
          </w:p>
        </w:tc>
        <w:tc>
          <w:tcPr>
            <w:tcW w:w="1561"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4</w:t>
            </w:r>
          </w:p>
        </w:tc>
        <w:tc>
          <w:tcPr>
            <w:tcW w:w="1510"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5</w:t>
            </w:r>
          </w:p>
        </w:tc>
      </w:tr>
      <w:tr w:rsidR="0073700B">
        <w:trPr>
          <w:trHeight w:val="397"/>
          <w:jc w:val="center"/>
        </w:trPr>
        <w:tc>
          <w:tcPr>
            <w:tcW w:w="841"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自然环境影响</w:t>
            </w:r>
          </w:p>
        </w:tc>
        <w:tc>
          <w:tcPr>
            <w:tcW w:w="1300"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涉及范围非常大，周边生态环境发生严重污染或破坏</w:t>
            </w:r>
          </w:p>
        </w:tc>
        <w:tc>
          <w:tcPr>
            <w:tcW w:w="1554"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涉及范围很大，周边生态环境发生较重污染或破坏</w:t>
            </w:r>
          </w:p>
        </w:tc>
        <w:tc>
          <w:tcPr>
            <w:tcW w:w="1520"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涉及范围较大，邻近区域内生态环境发生污染或破坏</w:t>
            </w:r>
          </w:p>
        </w:tc>
        <w:tc>
          <w:tcPr>
            <w:tcW w:w="1561"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涉及范围较小，邻近区域生态环境发生轻度污染或破坏</w:t>
            </w:r>
          </w:p>
        </w:tc>
        <w:tc>
          <w:tcPr>
            <w:tcW w:w="1510"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涉及范围很小，施工区域生态环境发生少污染或破坏</w:t>
            </w:r>
          </w:p>
        </w:tc>
      </w:tr>
      <w:tr w:rsidR="0073700B">
        <w:trPr>
          <w:trHeight w:val="397"/>
          <w:jc w:val="center"/>
        </w:trPr>
        <w:tc>
          <w:tcPr>
            <w:tcW w:w="841" w:type="dxa"/>
            <w:vAlign w:val="center"/>
          </w:tcPr>
          <w:p w:rsidR="0073700B" w:rsidRDefault="001A2FFC">
            <w:pPr>
              <w:pStyle w:val="af7"/>
              <w:widowControl w:val="0"/>
              <w:ind w:firstLineChars="0" w:firstLine="0"/>
              <w:jc w:val="center"/>
              <w:rPr>
                <w:rFonts w:ascii="Times New Roman"/>
                <w:bCs/>
                <w:szCs w:val="21"/>
              </w:rPr>
            </w:pPr>
            <w:r>
              <w:rPr>
                <w:rFonts w:ascii="Times New Roman"/>
                <w:bCs/>
                <w:szCs w:val="21"/>
              </w:rPr>
              <w:t>社会环境影响</w:t>
            </w:r>
          </w:p>
        </w:tc>
        <w:tc>
          <w:tcPr>
            <w:tcW w:w="1300" w:type="dxa"/>
            <w:vAlign w:val="center"/>
          </w:tcPr>
          <w:p w:rsidR="0073700B" w:rsidRDefault="001A2FFC">
            <w:pPr>
              <w:pStyle w:val="af7"/>
              <w:widowControl w:val="0"/>
              <w:ind w:firstLineChars="0" w:firstLine="0"/>
              <w:jc w:val="center"/>
              <w:rPr>
                <w:rFonts w:ascii="Times New Roman"/>
                <w:bCs/>
                <w:szCs w:val="21"/>
              </w:rPr>
            </w:pPr>
            <w:r>
              <w:rPr>
                <w:rFonts w:ascii="Times New Roman"/>
                <w:bCs/>
                <w:szCs w:val="21"/>
              </w:rPr>
              <w:t>恶劣的，或需转移安置</w:t>
            </w:r>
            <w:r>
              <w:rPr>
                <w:rFonts w:ascii="Times New Roman"/>
                <w:bCs/>
                <w:szCs w:val="21"/>
              </w:rPr>
              <w:t>1000</w:t>
            </w:r>
            <w:r>
              <w:rPr>
                <w:rFonts w:ascii="Times New Roman"/>
                <w:bCs/>
                <w:szCs w:val="21"/>
              </w:rPr>
              <w:t>人以上</w:t>
            </w:r>
          </w:p>
        </w:tc>
        <w:tc>
          <w:tcPr>
            <w:tcW w:w="1554" w:type="dxa"/>
            <w:vAlign w:val="center"/>
          </w:tcPr>
          <w:p w:rsidR="0073700B" w:rsidRDefault="001A2FFC">
            <w:pPr>
              <w:pStyle w:val="af7"/>
              <w:widowControl w:val="0"/>
              <w:ind w:firstLineChars="0" w:firstLine="0"/>
              <w:jc w:val="center"/>
              <w:rPr>
                <w:rFonts w:ascii="Times New Roman"/>
                <w:bCs/>
                <w:szCs w:val="21"/>
              </w:rPr>
            </w:pPr>
            <w:r>
              <w:rPr>
                <w:rFonts w:ascii="Times New Roman"/>
                <w:bCs/>
                <w:szCs w:val="21"/>
              </w:rPr>
              <w:t>严重的，或需转移安置</w:t>
            </w:r>
            <w:r>
              <w:rPr>
                <w:rFonts w:ascii="Times New Roman"/>
                <w:bCs/>
                <w:szCs w:val="21"/>
              </w:rPr>
              <w:t>500</w:t>
            </w:r>
            <w:r>
              <w:rPr>
                <w:rFonts w:ascii="Times New Roman"/>
                <w:bCs/>
                <w:szCs w:val="21"/>
              </w:rPr>
              <w:t>人</w:t>
            </w:r>
            <w:r>
              <w:rPr>
                <w:rFonts w:ascii="Times New Roman"/>
                <w:bCs/>
                <w:szCs w:val="21"/>
              </w:rPr>
              <w:t>~1000</w:t>
            </w:r>
            <w:r>
              <w:rPr>
                <w:rFonts w:ascii="Times New Roman"/>
                <w:bCs/>
                <w:szCs w:val="21"/>
              </w:rPr>
              <w:t>人</w:t>
            </w:r>
          </w:p>
        </w:tc>
        <w:tc>
          <w:tcPr>
            <w:tcW w:w="1520" w:type="dxa"/>
            <w:vAlign w:val="center"/>
          </w:tcPr>
          <w:p w:rsidR="0073700B" w:rsidRDefault="001A2FFC">
            <w:pPr>
              <w:pStyle w:val="af7"/>
              <w:widowControl w:val="0"/>
              <w:ind w:firstLineChars="0" w:firstLine="0"/>
              <w:jc w:val="center"/>
              <w:rPr>
                <w:rFonts w:ascii="Times New Roman"/>
                <w:bCs/>
                <w:szCs w:val="21"/>
              </w:rPr>
            </w:pPr>
            <w:r>
              <w:rPr>
                <w:rFonts w:ascii="Times New Roman"/>
                <w:bCs/>
                <w:szCs w:val="21"/>
              </w:rPr>
              <w:t>较严重的，或需转移安置</w:t>
            </w:r>
            <w:r>
              <w:rPr>
                <w:rFonts w:ascii="Times New Roman"/>
                <w:bCs/>
                <w:szCs w:val="21"/>
              </w:rPr>
              <w:t>100</w:t>
            </w:r>
            <w:r>
              <w:rPr>
                <w:rFonts w:ascii="Times New Roman"/>
                <w:bCs/>
                <w:szCs w:val="21"/>
              </w:rPr>
              <w:t>人</w:t>
            </w:r>
            <w:r>
              <w:rPr>
                <w:rFonts w:ascii="Times New Roman"/>
                <w:bCs/>
                <w:szCs w:val="21"/>
              </w:rPr>
              <w:t>~500</w:t>
            </w:r>
            <w:r>
              <w:rPr>
                <w:rFonts w:ascii="Times New Roman"/>
                <w:bCs/>
                <w:szCs w:val="21"/>
              </w:rPr>
              <w:t>人</w:t>
            </w:r>
          </w:p>
        </w:tc>
        <w:tc>
          <w:tcPr>
            <w:tcW w:w="1561" w:type="dxa"/>
            <w:vAlign w:val="center"/>
          </w:tcPr>
          <w:p w:rsidR="0073700B" w:rsidRDefault="001A2FFC">
            <w:pPr>
              <w:pStyle w:val="af7"/>
              <w:widowControl w:val="0"/>
              <w:ind w:firstLineChars="0" w:firstLine="0"/>
              <w:jc w:val="center"/>
              <w:rPr>
                <w:rFonts w:ascii="Times New Roman"/>
                <w:bCs/>
                <w:szCs w:val="21"/>
              </w:rPr>
            </w:pPr>
            <w:r>
              <w:rPr>
                <w:rFonts w:ascii="Times New Roman"/>
                <w:bCs/>
                <w:szCs w:val="21"/>
              </w:rPr>
              <w:t>需考虑的，或需转移安置</w:t>
            </w:r>
            <w:r>
              <w:rPr>
                <w:rFonts w:ascii="Times New Roman"/>
                <w:bCs/>
                <w:szCs w:val="21"/>
              </w:rPr>
              <w:t>50</w:t>
            </w:r>
            <w:r>
              <w:rPr>
                <w:rFonts w:ascii="Times New Roman"/>
                <w:bCs/>
                <w:szCs w:val="21"/>
              </w:rPr>
              <w:t>人</w:t>
            </w:r>
            <w:r>
              <w:rPr>
                <w:rFonts w:ascii="Times New Roman"/>
                <w:bCs/>
                <w:szCs w:val="21"/>
              </w:rPr>
              <w:t>~100</w:t>
            </w:r>
            <w:r>
              <w:rPr>
                <w:rFonts w:ascii="Times New Roman"/>
                <w:bCs/>
                <w:szCs w:val="21"/>
              </w:rPr>
              <w:t>人</w:t>
            </w:r>
          </w:p>
        </w:tc>
        <w:tc>
          <w:tcPr>
            <w:tcW w:w="1510" w:type="dxa"/>
            <w:vAlign w:val="center"/>
          </w:tcPr>
          <w:p w:rsidR="0073700B" w:rsidRDefault="001A2FFC">
            <w:pPr>
              <w:pStyle w:val="af7"/>
              <w:widowControl w:val="0"/>
              <w:ind w:firstLineChars="0" w:firstLine="0"/>
              <w:jc w:val="center"/>
              <w:rPr>
                <w:rFonts w:ascii="Times New Roman"/>
                <w:bCs/>
                <w:szCs w:val="21"/>
              </w:rPr>
            </w:pPr>
            <w:r>
              <w:rPr>
                <w:rFonts w:ascii="Times New Roman"/>
                <w:bCs/>
                <w:szCs w:val="21"/>
              </w:rPr>
              <w:t>轻微的，或需转移安置小于</w:t>
            </w:r>
            <w:r>
              <w:rPr>
                <w:rFonts w:ascii="Times New Roman"/>
                <w:bCs/>
                <w:szCs w:val="21"/>
              </w:rPr>
              <w:t>50</w:t>
            </w:r>
            <w:r>
              <w:rPr>
                <w:rFonts w:ascii="Times New Roman"/>
                <w:bCs/>
                <w:szCs w:val="21"/>
              </w:rPr>
              <w:t>人</w:t>
            </w:r>
          </w:p>
        </w:tc>
      </w:tr>
    </w:tbl>
    <w:p w:rsidR="0073700B" w:rsidRDefault="0073700B" w:rsidP="00F80BAC">
      <w:pPr>
        <w:pStyle w:val="a6"/>
        <w:spacing w:beforeLines="50" w:before="156"/>
        <w:rPr>
          <w:rFonts w:ascii="黑体" w:eastAsia="黑体" w:hAnsi="黑体"/>
        </w:rPr>
      </w:pPr>
    </w:p>
    <w:p w:rsidR="0073700B" w:rsidRDefault="001A2FFC" w:rsidP="00F80BAC">
      <w:pPr>
        <w:pStyle w:val="a6"/>
        <w:spacing w:beforeLines="50" w:before="156"/>
        <w:rPr>
          <w:rFonts w:ascii="黑体" w:eastAsia="黑体" w:hAnsi="黑体"/>
          <w:b w:val="0"/>
          <w:bCs/>
        </w:rPr>
      </w:pPr>
      <w:r>
        <w:rPr>
          <w:rFonts w:ascii="黑体" w:eastAsia="黑体" w:hAnsi="黑体"/>
          <w:b w:val="0"/>
          <w:bCs/>
        </w:rPr>
        <w:lastRenderedPageBreak/>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13</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w:t>
      </w:r>
      <w:r>
        <w:rPr>
          <w:rFonts w:ascii="黑体" w:eastAsia="黑体" w:hAnsi="黑体"/>
          <w:b w:val="0"/>
          <w:bCs/>
        </w:rPr>
        <w:t>GB50652-2011</w:t>
      </w:r>
      <w:r>
        <w:rPr>
          <w:rFonts w:ascii="黑体" w:eastAsia="黑体" w:hAnsi="黑体"/>
          <w:b w:val="0"/>
          <w:bCs/>
        </w:rPr>
        <w:t>城市轨道交通地下工程建设风险管理规范》</w:t>
      </w:r>
      <w:r>
        <w:rPr>
          <w:rFonts w:ascii="黑体" w:eastAsia="黑体" w:hAnsi="黑体"/>
          <w:b w:val="0"/>
          <w:bCs/>
        </w:rPr>
        <w:fldChar w:fldCharType="begin"/>
      </w:r>
      <w:r>
        <w:rPr>
          <w:rFonts w:ascii="黑体" w:eastAsia="黑体" w:hAnsi="黑体"/>
          <w:b w:val="0"/>
          <w:bCs/>
        </w:rPr>
        <w:instrText xml:space="preserve"> ADDIN NE.Ref.{DBE133A1-0073-4835-8584-C262264153CB}</w:instrText>
      </w:r>
      <w:r>
        <w:rPr>
          <w:rFonts w:ascii="黑体" w:eastAsia="黑体" w:hAnsi="黑体"/>
          <w:b w:val="0"/>
          <w:bCs/>
        </w:rPr>
        <w:fldChar w:fldCharType="separate"/>
      </w:r>
      <w:r>
        <w:rPr>
          <w:rFonts w:ascii="黑体" w:eastAsia="黑体" w:hAnsi="黑体"/>
          <w:b w:val="0"/>
          <w:bCs/>
          <w:color w:val="080000"/>
          <w:kern w:val="0"/>
          <w:vertAlign w:val="superscript"/>
        </w:rPr>
        <w:t>[27]</w:t>
      </w:r>
      <w:r>
        <w:rPr>
          <w:rFonts w:ascii="黑体" w:eastAsia="黑体" w:hAnsi="黑体"/>
          <w:b w:val="0"/>
          <w:bCs/>
        </w:rPr>
        <w:fldChar w:fldCharType="end"/>
      </w:r>
    </w:p>
    <w:tbl>
      <w:tblPr>
        <w:tblStyle w:val="af1"/>
        <w:tblW w:w="8286" w:type="dxa"/>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678"/>
        <w:gridCol w:w="1540"/>
        <w:gridCol w:w="1495"/>
        <w:gridCol w:w="1450"/>
        <w:gridCol w:w="1583"/>
        <w:gridCol w:w="1540"/>
      </w:tblGrid>
      <w:tr w:rsidR="0073700B">
        <w:trPr>
          <w:trHeight w:val="397"/>
          <w:jc w:val="center"/>
        </w:trPr>
        <w:tc>
          <w:tcPr>
            <w:tcW w:w="678"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等级</w:t>
            </w:r>
          </w:p>
        </w:tc>
        <w:tc>
          <w:tcPr>
            <w:tcW w:w="1540"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1</w:t>
            </w:r>
          </w:p>
        </w:tc>
        <w:tc>
          <w:tcPr>
            <w:tcW w:w="1495"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2</w:t>
            </w:r>
          </w:p>
        </w:tc>
        <w:tc>
          <w:tcPr>
            <w:tcW w:w="1450"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3</w:t>
            </w:r>
          </w:p>
        </w:tc>
        <w:tc>
          <w:tcPr>
            <w:tcW w:w="1583"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4</w:t>
            </w:r>
          </w:p>
        </w:tc>
        <w:tc>
          <w:tcPr>
            <w:tcW w:w="1540"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5</w:t>
            </w:r>
          </w:p>
        </w:tc>
      </w:tr>
      <w:tr w:rsidR="0073700B">
        <w:trPr>
          <w:trHeight w:val="397"/>
          <w:jc w:val="center"/>
        </w:trPr>
        <w:tc>
          <w:tcPr>
            <w:tcW w:w="678"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影响范围及程度</w:t>
            </w:r>
          </w:p>
        </w:tc>
        <w:tc>
          <w:tcPr>
            <w:tcW w:w="1540"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涉及范围非常大，周边生态环境发生严重污染或破坏</w:t>
            </w:r>
          </w:p>
        </w:tc>
        <w:tc>
          <w:tcPr>
            <w:tcW w:w="1495"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涉及范围很大，周边生态环境发生较重污染或破坏</w:t>
            </w:r>
          </w:p>
        </w:tc>
        <w:tc>
          <w:tcPr>
            <w:tcW w:w="1450"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涉及范围较大，区域内生态环境发生污染或破坏</w:t>
            </w:r>
          </w:p>
        </w:tc>
        <w:tc>
          <w:tcPr>
            <w:tcW w:w="1583"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涉及范围较小，邻近区域生态环境发生轻度污染或破坏</w:t>
            </w:r>
          </w:p>
        </w:tc>
        <w:tc>
          <w:tcPr>
            <w:tcW w:w="1540"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涉及范围很小，施工区域生态环境发生少污染或破坏</w:t>
            </w:r>
          </w:p>
        </w:tc>
      </w:tr>
    </w:tbl>
    <w:p w:rsidR="0073700B" w:rsidRDefault="001A2FFC" w:rsidP="00F80BAC">
      <w:pPr>
        <w:spacing w:beforeLines="50" w:before="156" w:line="360" w:lineRule="auto"/>
        <w:ind w:firstLineChars="200" w:firstLine="480"/>
        <w:rPr>
          <w:bCs/>
          <w:sz w:val="24"/>
          <w:szCs w:val="24"/>
        </w:rPr>
      </w:pPr>
      <w:r>
        <w:rPr>
          <w:bCs/>
          <w:sz w:val="24"/>
          <w:szCs w:val="24"/>
        </w:rPr>
        <w:t>结合以上两个标准，环境影响分为自然环境和社会环境两个方面，并考虑到公路隧道施工相比化工等工业活动对环境的影响较轻，所以淡化了各等级的定性描述措辞，从整体上看降低了一级。同时，为了与人员伤亡等级保持一致，取死亡人数的等级上限人数作为当量值，当量值分别为：</w:t>
      </w:r>
      <w:bookmarkStart w:id="49" w:name="OLE_LINK4"/>
      <w:bookmarkStart w:id="50" w:name="OLE_LINK5"/>
      <w:r>
        <w:rPr>
          <w:bCs/>
          <w:sz w:val="24"/>
          <w:szCs w:val="24"/>
        </w:rPr>
        <w:t>10</w:t>
      </w:r>
      <w:r>
        <w:rPr>
          <w:bCs/>
          <w:sz w:val="24"/>
          <w:szCs w:val="24"/>
        </w:rPr>
        <w:t>、</w:t>
      </w:r>
      <w:r>
        <w:rPr>
          <w:bCs/>
          <w:sz w:val="24"/>
          <w:szCs w:val="24"/>
        </w:rPr>
        <w:t>3</w:t>
      </w:r>
      <w:r>
        <w:rPr>
          <w:bCs/>
          <w:sz w:val="24"/>
          <w:szCs w:val="24"/>
        </w:rPr>
        <w:t>、</w:t>
      </w:r>
      <w:r>
        <w:rPr>
          <w:bCs/>
          <w:sz w:val="24"/>
          <w:szCs w:val="24"/>
        </w:rPr>
        <w:t>1</w:t>
      </w:r>
      <w:r>
        <w:rPr>
          <w:bCs/>
          <w:sz w:val="24"/>
          <w:szCs w:val="24"/>
        </w:rPr>
        <w:t>、</w:t>
      </w:r>
      <w:r>
        <w:rPr>
          <w:bCs/>
          <w:sz w:val="24"/>
          <w:szCs w:val="24"/>
        </w:rPr>
        <w:t>1/2</w:t>
      </w:r>
      <w:bookmarkEnd w:id="49"/>
      <w:bookmarkEnd w:id="50"/>
      <w:r>
        <w:rPr>
          <w:bCs/>
          <w:sz w:val="24"/>
          <w:szCs w:val="24"/>
        </w:rPr>
        <w:t>、</w:t>
      </w:r>
      <w:r>
        <w:rPr>
          <w:bCs/>
          <w:sz w:val="24"/>
          <w:szCs w:val="24"/>
        </w:rPr>
        <w:t>0</w:t>
      </w:r>
      <w:r>
        <w:rPr>
          <w:bCs/>
          <w:sz w:val="24"/>
          <w:szCs w:val="24"/>
        </w:rPr>
        <w:t>。</w:t>
      </w:r>
    </w:p>
    <w:p w:rsidR="0073700B" w:rsidRDefault="001A2FFC" w:rsidP="00F80BAC">
      <w:pPr>
        <w:spacing w:beforeLines="50" w:before="156" w:line="360" w:lineRule="auto"/>
        <w:ind w:firstLineChars="200" w:firstLine="480"/>
        <w:rPr>
          <w:bCs/>
          <w:sz w:val="24"/>
          <w:szCs w:val="20"/>
        </w:rPr>
      </w:pPr>
      <w:r>
        <w:rPr>
          <w:rFonts w:hint="eastAsia"/>
          <w:bCs/>
          <w:sz w:val="24"/>
          <w:szCs w:val="20"/>
        </w:rPr>
        <w:t>Ⅳ）</w:t>
      </w:r>
      <w:r>
        <w:rPr>
          <w:bCs/>
          <w:sz w:val="24"/>
          <w:szCs w:val="20"/>
        </w:rPr>
        <w:t>社会影响</w:t>
      </w:r>
    </w:p>
    <w:p w:rsidR="0073700B" w:rsidRDefault="001A2FFC" w:rsidP="00F80BAC">
      <w:pPr>
        <w:pStyle w:val="a6"/>
        <w:spacing w:beforeLines="50" w:before="15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14</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w:t>
      </w:r>
      <w:r>
        <w:rPr>
          <w:rFonts w:ascii="黑体" w:eastAsia="黑体" w:hAnsi="黑体"/>
          <w:b w:val="0"/>
          <w:bCs/>
        </w:rPr>
        <w:t>Q/CR 9006-2014</w:t>
      </w:r>
      <w:r>
        <w:rPr>
          <w:rFonts w:ascii="黑体" w:eastAsia="黑体" w:hAnsi="黑体"/>
          <w:b w:val="0"/>
          <w:bCs/>
        </w:rPr>
        <w:t>铁路建设工程风险管理技术规范》</w:t>
      </w:r>
      <w:r>
        <w:rPr>
          <w:rFonts w:ascii="黑体" w:eastAsia="黑体" w:hAnsi="黑体"/>
          <w:b w:val="0"/>
          <w:bCs/>
        </w:rPr>
        <w:fldChar w:fldCharType="begin"/>
      </w:r>
      <w:r>
        <w:rPr>
          <w:rFonts w:ascii="黑体" w:eastAsia="黑体" w:hAnsi="黑体"/>
          <w:b w:val="0"/>
          <w:bCs/>
        </w:rPr>
        <w:instrText xml:space="preserve"> ADDIN NE.Ref.{88D19699-1B48-4553-B2D7-1EC2C0E4679C}</w:instrText>
      </w:r>
      <w:r>
        <w:rPr>
          <w:rFonts w:ascii="黑体" w:eastAsia="黑体" w:hAnsi="黑体"/>
          <w:b w:val="0"/>
          <w:bCs/>
        </w:rPr>
        <w:fldChar w:fldCharType="separate"/>
      </w:r>
      <w:r>
        <w:rPr>
          <w:rFonts w:ascii="黑体" w:eastAsia="黑体" w:hAnsi="黑体"/>
          <w:b w:val="0"/>
          <w:bCs/>
          <w:color w:val="080000"/>
          <w:kern w:val="0"/>
          <w:vertAlign w:val="superscript"/>
        </w:rPr>
        <w:t>[26]</w:t>
      </w:r>
      <w:r>
        <w:rPr>
          <w:rFonts w:ascii="黑体" w:eastAsia="黑体" w:hAnsi="黑体"/>
          <w:b w:val="0"/>
          <w:bCs/>
        </w:rPr>
        <w:fldChar w:fldCharType="end"/>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95"/>
        <w:gridCol w:w="1455"/>
        <w:gridCol w:w="1525"/>
        <w:gridCol w:w="1419"/>
        <w:gridCol w:w="1740"/>
        <w:gridCol w:w="1452"/>
      </w:tblGrid>
      <w:tr w:rsidR="0073700B">
        <w:trPr>
          <w:trHeight w:val="605"/>
        </w:trPr>
        <w:tc>
          <w:tcPr>
            <w:tcW w:w="695"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后果等级</w:t>
            </w:r>
          </w:p>
        </w:tc>
        <w:tc>
          <w:tcPr>
            <w:tcW w:w="1455"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1</w:t>
            </w:r>
          </w:p>
        </w:tc>
        <w:tc>
          <w:tcPr>
            <w:tcW w:w="1525"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2</w:t>
            </w:r>
          </w:p>
        </w:tc>
        <w:tc>
          <w:tcPr>
            <w:tcW w:w="1419"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3</w:t>
            </w:r>
          </w:p>
        </w:tc>
        <w:tc>
          <w:tcPr>
            <w:tcW w:w="1740"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4</w:t>
            </w:r>
          </w:p>
        </w:tc>
        <w:tc>
          <w:tcPr>
            <w:tcW w:w="1452" w:type="dxa"/>
            <w:tcBorders>
              <w:top w:val="single" w:sz="8" w:space="0" w:color="auto"/>
              <w:bottom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5</w:t>
            </w:r>
          </w:p>
        </w:tc>
      </w:tr>
      <w:tr w:rsidR="0073700B">
        <w:trPr>
          <w:trHeight w:val="397"/>
        </w:trPr>
        <w:tc>
          <w:tcPr>
            <w:tcW w:w="695"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社会影响</w:t>
            </w:r>
          </w:p>
        </w:tc>
        <w:tc>
          <w:tcPr>
            <w:tcW w:w="1455"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绝大部分群众有意见、反应极其强烈，可能引发大规模群体性事件</w:t>
            </w:r>
          </w:p>
        </w:tc>
        <w:tc>
          <w:tcPr>
            <w:tcW w:w="1525"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大部分群众有意见、反应特别强烈，可能引发较大规模群体性事件</w:t>
            </w:r>
          </w:p>
        </w:tc>
        <w:tc>
          <w:tcPr>
            <w:tcW w:w="1419"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部分群众有意见、反应强烈，可能引发矛盾冲突</w:t>
            </w:r>
          </w:p>
        </w:tc>
        <w:tc>
          <w:tcPr>
            <w:tcW w:w="1740"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多数群众理解支持但少部分人有意见、通过有效工作可防范与化解矛盾</w:t>
            </w:r>
          </w:p>
        </w:tc>
        <w:tc>
          <w:tcPr>
            <w:tcW w:w="1452" w:type="dxa"/>
            <w:tcBorders>
              <w:top w:val="single" w:sz="8" w:space="0" w:color="auto"/>
            </w:tcBorders>
            <w:vAlign w:val="center"/>
          </w:tcPr>
          <w:p w:rsidR="0073700B" w:rsidRDefault="001A2FFC">
            <w:pPr>
              <w:pStyle w:val="af7"/>
              <w:widowControl w:val="0"/>
              <w:ind w:firstLineChars="0" w:firstLine="0"/>
              <w:jc w:val="center"/>
              <w:rPr>
                <w:rFonts w:ascii="Times New Roman" w:eastAsia="黑体"/>
                <w:bCs/>
                <w:szCs w:val="21"/>
              </w:rPr>
            </w:pPr>
            <w:r>
              <w:rPr>
                <w:rFonts w:ascii="Times New Roman"/>
                <w:bCs/>
                <w:szCs w:val="21"/>
              </w:rPr>
              <w:t>绝大多数群众理解支持，极少数人有意见，矛盾易化解</w:t>
            </w:r>
          </w:p>
        </w:tc>
      </w:tr>
    </w:tbl>
    <w:p w:rsidR="0073700B" w:rsidRDefault="001A2FFC" w:rsidP="00F80BAC">
      <w:pPr>
        <w:spacing w:beforeLines="50" w:before="156" w:line="360" w:lineRule="auto"/>
        <w:ind w:firstLineChars="200" w:firstLine="480"/>
        <w:rPr>
          <w:bCs/>
          <w:sz w:val="24"/>
          <w:szCs w:val="24"/>
        </w:rPr>
      </w:pPr>
      <w:r>
        <w:rPr>
          <w:bCs/>
          <w:sz w:val="24"/>
          <w:szCs w:val="24"/>
        </w:rPr>
        <w:t>本标准社会影响分级描述参考该标准，并淡化措辞，整体上减低一级。当量值取法方法和环境影响取值相同，即为</w:t>
      </w:r>
      <w:r>
        <w:rPr>
          <w:bCs/>
          <w:sz w:val="24"/>
          <w:szCs w:val="24"/>
        </w:rPr>
        <w:t>10</w:t>
      </w:r>
      <w:r>
        <w:rPr>
          <w:bCs/>
          <w:sz w:val="24"/>
          <w:szCs w:val="24"/>
        </w:rPr>
        <w:t>、</w:t>
      </w:r>
      <w:r>
        <w:rPr>
          <w:bCs/>
          <w:sz w:val="24"/>
          <w:szCs w:val="24"/>
        </w:rPr>
        <w:t>3</w:t>
      </w:r>
      <w:r>
        <w:rPr>
          <w:bCs/>
          <w:sz w:val="24"/>
          <w:szCs w:val="24"/>
        </w:rPr>
        <w:t>、</w:t>
      </w:r>
      <w:r>
        <w:rPr>
          <w:bCs/>
          <w:sz w:val="24"/>
          <w:szCs w:val="24"/>
        </w:rPr>
        <w:t>1</w:t>
      </w:r>
      <w:r>
        <w:rPr>
          <w:bCs/>
          <w:sz w:val="24"/>
          <w:szCs w:val="24"/>
        </w:rPr>
        <w:t>、</w:t>
      </w:r>
      <w:r>
        <w:rPr>
          <w:bCs/>
          <w:sz w:val="24"/>
          <w:szCs w:val="24"/>
        </w:rPr>
        <w:t>1/2</w:t>
      </w:r>
      <w:r>
        <w:rPr>
          <w:bCs/>
          <w:sz w:val="24"/>
          <w:szCs w:val="24"/>
        </w:rPr>
        <w:t>、</w:t>
      </w:r>
      <w:r>
        <w:rPr>
          <w:bCs/>
          <w:sz w:val="24"/>
          <w:szCs w:val="24"/>
        </w:rPr>
        <w:t>0</w:t>
      </w:r>
      <w:r>
        <w:rPr>
          <w:bCs/>
          <w:sz w:val="24"/>
          <w:szCs w:val="24"/>
        </w:rPr>
        <w:t>。</w:t>
      </w:r>
    </w:p>
    <w:p w:rsidR="0073700B" w:rsidRDefault="001A2FFC">
      <w:pPr>
        <w:spacing w:before="50" w:line="360" w:lineRule="auto"/>
        <w:ind w:firstLineChars="200" w:firstLine="480"/>
        <w:rPr>
          <w:bCs/>
          <w:sz w:val="24"/>
          <w:szCs w:val="20"/>
        </w:rPr>
      </w:pPr>
      <w:r>
        <w:rPr>
          <w:rFonts w:hint="eastAsia"/>
          <w:bCs/>
          <w:sz w:val="24"/>
          <w:szCs w:val="20"/>
        </w:rPr>
        <w:t>Ⅴ）</w:t>
      </w:r>
      <w:r>
        <w:rPr>
          <w:bCs/>
          <w:sz w:val="24"/>
          <w:szCs w:val="20"/>
        </w:rPr>
        <w:t>工期延误</w:t>
      </w:r>
    </w:p>
    <w:p w:rsidR="0073700B" w:rsidRDefault="001A2FFC" w:rsidP="00F80BAC">
      <w:pPr>
        <w:pStyle w:val="a6"/>
        <w:spacing w:beforeLines="50" w:before="15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15</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w:t>
      </w:r>
      <w:r>
        <w:rPr>
          <w:rFonts w:ascii="黑体" w:eastAsia="黑体" w:hAnsi="黑体"/>
          <w:b w:val="0"/>
          <w:bCs/>
        </w:rPr>
        <w:t>Q/CR 9006-2014</w:t>
      </w:r>
      <w:bookmarkStart w:id="51" w:name="_Hlk29147864"/>
      <w:r>
        <w:rPr>
          <w:rFonts w:ascii="黑体" w:eastAsia="黑体" w:hAnsi="黑体"/>
          <w:b w:val="0"/>
          <w:bCs/>
        </w:rPr>
        <w:t>铁路建设工程风险管理技术规范</w:t>
      </w:r>
      <w:bookmarkEnd w:id="51"/>
      <w:r>
        <w:rPr>
          <w:rFonts w:ascii="黑体" w:eastAsia="黑体" w:hAnsi="黑体"/>
          <w:b w:val="0"/>
          <w:bCs/>
        </w:rPr>
        <w:t>》</w:t>
      </w:r>
      <w:r>
        <w:rPr>
          <w:rFonts w:ascii="黑体" w:eastAsia="黑体" w:hAnsi="黑体"/>
          <w:b w:val="0"/>
          <w:bCs/>
        </w:rPr>
        <w:fldChar w:fldCharType="begin"/>
      </w:r>
      <w:r>
        <w:rPr>
          <w:rFonts w:ascii="黑体" w:eastAsia="黑体" w:hAnsi="黑体"/>
          <w:b w:val="0"/>
          <w:bCs/>
        </w:rPr>
        <w:instrText xml:space="preserve"> ADDIN NE.Ref.{750A848D-B233-4254-A35E-9F73FFB22EA5}</w:instrText>
      </w:r>
      <w:r>
        <w:rPr>
          <w:rFonts w:ascii="黑体" w:eastAsia="黑体" w:hAnsi="黑体"/>
          <w:b w:val="0"/>
          <w:bCs/>
        </w:rPr>
        <w:fldChar w:fldCharType="separate"/>
      </w:r>
      <w:r>
        <w:rPr>
          <w:rFonts w:ascii="黑体" w:eastAsia="黑体" w:hAnsi="黑体"/>
          <w:b w:val="0"/>
          <w:bCs/>
          <w:color w:val="080000"/>
          <w:kern w:val="0"/>
          <w:vertAlign w:val="superscript"/>
        </w:rPr>
        <w:t>[26]</w:t>
      </w:r>
      <w:r>
        <w:rPr>
          <w:rFonts w:ascii="黑体" w:eastAsia="黑体" w:hAnsi="黑体"/>
          <w:b w:val="0"/>
          <w:bCs/>
        </w:rPr>
        <w:fldChar w:fldCharType="end"/>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3"/>
        <w:gridCol w:w="1982"/>
        <w:gridCol w:w="1120"/>
        <w:gridCol w:w="1120"/>
        <w:gridCol w:w="1120"/>
        <w:gridCol w:w="1120"/>
        <w:gridCol w:w="1121"/>
      </w:tblGrid>
      <w:tr w:rsidR="0073700B">
        <w:tc>
          <w:tcPr>
            <w:tcW w:w="2685" w:type="dxa"/>
            <w:gridSpan w:val="2"/>
            <w:tcBorders>
              <w:top w:val="single" w:sz="8" w:space="0" w:color="auto"/>
              <w:left w:val="single" w:sz="8" w:space="0" w:color="auto"/>
              <w:bottom w:val="single" w:sz="8" w:space="0" w:color="auto"/>
            </w:tcBorders>
            <w:vAlign w:val="center"/>
          </w:tcPr>
          <w:p w:rsidR="0073700B" w:rsidRDefault="001A2FFC">
            <w:pPr>
              <w:jc w:val="center"/>
              <w:rPr>
                <w:bCs/>
                <w:szCs w:val="21"/>
              </w:rPr>
            </w:pPr>
            <w:r>
              <w:rPr>
                <w:bCs/>
                <w:szCs w:val="21"/>
              </w:rPr>
              <w:t>后果等级</w:t>
            </w:r>
          </w:p>
        </w:tc>
        <w:tc>
          <w:tcPr>
            <w:tcW w:w="1120" w:type="dxa"/>
            <w:tcBorders>
              <w:top w:val="single" w:sz="8" w:space="0" w:color="auto"/>
              <w:bottom w:val="single" w:sz="8" w:space="0" w:color="auto"/>
            </w:tcBorders>
            <w:vAlign w:val="center"/>
          </w:tcPr>
          <w:p w:rsidR="0073700B" w:rsidRDefault="001A2FFC">
            <w:pPr>
              <w:jc w:val="center"/>
              <w:rPr>
                <w:bCs/>
                <w:szCs w:val="21"/>
              </w:rPr>
            </w:pPr>
            <w:r>
              <w:rPr>
                <w:bCs/>
                <w:szCs w:val="21"/>
              </w:rPr>
              <w:t>1</w:t>
            </w:r>
          </w:p>
        </w:tc>
        <w:tc>
          <w:tcPr>
            <w:tcW w:w="1120" w:type="dxa"/>
            <w:tcBorders>
              <w:top w:val="single" w:sz="8" w:space="0" w:color="auto"/>
              <w:bottom w:val="single" w:sz="8" w:space="0" w:color="auto"/>
            </w:tcBorders>
            <w:vAlign w:val="center"/>
          </w:tcPr>
          <w:p w:rsidR="0073700B" w:rsidRDefault="001A2FFC">
            <w:pPr>
              <w:jc w:val="center"/>
              <w:rPr>
                <w:bCs/>
                <w:szCs w:val="21"/>
              </w:rPr>
            </w:pPr>
            <w:r>
              <w:rPr>
                <w:bCs/>
                <w:szCs w:val="21"/>
              </w:rPr>
              <w:t>2</w:t>
            </w:r>
          </w:p>
        </w:tc>
        <w:tc>
          <w:tcPr>
            <w:tcW w:w="1120" w:type="dxa"/>
            <w:tcBorders>
              <w:top w:val="single" w:sz="8" w:space="0" w:color="auto"/>
              <w:bottom w:val="single" w:sz="8" w:space="0" w:color="auto"/>
            </w:tcBorders>
            <w:vAlign w:val="center"/>
          </w:tcPr>
          <w:p w:rsidR="0073700B" w:rsidRDefault="001A2FFC">
            <w:pPr>
              <w:jc w:val="center"/>
              <w:rPr>
                <w:bCs/>
                <w:szCs w:val="21"/>
              </w:rPr>
            </w:pPr>
            <w:r>
              <w:rPr>
                <w:bCs/>
                <w:szCs w:val="21"/>
              </w:rPr>
              <w:t>3</w:t>
            </w:r>
          </w:p>
        </w:tc>
        <w:tc>
          <w:tcPr>
            <w:tcW w:w="1120" w:type="dxa"/>
            <w:tcBorders>
              <w:top w:val="single" w:sz="8" w:space="0" w:color="auto"/>
              <w:bottom w:val="single" w:sz="8" w:space="0" w:color="auto"/>
            </w:tcBorders>
            <w:vAlign w:val="center"/>
          </w:tcPr>
          <w:p w:rsidR="0073700B" w:rsidRDefault="001A2FFC">
            <w:pPr>
              <w:jc w:val="center"/>
              <w:rPr>
                <w:bCs/>
                <w:szCs w:val="21"/>
              </w:rPr>
            </w:pPr>
            <w:r>
              <w:rPr>
                <w:bCs/>
                <w:szCs w:val="21"/>
              </w:rPr>
              <w:t>4</w:t>
            </w:r>
          </w:p>
        </w:tc>
        <w:tc>
          <w:tcPr>
            <w:tcW w:w="1121" w:type="dxa"/>
            <w:tcBorders>
              <w:top w:val="single" w:sz="8" w:space="0" w:color="auto"/>
              <w:bottom w:val="single" w:sz="8" w:space="0" w:color="auto"/>
              <w:right w:val="single" w:sz="8" w:space="0" w:color="auto"/>
            </w:tcBorders>
            <w:vAlign w:val="center"/>
          </w:tcPr>
          <w:p w:rsidR="0073700B" w:rsidRDefault="001A2FFC">
            <w:pPr>
              <w:jc w:val="center"/>
              <w:rPr>
                <w:bCs/>
                <w:szCs w:val="21"/>
              </w:rPr>
            </w:pPr>
            <w:r>
              <w:rPr>
                <w:bCs/>
                <w:szCs w:val="21"/>
              </w:rPr>
              <w:t>5</w:t>
            </w:r>
          </w:p>
        </w:tc>
      </w:tr>
      <w:tr w:rsidR="0073700B">
        <w:tc>
          <w:tcPr>
            <w:tcW w:w="703" w:type="dxa"/>
            <w:vMerge w:val="restart"/>
            <w:tcBorders>
              <w:top w:val="single" w:sz="8" w:space="0" w:color="auto"/>
              <w:left w:val="single" w:sz="8" w:space="0" w:color="auto"/>
            </w:tcBorders>
            <w:vAlign w:val="center"/>
          </w:tcPr>
          <w:p w:rsidR="0073700B" w:rsidRDefault="001A2FFC">
            <w:pPr>
              <w:jc w:val="center"/>
              <w:rPr>
                <w:bCs/>
                <w:szCs w:val="21"/>
              </w:rPr>
            </w:pPr>
            <w:bookmarkStart w:id="52" w:name="_Hlk14767406"/>
            <w:r>
              <w:rPr>
                <w:bCs/>
                <w:szCs w:val="21"/>
              </w:rPr>
              <w:t>控制工期工程</w:t>
            </w:r>
          </w:p>
        </w:tc>
        <w:tc>
          <w:tcPr>
            <w:tcW w:w="1982" w:type="dxa"/>
            <w:tcBorders>
              <w:top w:val="single" w:sz="8" w:space="0" w:color="auto"/>
            </w:tcBorders>
            <w:vAlign w:val="center"/>
          </w:tcPr>
          <w:p w:rsidR="0073700B" w:rsidRDefault="001A2FFC">
            <w:pPr>
              <w:jc w:val="center"/>
              <w:rPr>
                <w:bCs/>
                <w:szCs w:val="21"/>
              </w:rPr>
            </w:pPr>
            <w:r>
              <w:rPr>
                <w:bCs/>
                <w:szCs w:val="21"/>
              </w:rPr>
              <w:t>绝对延误时间（月</w:t>
            </w:r>
            <w:r>
              <w:rPr>
                <w:bCs/>
                <w:szCs w:val="21"/>
              </w:rPr>
              <w:t>/</w:t>
            </w:r>
            <w:r>
              <w:rPr>
                <w:bCs/>
                <w:szCs w:val="21"/>
              </w:rPr>
              <w:t>单一事故）</w:t>
            </w:r>
          </w:p>
        </w:tc>
        <w:tc>
          <w:tcPr>
            <w:tcW w:w="1120" w:type="dxa"/>
            <w:tcBorders>
              <w:top w:val="single" w:sz="8" w:space="0" w:color="auto"/>
            </w:tcBorders>
            <w:vAlign w:val="center"/>
          </w:tcPr>
          <w:p w:rsidR="0073700B" w:rsidRDefault="001A2FFC">
            <w:pPr>
              <w:jc w:val="center"/>
              <w:rPr>
                <w:bCs/>
                <w:szCs w:val="21"/>
              </w:rPr>
            </w:pPr>
            <w:r>
              <w:rPr>
                <w:bCs/>
                <w:szCs w:val="21"/>
              </w:rPr>
              <w:t>&gt;12</w:t>
            </w:r>
          </w:p>
        </w:tc>
        <w:tc>
          <w:tcPr>
            <w:tcW w:w="1120" w:type="dxa"/>
            <w:tcBorders>
              <w:top w:val="single" w:sz="8" w:space="0" w:color="auto"/>
            </w:tcBorders>
            <w:vAlign w:val="center"/>
          </w:tcPr>
          <w:p w:rsidR="0073700B" w:rsidRDefault="001A2FFC">
            <w:pPr>
              <w:jc w:val="center"/>
              <w:rPr>
                <w:bCs/>
                <w:szCs w:val="21"/>
              </w:rPr>
            </w:pPr>
            <w:r>
              <w:rPr>
                <w:bCs/>
                <w:szCs w:val="21"/>
              </w:rPr>
              <w:t>6~12</w:t>
            </w:r>
          </w:p>
        </w:tc>
        <w:tc>
          <w:tcPr>
            <w:tcW w:w="1120" w:type="dxa"/>
            <w:tcBorders>
              <w:top w:val="single" w:sz="8" w:space="0" w:color="auto"/>
            </w:tcBorders>
            <w:vAlign w:val="center"/>
          </w:tcPr>
          <w:p w:rsidR="0073700B" w:rsidRDefault="001A2FFC">
            <w:pPr>
              <w:jc w:val="center"/>
              <w:rPr>
                <w:bCs/>
                <w:szCs w:val="21"/>
              </w:rPr>
            </w:pPr>
            <w:r>
              <w:rPr>
                <w:bCs/>
                <w:szCs w:val="21"/>
              </w:rPr>
              <w:t>3~6</w:t>
            </w:r>
          </w:p>
        </w:tc>
        <w:tc>
          <w:tcPr>
            <w:tcW w:w="1120" w:type="dxa"/>
            <w:tcBorders>
              <w:top w:val="single" w:sz="8" w:space="0" w:color="auto"/>
            </w:tcBorders>
            <w:vAlign w:val="center"/>
          </w:tcPr>
          <w:p w:rsidR="0073700B" w:rsidRDefault="001A2FFC">
            <w:pPr>
              <w:jc w:val="center"/>
              <w:rPr>
                <w:bCs/>
                <w:szCs w:val="21"/>
              </w:rPr>
            </w:pPr>
            <w:r>
              <w:rPr>
                <w:bCs/>
                <w:szCs w:val="21"/>
              </w:rPr>
              <w:t>0.5~3</w:t>
            </w:r>
          </w:p>
        </w:tc>
        <w:tc>
          <w:tcPr>
            <w:tcW w:w="1121" w:type="dxa"/>
            <w:tcBorders>
              <w:top w:val="single" w:sz="8" w:space="0" w:color="auto"/>
              <w:right w:val="single" w:sz="8" w:space="0" w:color="auto"/>
            </w:tcBorders>
            <w:vAlign w:val="center"/>
          </w:tcPr>
          <w:p w:rsidR="0073700B" w:rsidRDefault="001A2FFC">
            <w:pPr>
              <w:jc w:val="center"/>
              <w:rPr>
                <w:bCs/>
                <w:szCs w:val="21"/>
              </w:rPr>
            </w:pPr>
            <w:r>
              <w:rPr>
                <w:bCs/>
                <w:szCs w:val="21"/>
              </w:rPr>
              <w:t>≤0.5</w:t>
            </w:r>
          </w:p>
        </w:tc>
      </w:tr>
      <w:bookmarkEnd w:id="52"/>
      <w:tr w:rsidR="0073700B">
        <w:tc>
          <w:tcPr>
            <w:tcW w:w="703" w:type="dxa"/>
            <w:vMerge/>
            <w:tcBorders>
              <w:left w:val="single" w:sz="8" w:space="0" w:color="auto"/>
            </w:tcBorders>
            <w:vAlign w:val="center"/>
          </w:tcPr>
          <w:p w:rsidR="0073700B" w:rsidRDefault="0073700B">
            <w:pPr>
              <w:jc w:val="center"/>
              <w:rPr>
                <w:bCs/>
                <w:szCs w:val="21"/>
              </w:rPr>
            </w:pPr>
          </w:p>
        </w:tc>
        <w:tc>
          <w:tcPr>
            <w:tcW w:w="1982" w:type="dxa"/>
            <w:vAlign w:val="center"/>
          </w:tcPr>
          <w:p w:rsidR="0073700B" w:rsidRDefault="001A2FFC">
            <w:pPr>
              <w:jc w:val="center"/>
              <w:rPr>
                <w:bCs/>
                <w:szCs w:val="21"/>
              </w:rPr>
            </w:pPr>
            <w:r>
              <w:rPr>
                <w:bCs/>
                <w:szCs w:val="21"/>
              </w:rPr>
              <w:t>相对延误时间（</w:t>
            </w:r>
            <w:r>
              <w:rPr>
                <w:bCs/>
                <w:szCs w:val="21"/>
              </w:rPr>
              <w:t>%</w:t>
            </w:r>
            <w:r>
              <w:rPr>
                <w:bCs/>
                <w:szCs w:val="21"/>
              </w:rPr>
              <w:t>）</w:t>
            </w:r>
          </w:p>
        </w:tc>
        <w:tc>
          <w:tcPr>
            <w:tcW w:w="1120" w:type="dxa"/>
            <w:vAlign w:val="center"/>
          </w:tcPr>
          <w:p w:rsidR="0073700B" w:rsidRDefault="001A2FFC">
            <w:pPr>
              <w:jc w:val="center"/>
              <w:rPr>
                <w:bCs/>
                <w:szCs w:val="21"/>
              </w:rPr>
            </w:pPr>
            <w:r>
              <w:rPr>
                <w:bCs/>
                <w:szCs w:val="21"/>
              </w:rPr>
              <w:t>&gt;50</w:t>
            </w:r>
          </w:p>
        </w:tc>
        <w:tc>
          <w:tcPr>
            <w:tcW w:w="1120" w:type="dxa"/>
            <w:vAlign w:val="center"/>
          </w:tcPr>
          <w:p w:rsidR="0073700B" w:rsidRDefault="001A2FFC">
            <w:pPr>
              <w:jc w:val="center"/>
              <w:rPr>
                <w:bCs/>
                <w:szCs w:val="21"/>
              </w:rPr>
            </w:pPr>
            <w:r>
              <w:rPr>
                <w:bCs/>
                <w:szCs w:val="21"/>
              </w:rPr>
              <w:t>20~50</w:t>
            </w:r>
          </w:p>
        </w:tc>
        <w:tc>
          <w:tcPr>
            <w:tcW w:w="1120" w:type="dxa"/>
            <w:vAlign w:val="center"/>
          </w:tcPr>
          <w:p w:rsidR="0073700B" w:rsidRDefault="001A2FFC">
            <w:pPr>
              <w:jc w:val="center"/>
              <w:rPr>
                <w:bCs/>
                <w:szCs w:val="21"/>
              </w:rPr>
            </w:pPr>
            <w:r>
              <w:rPr>
                <w:bCs/>
                <w:szCs w:val="21"/>
              </w:rPr>
              <w:t>10~20</w:t>
            </w:r>
          </w:p>
        </w:tc>
        <w:tc>
          <w:tcPr>
            <w:tcW w:w="1120" w:type="dxa"/>
            <w:vAlign w:val="center"/>
          </w:tcPr>
          <w:p w:rsidR="0073700B" w:rsidRDefault="001A2FFC">
            <w:pPr>
              <w:jc w:val="center"/>
              <w:rPr>
                <w:bCs/>
                <w:szCs w:val="21"/>
              </w:rPr>
            </w:pPr>
            <w:r>
              <w:rPr>
                <w:bCs/>
                <w:szCs w:val="21"/>
              </w:rPr>
              <w:t>5~10</w:t>
            </w:r>
          </w:p>
        </w:tc>
        <w:tc>
          <w:tcPr>
            <w:tcW w:w="1121" w:type="dxa"/>
            <w:tcBorders>
              <w:right w:val="single" w:sz="8" w:space="0" w:color="auto"/>
            </w:tcBorders>
            <w:vAlign w:val="center"/>
          </w:tcPr>
          <w:p w:rsidR="0073700B" w:rsidRDefault="001A2FFC">
            <w:pPr>
              <w:jc w:val="center"/>
              <w:rPr>
                <w:bCs/>
                <w:szCs w:val="21"/>
              </w:rPr>
            </w:pPr>
            <w:r>
              <w:rPr>
                <w:bCs/>
                <w:szCs w:val="21"/>
              </w:rPr>
              <w:t>≤5</w:t>
            </w:r>
          </w:p>
        </w:tc>
      </w:tr>
      <w:tr w:rsidR="0073700B">
        <w:tc>
          <w:tcPr>
            <w:tcW w:w="703" w:type="dxa"/>
            <w:vMerge w:val="restart"/>
            <w:tcBorders>
              <w:left w:val="single" w:sz="8" w:space="0" w:color="auto"/>
            </w:tcBorders>
            <w:vAlign w:val="center"/>
          </w:tcPr>
          <w:p w:rsidR="0073700B" w:rsidRDefault="001A2FFC">
            <w:pPr>
              <w:jc w:val="center"/>
              <w:rPr>
                <w:bCs/>
                <w:szCs w:val="21"/>
              </w:rPr>
            </w:pPr>
            <w:r>
              <w:rPr>
                <w:bCs/>
                <w:szCs w:val="21"/>
              </w:rPr>
              <w:t>非控制工期工程</w:t>
            </w:r>
          </w:p>
        </w:tc>
        <w:tc>
          <w:tcPr>
            <w:tcW w:w="1982" w:type="dxa"/>
            <w:vAlign w:val="center"/>
          </w:tcPr>
          <w:p w:rsidR="0073700B" w:rsidRDefault="001A2FFC">
            <w:pPr>
              <w:jc w:val="center"/>
              <w:rPr>
                <w:bCs/>
                <w:szCs w:val="21"/>
              </w:rPr>
            </w:pPr>
            <w:r>
              <w:rPr>
                <w:bCs/>
                <w:szCs w:val="21"/>
              </w:rPr>
              <w:t>绝对延误时间（月</w:t>
            </w:r>
            <w:r>
              <w:rPr>
                <w:bCs/>
                <w:szCs w:val="21"/>
              </w:rPr>
              <w:t>/</w:t>
            </w:r>
            <w:r>
              <w:rPr>
                <w:bCs/>
                <w:szCs w:val="21"/>
              </w:rPr>
              <w:t>单一事故）</w:t>
            </w:r>
          </w:p>
        </w:tc>
        <w:tc>
          <w:tcPr>
            <w:tcW w:w="1120" w:type="dxa"/>
            <w:vAlign w:val="center"/>
          </w:tcPr>
          <w:p w:rsidR="0073700B" w:rsidRDefault="001A2FFC">
            <w:pPr>
              <w:jc w:val="center"/>
              <w:rPr>
                <w:bCs/>
                <w:szCs w:val="21"/>
              </w:rPr>
            </w:pPr>
            <w:r>
              <w:rPr>
                <w:bCs/>
                <w:szCs w:val="21"/>
              </w:rPr>
              <w:t>&gt;24</w:t>
            </w:r>
          </w:p>
        </w:tc>
        <w:tc>
          <w:tcPr>
            <w:tcW w:w="1120" w:type="dxa"/>
            <w:vAlign w:val="center"/>
          </w:tcPr>
          <w:p w:rsidR="0073700B" w:rsidRDefault="001A2FFC">
            <w:pPr>
              <w:jc w:val="center"/>
              <w:rPr>
                <w:bCs/>
                <w:szCs w:val="21"/>
              </w:rPr>
            </w:pPr>
            <w:r>
              <w:rPr>
                <w:bCs/>
                <w:szCs w:val="21"/>
              </w:rPr>
              <w:t>12~24</w:t>
            </w:r>
          </w:p>
        </w:tc>
        <w:tc>
          <w:tcPr>
            <w:tcW w:w="1120" w:type="dxa"/>
            <w:vAlign w:val="center"/>
          </w:tcPr>
          <w:p w:rsidR="0073700B" w:rsidRDefault="001A2FFC">
            <w:pPr>
              <w:jc w:val="center"/>
              <w:rPr>
                <w:bCs/>
                <w:szCs w:val="21"/>
              </w:rPr>
            </w:pPr>
            <w:r>
              <w:rPr>
                <w:bCs/>
                <w:szCs w:val="21"/>
              </w:rPr>
              <w:t>6~12</w:t>
            </w:r>
          </w:p>
        </w:tc>
        <w:tc>
          <w:tcPr>
            <w:tcW w:w="1120" w:type="dxa"/>
            <w:vAlign w:val="center"/>
          </w:tcPr>
          <w:p w:rsidR="0073700B" w:rsidRDefault="001A2FFC">
            <w:pPr>
              <w:jc w:val="center"/>
              <w:rPr>
                <w:bCs/>
                <w:szCs w:val="21"/>
              </w:rPr>
            </w:pPr>
            <w:r>
              <w:rPr>
                <w:bCs/>
                <w:szCs w:val="21"/>
              </w:rPr>
              <w:t>1~6</w:t>
            </w:r>
          </w:p>
        </w:tc>
        <w:tc>
          <w:tcPr>
            <w:tcW w:w="1121" w:type="dxa"/>
            <w:tcBorders>
              <w:right w:val="single" w:sz="8" w:space="0" w:color="auto"/>
            </w:tcBorders>
            <w:vAlign w:val="center"/>
          </w:tcPr>
          <w:p w:rsidR="0073700B" w:rsidRDefault="001A2FFC">
            <w:pPr>
              <w:jc w:val="center"/>
              <w:rPr>
                <w:bCs/>
                <w:szCs w:val="21"/>
              </w:rPr>
            </w:pPr>
            <w:r>
              <w:rPr>
                <w:bCs/>
                <w:szCs w:val="21"/>
              </w:rPr>
              <w:t>≤1</w:t>
            </w:r>
          </w:p>
        </w:tc>
      </w:tr>
      <w:tr w:rsidR="0073700B">
        <w:tc>
          <w:tcPr>
            <w:tcW w:w="703" w:type="dxa"/>
            <w:vMerge/>
            <w:tcBorders>
              <w:left w:val="single" w:sz="8" w:space="0" w:color="auto"/>
              <w:bottom w:val="single" w:sz="8" w:space="0" w:color="auto"/>
            </w:tcBorders>
            <w:vAlign w:val="center"/>
          </w:tcPr>
          <w:p w:rsidR="0073700B" w:rsidRDefault="0073700B">
            <w:pPr>
              <w:jc w:val="center"/>
              <w:rPr>
                <w:bCs/>
                <w:szCs w:val="21"/>
              </w:rPr>
            </w:pPr>
          </w:p>
        </w:tc>
        <w:tc>
          <w:tcPr>
            <w:tcW w:w="1982" w:type="dxa"/>
            <w:tcBorders>
              <w:bottom w:val="single" w:sz="8" w:space="0" w:color="auto"/>
            </w:tcBorders>
            <w:vAlign w:val="center"/>
          </w:tcPr>
          <w:p w:rsidR="0073700B" w:rsidRDefault="001A2FFC">
            <w:pPr>
              <w:jc w:val="center"/>
              <w:rPr>
                <w:bCs/>
                <w:szCs w:val="21"/>
              </w:rPr>
            </w:pPr>
            <w:r>
              <w:rPr>
                <w:bCs/>
                <w:szCs w:val="21"/>
              </w:rPr>
              <w:t>相对延误时间（</w:t>
            </w:r>
            <w:r>
              <w:rPr>
                <w:bCs/>
                <w:szCs w:val="21"/>
              </w:rPr>
              <w:t>%</w:t>
            </w:r>
            <w:r>
              <w:rPr>
                <w:bCs/>
                <w:szCs w:val="21"/>
              </w:rPr>
              <w:t>）</w:t>
            </w:r>
          </w:p>
        </w:tc>
        <w:tc>
          <w:tcPr>
            <w:tcW w:w="1120" w:type="dxa"/>
            <w:tcBorders>
              <w:bottom w:val="single" w:sz="8" w:space="0" w:color="auto"/>
            </w:tcBorders>
            <w:vAlign w:val="center"/>
          </w:tcPr>
          <w:p w:rsidR="0073700B" w:rsidRDefault="001A2FFC">
            <w:pPr>
              <w:jc w:val="center"/>
              <w:rPr>
                <w:bCs/>
                <w:szCs w:val="21"/>
              </w:rPr>
            </w:pPr>
            <w:r>
              <w:rPr>
                <w:bCs/>
                <w:szCs w:val="21"/>
              </w:rPr>
              <w:t>&gt;100</w:t>
            </w:r>
          </w:p>
        </w:tc>
        <w:tc>
          <w:tcPr>
            <w:tcW w:w="1120" w:type="dxa"/>
            <w:tcBorders>
              <w:bottom w:val="single" w:sz="8" w:space="0" w:color="auto"/>
            </w:tcBorders>
            <w:vAlign w:val="center"/>
          </w:tcPr>
          <w:p w:rsidR="0073700B" w:rsidRDefault="001A2FFC">
            <w:pPr>
              <w:jc w:val="center"/>
              <w:rPr>
                <w:bCs/>
                <w:szCs w:val="21"/>
              </w:rPr>
            </w:pPr>
            <w:r>
              <w:rPr>
                <w:bCs/>
                <w:szCs w:val="21"/>
              </w:rPr>
              <w:t>50~100</w:t>
            </w:r>
          </w:p>
        </w:tc>
        <w:tc>
          <w:tcPr>
            <w:tcW w:w="1120" w:type="dxa"/>
            <w:tcBorders>
              <w:bottom w:val="single" w:sz="8" w:space="0" w:color="auto"/>
            </w:tcBorders>
            <w:vAlign w:val="center"/>
          </w:tcPr>
          <w:p w:rsidR="0073700B" w:rsidRDefault="001A2FFC">
            <w:pPr>
              <w:jc w:val="center"/>
              <w:rPr>
                <w:bCs/>
                <w:szCs w:val="21"/>
              </w:rPr>
            </w:pPr>
            <w:r>
              <w:rPr>
                <w:bCs/>
                <w:szCs w:val="21"/>
              </w:rPr>
              <w:t>25~50</w:t>
            </w:r>
          </w:p>
        </w:tc>
        <w:tc>
          <w:tcPr>
            <w:tcW w:w="1120" w:type="dxa"/>
            <w:tcBorders>
              <w:bottom w:val="single" w:sz="8" w:space="0" w:color="auto"/>
            </w:tcBorders>
            <w:vAlign w:val="center"/>
          </w:tcPr>
          <w:p w:rsidR="0073700B" w:rsidRDefault="001A2FFC">
            <w:pPr>
              <w:jc w:val="center"/>
              <w:rPr>
                <w:bCs/>
                <w:szCs w:val="21"/>
              </w:rPr>
            </w:pPr>
            <w:r>
              <w:rPr>
                <w:bCs/>
                <w:szCs w:val="21"/>
              </w:rPr>
              <w:t>10~25</w:t>
            </w:r>
          </w:p>
        </w:tc>
        <w:tc>
          <w:tcPr>
            <w:tcW w:w="1121" w:type="dxa"/>
            <w:tcBorders>
              <w:bottom w:val="single" w:sz="8" w:space="0" w:color="auto"/>
              <w:right w:val="single" w:sz="8" w:space="0" w:color="auto"/>
            </w:tcBorders>
            <w:vAlign w:val="center"/>
          </w:tcPr>
          <w:p w:rsidR="0073700B" w:rsidRDefault="001A2FFC">
            <w:pPr>
              <w:jc w:val="center"/>
              <w:rPr>
                <w:bCs/>
                <w:szCs w:val="21"/>
              </w:rPr>
            </w:pPr>
            <w:r>
              <w:rPr>
                <w:bCs/>
                <w:szCs w:val="21"/>
              </w:rPr>
              <w:t>≤10</w:t>
            </w:r>
          </w:p>
        </w:tc>
      </w:tr>
    </w:tbl>
    <w:p w:rsidR="0073700B" w:rsidRDefault="0073700B" w:rsidP="00F80BAC">
      <w:pPr>
        <w:spacing w:beforeLines="50" w:before="156" w:line="360" w:lineRule="auto"/>
        <w:jc w:val="center"/>
        <w:rPr>
          <w:rFonts w:ascii="黑体" w:eastAsia="黑体" w:hAnsi="黑体"/>
          <w:b/>
          <w:sz w:val="24"/>
          <w:szCs w:val="24"/>
        </w:rPr>
      </w:pPr>
    </w:p>
    <w:p w:rsidR="0073700B" w:rsidRDefault="001A2FFC" w:rsidP="00F80BAC">
      <w:pPr>
        <w:spacing w:beforeLines="50" w:before="156" w:line="360" w:lineRule="auto"/>
        <w:jc w:val="center"/>
        <w:rPr>
          <w:rFonts w:ascii="黑体" w:eastAsia="黑体" w:hAnsi="黑体"/>
          <w:bCs/>
          <w:sz w:val="24"/>
          <w:szCs w:val="24"/>
        </w:rPr>
      </w:pPr>
      <w:r>
        <w:rPr>
          <w:rFonts w:ascii="黑体" w:eastAsia="黑体" w:hAnsi="黑体"/>
          <w:bCs/>
          <w:sz w:val="24"/>
          <w:szCs w:val="24"/>
        </w:rPr>
        <w:lastRenderedPageBreak/>
        <w:t>表</w:t>
      </w:r>
      <w:r>
        <w:rPr>
          <w:rFonts w:ascii="黑体" w:eastAsia="黑体" w:hAnsi="黑体"/>
          <w:bCs/>
          <w:sz w:val="24"/>
          <w:szCs w:val="24"/>
        </w:rPr>
        <w:fldChar w:fldCharType="begin"/>
      </w:r>
      <w:r>
        <w:rPr>
          <w:rFonts w:ascii="黑体" w:eastAsia="黑体" w:hAnsi="黑体"/>
          <w:bCs/>
          <w:sz w:val="24"/>
          <w:szCs w:val="24"/>
        </w:rPr>
        <w:instrText xml:space="preserve"> STYLEREF 3 \s </w:instrText>
      </w:r>
      <w:r>
        <w:rPr>
          <w:rFonts w:ascii="黑体" w:eastAsia="黑体" w:hAnsi="黑体"/>
          <w:bCs/>
          <w:sz w:val="24"/>
          <w:szCs w:val="24"/>
        </w:rPr>
        <w:fldChar w:fldCharType="separate"/>
      </w:r>
      <w:r>
        <w:rPr>
          <w:rFonts w:ascii="黑体" w:eastAsia="黑体" w:hAnsi="黑体"/>
          <w:bCs/>
          <w:sz w:val="24"/>
          <w:szCs w:val="24"/>
        </w:rPr>
        <w:t>6</w:t>
      </w:r>
      <w:r>
        <w:rPr>
          <w:rFonts w:ascii="黑体" w:eastAsia="黑体" w:hAnsi="黑体"/>
          <w:bCs/>
          <w:sz w:val="24"/>
          <w:szCs w:val="24"/>
        </w:rPr>
        <w:fldChar w:fldCharType="end"/>
      </w:r>
      <w:r>
        <w:rPr>
          <w:rFonts w:ascii="黑体" w:eastAsia="黑体" w:hAnsi="黑体"/>
          <w:bCs/>
          <w:sz w:val="24"/>
          <w:szCs w:val="24"/>
        </w:rPr>
        <w:noBreakHyphen/>
      </w:r>
      <w:r>
        <w:rPr>
          <w:rFonts w:ascii="黑体" w:eastAsia="黑体" w:hAnsi="黑体"/>
          <w:bCs/>
          <w:sz w:val="24"/>
          <w:szCs w:val="24"/>
        </w:rPr>
        <w:fldChar w:fldCharType="begin"/>
      </w:r>
      <w:r>
        <w:rPr>
          <w:rFonts w:ascii="黑体" w:eastAsia="黑体" w:hAnsi="黑体"/>
          <w:bCs/>
          <w:sz w:val="24"/>
          <w:szCs w:val="24"/>
        </w:rPr>
        <w:instrText xml:space="preserve"> SEQ </w:instrText>
      </w:r>
      <w:r>
        <w:rPr>
          <w:rFonts w:ascii="黑体" w:eastAsia="黑体" w:hAnsi="黑体"/>
          <w:bCs/>
          <w:sz w:val="24"/>
          <w:szCs w:val="24"/>
        </w:rPr>
        <w:instrText>表</w:instrText>
      </w:r>
      <w:r>
        <w:rPr>
          <w:rFonts w:ascii="黑体" w:eastAsia="黑体" w:hAnsi="黑体"/>
          <w:bCs/>
          <w:sz w:val="24"/>
          <w:szCs w:val="24"/>
        </w:rPr>
        <w:instrText xml:space="preserve"> \* ARABIC \s 3 </w:instrText>
      </w:r>
      <w:r>
        <w:rPr>
          <w:rFonts w:ascii="黑体" w:eastAsia="黑体" w:hAnsi="黑体"/>
          <w:bCs/>
          <w:sz w:val="24"/>
          <w:szCs w:val="24"/>
        </w:rPr>
        <w:fldChar w:fldCharType="separate"/>
      </w:r>
      <w:r>
        <w:rPr>
          <w:rFonts w:ascii="黑体" w:eastAsia="黑体" w:hAnsi="黑体"/>
          <w:bCs/>
          <w:sz w:val="24"/>
          <w:szCs w:val="24"/>
        </w:rPr>
        <w:t>16</w:t>
      </w:r>
      <w:r>
        <w:rPr>
          <w:rFonts w:ascii="黑体" w:eastAsia="黑体" w:hAnsi="黑体"/>
          <w:bCs/>
          <w:sz w:val="24"/>
          <w:szCs w:val="24"/>
        </w:rPr>
        <w:fldChar w:fldCharType="end"/>
      </w:r>
      <w:r>
        <w:rPr>
          <w:rFonts w:ascii="黑体" w:eastAsia="黑体" w:hAnsi="黑体"/>
          <w:bCs/>
          <w:sz w:val="24"/>
          <w:szCs w:val="24"/>
        </w:rPr>
        <w:t xml:space="preserve">  </w:t>
      </w:r>
      <w:r>
        <w:rPr>
          <w:rFonts w:ascii="黑体" w:eastAsia="黑体" w:hAnsi="黑体"/>
          <w:bCs/>
          <w:sz w:val="24"/>
          <w:szCs w:val="24"/>
        </w:rPr>
        <w:t>《</w:t>
      </w:r>
      <w:r>
        <w:rPr>
          <w:rFonts w:ascii="黑体" w:eastAsia="黑体" w:hAnsi="黑体"/>
          <w:bCs/>
          <w:sz w:val="24"/>
          <w:szCs w:val="24"/>
        </w:rPr>
        <w:t>GB50652-2011</w:t>
      </w:r>
      <w:bookmarkStart w:id="53" w:name="_Hlk29147908"/>
      <w:r>
        <w:rPr>
          <w:rFonts w:ascii="黑体" w:eastAsia="黑体" w:hAnsi="黑体"/>
          <w:bCs/>
          <w:sz w:val="24"/>
          <w:szCs w:val="24"/>
        </w:rPr>
        <w:t>城市轨道交通地下工程建设风险管理规范</w:t>
      </w:r>
      <w:bookmarkEnd w:id="53"/>
      <w:r>
        <w:rPr>
          <w:rFonts w:ascii="黑体" w:eastAsia="黑体" w:hAnsi="黑体"/>
          <w:bCs/>
          <w:sz w:val="24"/>
          <w:szCs w:val="24"/>
        </w:rPr>
        <w:t>》</w:t>
      </w:r>
      <w:r>
        <w:rPr>
          <w:rFonts w:ascii="黑体" w:eastAsia="黑体" w:hAnsi="黑体"/>
          <w:bCs/>
          <w:sz w:val="24"/>
          <w:szCs w:val="24"/>
        </w:rPr>
        <w:fldChar w:fldCharType="begin"/>
      </w:r>
      <w:r>
        <w:rPr>
          <w:rFonts w:ascii="黑体" w:eastAsia="黑体" w:hAnsi="黑体"/>
          <w:bCs/>
          <w:sz w:val="24"/>
          <w:szCs w:val="24"/>
        </w:rPr>
        <w:instrText xml:space="preserve"> ADDIN NE.Ref.{301FC39C-46A8-4536-810F-B4E447556EFA}</w:instrText>
      </w:r>
      <w:r>
        <w:rPr>
          <w:rFonts w:ascii="黑体" w:eastAsia="黑体" w:hAnsi="黑体"/>
          <w:bCs/>
          <w:sz w:val="24"/>
          <w:szCs w:val="24"/>
        </w:rPr>
        <w:fldChar w:fldCharType="separate"/>
      </w:r>
      <w:r>
        <w:rPr>
          <w:rFonts w:ascii="黑体" w:eastAsia="黑体" w:hAnsi="黑体"/>
          <w:bCs/>
          <w:color w:val="080000"/>
          <w:kern w:val="0"/>
          <w:sz w:val="24"/>
          <w:szCs w:val="24"/>
          <w:vertAlign w:val="superscript"/>
        </w:rPr>
        <w:t>[27]</w:t>
      </w:r>
      <w:r>
        <w:rPr>
          <w:rFonts w:ascii="黑体" w:eastAsia="黑体" w:hAnsi="黑体"/>
          <w:bCs/>
          <w:sz w:val="24"/>
          <w:szCs w:val="24"/>
        </w:rPr>
        <w:fldChar w:fldCharType="end"/>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79"/>
        <w:gridCol w:w="1380"/>
        <w:gridCol w:w="1382"/>
        <w:gridCol w:w="1382"/>
        <w:gridCol w:w="1382"/>
        <w:gridCol w:w="1381"/>
      </w:tblGrid>
      <w:tr w:rsidR="0073700B">
        <w:tc>
          <w:tcPr>
            <w:tcW w:w="1379" w:type="dxa"/>
            <w:tcBorders>
              <w:top w:val="single" w:sz="8" w:space="0" w:color="auto"/>
              <w:bottom w:val="single" w:sz="8" w:space="0" w:color="auto"/>
            </w:tcBorders>
            <w:vAlign w:val="center"/>
          </w:tcPr>
          <w:p w:rsidR="0073700B" w:rsidRDefault="001A2FFC">
            <w:pPr>
              <w:jc w:val="center"/>
              <w:rPr>
                <w:bCs/>
                <w:szCs w:val="21"/>
              </w:rPr>
            </w:pPr>
            <w:r>
              <w:rPr>
                <w:bCs/>
                <w:szCs w:val="21"/>
              </w:rPr>
              <w:t>等级</w:t>
            </w:r>
          </w:p>
        </w:tc>
        <w:tc>
          <w:tcPr>
            <w:tcW w:w="1380" w:type="dxa"/>
            <w:tcBorders>
              <w:top w:val="single" w:sz="8" w:space="0" w:color="auto"/>
              <w:bottom w:val="single" w:sz="8" w:space="0" w:color="auto"/>
            </w:tcBorders>
            <w:vAlign w:val="center"/>
          </w:tcPr>
          <w:p w:rsidR="0073700B" w:rsidRDefault="001A2FFC">
            <w:pPr>
              <w:jc w:val="center"/>
              <w:rPr>
                <w:bCs/>
                <w:szCs w:val="21"/>
              </w:rPr>
            </w:pPr>
            <w:r>
              <w:rPr>
                <w:bCs/>
                <w:szCs w:val="21"/>
              </w:rPr>
              <w:t>1</w:t>
            </w:r>
          </w:p>
        </w:tc>
        <w:tc>
          <w:tcPr>
            <w:tcW w:w="1382" w:type="dxa"/>
            <w:tcBorders>
              <w:top w:val="single" w:sz="8" w:space="0" w:color="auto"/>
              <w:bottom w:val="single" w:sz="8" w:space="0" w:color="auto"/>
            </w:tcBorders>
            <w:vAlign w:val="center"/>
          </w:tcPr>
          <w:p w:rsidR="0073700B" w:rsidRDefault="001A2FFC">
            <w:pPr>
              <w:jc w:val="center"/>
              <w:rPr>
                <w:bCs/>
                <w:szCs w:val="21"/>
              </w:rPr>
            </w:pPr>
            <w:r>
              <w:rPr>
                <w:bCs/>
                <w:szCs w:val="21"/>
              </w:rPr>
              <w:t>2</w:t>
            </w:r>
          </w:p>
        </w:tc>
        <w:tc>
          <w:tcPr>
            <w:tcW w:w="1382" w:type="dxa"/>
            <w:tcBorders>
              <w:top w:val="single" w:sz="8" w:space="0" w:color="auto"/>
              <w:bottom w:val="single" w:sz="8" w:space="0" w:color="auto"/>
            </w:tcBorders>
            <w:vAlign w:val="center"/>
          </w:tcPr>
          <w:p w:rsidR="0073700B" w:rsidRDefault="001A2FFC">
            <w:pPr>
              <w:jc w:val="center"/>
              <w:rPr>
                <w:bCs/>
                <w:szCs w:val="21"/>
              </w:rPr>
            </w:pPr>
            <w:r>
              <w:rPr>
                <w:bCs/>
                <w:szCs w:val="21"/>
              </w:rPr>
              <w:t>3</w:t>
            </w:r>
          </w:p>
        </w:tc>
        <w:tc>
          <w:tcPr>
            <w:tcW w:w="1382" w:type="dxa"/>
            <w:tcBorders>
              <w:top w:val="single" w:sz="8" w:space="0" w:color="auto"/>
              <w:bottom w:val="single" w:sz="8" w:space="0" w:color="auto"/>
            </w:tcBorders>
            <w:vAlign w:val="center"/>
          </w:tcPr>
          <w:p w:rsidR="0073700B" w:rsidRDefault="001A2FFC">
            <w:pPr>
              <w:jc w:val="center"/>
              <w:rPr>
                <w:bCs/>
                <w:szCs w:val="21"/>
              </w:rPr>
            </w:pPr>
            <w:r>
              <w:rPr>
                <w:bCs/>
                <w:szCs w:val="21"/>
              </w:rPr>
              <w:t>4</w:t>
            </w:r>
          </w:p>
        </w:tc>
        <w:tc>
          <w:tcPr>
            <w:tcW w:w="1381" w:type="dxa"/>
            <w:tcBorders>
              <w:top w:val="single" w:sz="8" w:space="0" w:color="auto"/>
              <w:bottom w:val="single" w:sz="8" w:space="0" w:color="auto"/>
            </w:tcBorders>
            <w:vAlign w:val="center"/>
          </w:tcPr>
          <w:p w:rsidR="0073700B" w:rsidRDefault="001A2FFC">
            <w:pPr>
              <w:jc w:val="center"/>
              <w:rPr>
                <w:bCs/>
                <w:szCs w:val="21"/>
              </w:rPr>
            </w:pPr>
            <w:r>
              <w:rPr>
                <w:bCs/>
                <w:szCs w:val="21"/>
              </w:rPr>
              <w:t>5</w:t>
            </w:r>
          </w:p>
        </w:tc>
      </w:tr>
      <w:tr w:rsidR="0073700B">
        <w:tc>
          <w:tcPr>
            <w:tcW w:w="1379" w:type="dxa"/>
            <w:tcBorders>
              <w:top w:val="single" w:sz="8" w:space="0" w:color="auto"/>
            </w:tcBorders>
            <w:vAlign w:val="center"/>
          </w:tcPr>
          <w:p w:rsidR="0073700B" w:rsidRDefault="001A2FFC">
            <w:pPr>
              <w:jc w:val="center"/>
              <w:rPr>
                <w:bCs/>
                <w:szCs w:val="21"/>
              </w:rPr>
            </w:pPr>
            <w:r>
              <w:rPr>
                <w:bCs/>
                <w:szCs w:val="21"/>
              </w:rPr>
              <w:t>长期工程</w:t>
            </w:r>
          </w:p>
        </w:tc>
        <w:tc>
          <w:tcPr>
            <w:tcW w:w="1380" w:type="dxa"/>
            <w:tcBorders>
              <w:top w:val="single" w:sz="8" w:space="0" w:color="auto"/>
            </w:tcBorders>
            <w:vAlign w:val="center"/>
          </w:tcPr>
          <w:p w:rsidR="0073700B" w:rsidRDefault="001A2FFC">
            <w:pPr>
              <w:jc w:val="center"/>
              <w:rPr>
                <w:bCs/>
                <w:szCs w:val="21"/>
              </w:rPr>
            </w:pPr>
            <w:r>
              <w:rPr>
                <w:bCs/>
                <w:szCs w:val="21"/>
              </w:rPr>
              <w:t>延误大于</w:t>
            </w:r>
            <w:r>
              <w:rPr>
                <w:bCs/>
                <w:szCs w:val="21"/>
              </w:rPr>
              <w:t>9</w:t>
            </w:r>
            <w:r>
              <w:rPr>
                <w:bCs/>
                <w:szCs w:val="21"/>
              </w:rPr>
              <w:t>个月</w:t>
            </w:r>
          </w:p>
        </w:tc>
        <w:tc>
          <w:tcPr>
            <w:tcW w:w="1382" w:type="dxa"/>
            <w:tcBorders>
              <w:top w:val="single" w:sz="8" w:space="0" w:color="auto"/>
            </w:tcBorders>
            <w:vAlign w:val="center"/>
          </w:tcPr>
          <w:p w:rsidR="0073700B" w:rsidRDefault="001A2FFC">
            <w:pPr>
              <w:jc w:val="center"/>
              <w:rPr>
                <w:bCs/>
                <w:szCs w:val="21"/>
              </w:rPr>
            </w:pPr>
            <w:r>
              <w:rPr>
                <w:bCs/>
                <w:szCs w:val="21"/>
              </w:rPr>
              <w:t>延误</w:t>
            </w:r>
            <w:r>
              <w:rPr>
                <w:bCs/>
                <w:szCs w:val="21"/>
              </w:rPr>
              <w:t>6</w:t>
            </w:r>
            <w:r>
              <w:rPr>
                <w:bCs/>
                <w:szCs w:val="21"/>
              </w:rPr>
              <w:t>个月</w:t>
            </w:r>
            <w:r>
              <w:rPr>
                <w:bCs/>
                <w:szCs w:val="21"/>
              </w:rPr>
              <w:t>~9</w:t>
            </w:r>
            <w:r>
              <w:rPr>
                <w:bCs/>
                <w:szCs w:val="21"/>
              </w:rPr>
              <w:t>个月</w:t>
            </w:r>
          </w:p>
        </w:tc>
        <w:tc>
          <w:tcPr>
            <w:tcW w:w="1382" w:type="dxa"/>
            <w:tcBorders>
              <w:top w:val="single" w:sz="8" w:space="0" w:color="auto"/>
            </w:tcBorders>
            <w:vAlign w:val="center"/>
          </w:tcPr>
          <w:p w:rsidR="0073700B" w:rsidRDefault="001A2FFC">
            <w:pPr>
              <w:jc w:val="center"/>
              <w:rPr>
                <w:bCs/>
                <w:szCs w:val="21"/>
              </w:rPr>
            </w:pPr>
            <w:r>
              <w:rPr>
                <w:bCs/>
                <w:szCs w:val="21"/>
              </w:rPr>
              <w:t>延误</w:t>
            </w:r>
            <w:r>
              <w:rPr>
                <w:bCs/>
                <w:szCs w:val="21"/>
              </w:rPr>
              <w:t>3</w:t>
            </w:r>
            <w:r>
              <w:rPr>
                <w:bCs/>
                <w:szCs w:val="21"/>
              </w:rPr>
              <w:t>个月</w:t>
            </w:r>
            <w:r>
              <w:rPr>
                <w:bCs/>
                <w:szCs w:val="21"/>
              </w:rPr>
              <w:t>~6</w:t>
            </w:r>
            <w:r>
              <w:rPr>
                <w:bCs/>
                <w:szCs w:val="21"/>
              </w:rPr>
              <w:t>个月</w:t>
            </w:r>
          </w:p>
        </w:tc>
        <w:tc>
          <w:tcPr>
            <w:tcW w:w="1382" w:type="dxa"/>
            <w:tcBorders>
              <w:top w:val="single" w:sz="8" w:space="0" w:color="auto"/>
            </w:tcBorders>
            <w:vAlign w:val="center"/>
          </w:tcPr>
          <w:p w:rsidR="0073700B" w:rsidRDefault="001A2FFC">
            <w:pPr>
              <w:jc w:val="center"/>
              <w:rPr>
                <w:bCs/>
                <w:szCs w:val="21"/>
              </w:rPr>
            </w:pPr>
            <w:r>
              <w:rPr>
                <w:bCs/>
                <w:szCs w:val="21"/>
              </w:rPr>
              <w:t>延误</w:t>
            </w:r>
            <w:r>
              <w:rPr>
                <w:bCs/>
                <w:szCs w:val="21"/>
              </w:rPr>
              <w:t>1</w:t>
            </w:r>
            <w:r>
              <w:rPr>
                <w:bCs/>
                <w:szCs w:val="21"/>
              </w:rPr>
              <w:t>个月</w:t>
            </w:r>
            <w:r>
              <w:rPr>
                <w:bCs/>
                <w:szCs w:val="21"/>
              </w:rPr>
              <w:t>~3</w:t>
            </w:r>
            <w:r>
              <w:rPr>
                <w:bCs/>
                <w:szCs w:val="21"/>
              </w:rPr>
              <w:t>个月</w:t>
            </w:r>
          </w:p>
        </w:tc>
        <w:tc>
          <w:tcPr>
            <w:tcW w:w="1381" w:type="dxa"/>
            <w:tcBorders>
              <w:top w:val="single" w:sz="8" w:space="0" w:color="auto"/>
            </w:tcBorders>
            <w:vAlign w:val="center"/>
          </w:tcPr>
          <w:p w:rsidR="0073700B" w:rsidRDefault="001A2FFC">
            <w:pPr>
              <w:jc w:val="center"/>
              <w:rPr>
                <w:bCs/>
                <w:szCs w:val="21"/>
              </w:rPr>
            </w:pPr>
            <w:r>
              <w:rPr>
                <w:bCs/>
                <w:szCs w:val="21"/>
              </w:rPr>
              <w:t>延误少于</w:t>
            </w:r>
            <w:r>
              <w:rPr>
                <w:bCs/>
                <w:szCs w:val="21"/>
              </w:rPr>
              <w:t>1</w:t>
            </w:r>
            <w:r>
              <w:rPr>
                <w:bCs/>
                <w:szCs w:val="21"/>
              </w:rPr>
              <w:t>个月</w:t>
            </w:r>
          </w:p>
        </w:tc>
      </w:tr>
      <w:tr w:rsidR="0073700B">
        <w:tc>
          <w:tcPr>
            <w:tcW w:w="1379" w:type="dxa"/>
            <w:vAlign w:val="center"/>
          </w:tcPr>
          <w:p w:rsidR="0073700B" w:rsidRDefault="001A2FFC">
            <w:pPr>
              <w:jc w:val="center"/>
              <w:rPr>
                <w:bCs/>
                <w:szCs w:val="21"/>
              </w:rPr>
            </w:pPr>
            <w:r>
              <w:rPr>
                <w:bCs/>
                <w:szCs w:val="21"/>
              </w:rPr>
              <w:t>短期工程</w:t>
            </w:r>
          </w:p>
        </w:tc>
        <w:tc>
          <w:tcPr>
            <w:tcW w:w="1380" w:type="dxa"/>
            <w:vAlign w:val="center"/>
          </w:tcPr>
          <w:p w:rsidR="0073700B" w:rsidRDefault="001A2FFC">
            <w:pPr>
              <w:jc w:val="center"/>
              <w:rPr>
                <w:bCs/>
                <w:szCs w:val="21"/>
              </w:rPr>
            </w:pPr>
            <w:r>
              <w:rPr>
                <w:bCs/>
                <w:szCs w:val="21"/>
              </w:rPr>
              <w:t>延误大于</w:t>
            </w:r>
            <w:r>
              <w:rPr>
                <w:bCs/>
                <w:szCs w:val="21"/>
              </w:rPr>
              <w:t>90d</w:t>
            </w:r>
          </w:p>
        </w:tc>
        <w:tc>
          <w:tcPr>
            <w:tcW w:w="1382" w:type="dxa"/>
            <w:vAlign w:val="center"/>
          </w:tcPr>
          <w:p w:rsidR="0073700B" w:rsidRDefault="001A2FFC">
            <w:pPr>
              <w:jc w:val="center"/>
              <w:rPr>
                <w:bCs/>
                <w:szCs w:val="21"/>
              </w:rPr>
            </w:pPr>
            <w:r>
              <w:rPr>
                <w:bCs/>
                <w:szCs w:val="21"/>
              </w:rPr>
              <w:t>延误大于</w:t>
            </w:r>
            <w:r>
              <w:rPr>
                <w:bCs/>
                <w:szCs w:val="21"/>
              </w:rPr>
              <w:t>60d~90d</w:t>
            </w:r>
          </w:p>
        </w:tc>
        <w:tc>
          <w:tcPr>
            <w:tcW w:w="1382" w:type="dxa"/>
            <w:vAlign w:val="center"/>
          </w:tcPr>
          <w:p w:rsidR="0073700B" w:rsidRDefault="001A2FFC">
            <w:pPr>
              <w:jc w:val="center"/>
              <w:rPr>
                <w:bCs/>
                <w:szCs w:val="21"/>
              </w:rPr>
            </w:pPr>
            <w:r>
              <w:rPr>
                <w:bCs/>
                <w:szCs w:val="21"/>
              </w:rPr>
              <w:t>延误</w:t>
            </w:r>
            <w:r>
              <w:rPr>
                <w:bCs/>
                <w:szCs w:val="21"/>
              </w:rPr>
              <w:t>30d~60d</w:t>
            </w:r>
          </w:p>
        </w:tc>
        <w:tc>
          <w:tcPr>
            <w:tcW w:w="1382" w:type="dxa"/>
            <w:vAlign w:val="center"/>
          </w:tcPr>
          <w:p w:rsidR="0073700B" w:rsidRDefault="001A2FFC">
            <w:pPr>
              <w:jc w:val="center"/>
              <w:rPr>
                <w:bCs/>
                <w:szCs w:val="21"/>
              </w:rPr>
            </w:pPr>
            <w:r>
              <w:rPr>
                <w:bCs/>
                <w:szCs w:val="21"/>
              </w:rPr>
              <w:t>延误</w:t>
            </w:r>
            <w:r>
              <w:rPr>
                <w:bCs/>
                <w:szCs w:val="21"/>
              </w:rPr>
              <w:t>10d~30d</w:t>
            </w:r>
          </w:p>
        </w:tc>
        <w:tc>
          <w:tcPr>
            <w:tcW w:w="1381" w:type="dxa"/>
            <w:vAlign w:val="center"/>
          </w:tcPr>
          <w:p w:rsidR="0073700B" w:rsidRDefault="001A2FFC">
            <w:pPr>
              <w:jc w:val="center"/>
              <w:rPr>
                <w:bCs/>
                <w:szCs w:val="21"/>
              </w:rPr>
            </w:pPr>
            <w:r>
              <w:rPr>
                <w:bCs/>
                <w:szCs w:val="21"/>
              </w:rPr>
              <w:t>延误少于</w:t>
            </w:r>
            <w:r>
              <w:rPr>
                <w:bCs/>
                <w:szCs w:val="21"/>
              </w:rPr>
              <w:t>10d</w:t>
            </w:r>
          </w:p>
        </w:tc>
      </w:tr>
    </w:tbl>
    <w:p w:rsidR="0073700B" w:rsidRDefault="001A2FFC">
      <w:pPr>
        <w:spacing w:line="360" w:lineRule="auto"/>
        <w:jc w:val="center"/>
        <w:rPr>
          <w:rFonts w:ascii="黑体" w:eastAsia="黑体" w:hAnsi="黑体"/>
          <w:bCs/>
          <w:sz w:val="24"/>
          <w:szCs w:val="24"/>
        </w:rPr>
      </w:pPr>
      <w:r>
        <w:rPr>
          <w:rFonts w:ascii="黑体" w:eastAsia="黑体" w:hAnsi="黑体"/>
          <w:bCs/>
          <w:sz w:val="24"/>
          <w:szCs w:val="24"/>
        </w:rPr>
        <w:t>表</w:t>
      </w:r>
      <w:r>
        <w:rPr>
          <w:rFonts w:ascii="黑体" w:eastAsia="黑体" w:hAnsi="黑体"/>
          <w:bCs/>
          <w:sz w:val="24"/>
          <w:szCs w:val="24"/>
        </w:rPr>
        <w:fldChar w:fldCharType="begin"/>
      </w:r>
      <w:r>
        <w:rPr>
          <w:rFonts w:ascii="黑体" w:eastAsia="黑体" w:hAnsi="黑体"/>
          <w:bCs/>
          <w:sz w:val="24"/>
          <w:szCs w:val="24"/>
        </w:rPr>
        <w:instrText xml:space="preserve"> STYLEREF 3 \s </w:instrText>
      </w:r>
      <w:r>
        <w:rPr>
          <w:rFonts w:ascii="黑体" w:eastAsia="黑体" w:hAnsi="黑体"/>
          <w:bCs/>
          <w:sz w:val="24"/>
          <w:szCs w:val="24"/>
        </w:rPr>
        <w:fldChar w:fldCharType="separate"/>
      </w:r>
      <w:r>
        <w:rPr>
          <w:rFonts w:ascii="黑体" w:eastAsia="黑体" w:hAnsi="黑体"/>
          <w:bCs/>
          <w:sz w:val="24"/>
          <w:szCs w:val="24"/>
        </w:rPr>
        <w:t>6</w:t>
      </w:r>
      <w:r>
        <w:rPr>
          <w:rFonts w:ascii="黑体" w:eastAsia="黑体" w:hAnsi="黑体"/>
          <w:bCs/>
          <w:sz w:val="24"/>
          <w:szCs w:val="24"/>
        </w:rPr>
        <w:fldChar w:fldCharType="end"/>
      </w:r>
      <w:r>
        <w:rPr>
          <w:rFonts w:ascii="黑体" w:eastAsia="黑体" w:hAnsi="黑体"/>
          <w:bCs/>
          <w:sz w:val="24"/>
          <w:szCs w:val="24"/>
        </w:rPr>
        <w:noBreakHyphen/>
      </w:r>
      <w:r>
        <w:rPr>
          <w:rFonts w:ascii="黑体" w:eastAsia="黑体" w:hAnsi="黑体"/>
          <w:bCs/>
          <w:sz w:val="24"/>
          <w:szCs w:val="24"/>
        </w:rPr>
        <w:fldChar w:fldCharType="begin"/>
      </w:r>
      <w:r>
        <w:rPr>
          <w:rFonts w:ascii="黑体" w:eastAsia="黑体" w:hAnsi="黑体"/>
          <w:bCs/>
          <w:sz w:val="24"/>
          <w:szCs w:val="24"/>
        </w:rPr>
        <w:instrText xml:space="preserve"> SEQ </w:instrText>
      </w:r>
      <w:r>
        <w:rPr>
          <w:rFonts w:ascii="黑体" w:eastAsia="黑体" w:hAnsi="黑体"/>
          <w:bCs/>
          <w:sz w:val="24"/>
          <w:szCs w:val="24"/>
        </w:rPr>
        <w:instrText>表</w:instrText>
      </w:r>
      <w:r>
        <w:rPr>
          <w:rFonts w:ascii="黑体" w:eastAsia="黑体" w:hAnsi="黑体"/>
          <w:bCs/>
          <w:sz w:val="24"/>
          <w:szCs w:val="24"/>
        </w:rPr>
        <w:instrText xml:space="preserve"> \* ARABIC \s 3 </w:instrText>
      </w:r>
      <w:r>
        <w:rPr>
          <w:rFonts w:ascii="黑体" w:eastAsia="黑体" w:hAnsi="黑体"/>
          <w:bCs/>
          <w:sz w:val="24"/>
          <w:szCs w:val="24"/>
        </w:rPr>
        <w:fldChar w:fldCharType="separate"/>
      </w:r>
      <w:r>
        <w:rPr>
          <w:rFonts w:ascii="黑体" w:eastAsia="黑体" w:hAnsi="黑体"/>
          <w:bCs/>
          <w:sz w:val="24"/>
          <w:szCs w:val="24"/>
        </w:rPr>
        <w:t>17</w:t>
      </w:r>
      <w:r>
        <w:rPr>
          <w:rFonts w:ascii="黑体" w:eastAsia="黑体" w:hAnsi="黑体"/>
          <w:bCs/>
          <w:sz w:val="24"/>
          <w:szCs w:val="24"/>
        </w:rPr>
        <w:fldChar w:fldCharType="end"/>
      </w:r>
      <w:r>
        <w:rPr>
          <w:rFonts w:ascii="黑体" w:eastAsia="黑体" w:hAnsi="黑体"/>
          <w:bCs/>
          <w:sz w:val="24"/>
          <w:szCs w:val="24"/>
        </w:rPr>
        <w:t xml:space="preserve">  </w:t>
      </w:r>
      <w:r>
        <w:rPr>
          <w:rFonts w:ascii="黑体" w:eastAsia="黑体" w:hAnsi="黑体"/>
          <w:bCs/>
          <w:sz w:val="24"/>
          <w:szCs w:val="24"/>
        </w:rPr>
        <w:t>国际隧协：</w:t>
      </w:r>
      <w:r>
        <w:rPr>
          <w:rFonts w:ascii="黑体" w:eastAsia="黑体" w:hAnsi="黑体"/>
          <w:bCs/>
          <w:sz w:val="24"/>
          <w:szCs w:val="24"/>
        </w:rPr>
        <w:t>Guidelines for tunnelling risk management</w:t>
      </w:r>
      <w:r>
        <w:rPr>
          <w:rFonts w:ascii="黑体" w:eastAsia="黑体" w:hAnsi="黑体"/>
          <w:bCs/>
          <w:sz w:val="24"/>
          <w:szCs w:val="24"/>
        </w:rPr>
        <w:fldChar w:fldCharType="begin"/>
      </w:r>
      <w:r>
        <w:rPr>
          <w:rFonts w:ascii="黑体" w:eastAsia="黑体" w:hAnsi="黑体"/>
          <w:bCs/>
          <w:sz w:val="24"/>
          <w:szCs w:val="24"/>
        </w:rPr>
        <w:instrText xml:space="preserve"> ADDIN NE.Ref.{74259859-CE0E-4A73-AC79-71F09DD78743}</w:instrText>
      </w:r>
      <w:r>
        <w:rPr>
          <w:rFonts w:ascii="黑体" w:eastAsia="黑体" w:hAnsi="黑体"/>
          <w:bCs/>
          <w:sz w:val="24"/>
          <w:szCs w:val="24"/>
        </w:rPr>
        <w:fldChar w:fldCharType="separate"/>
      </w:r>
      <w:r>
        <w:rPr>
          <w:rFonts w:ascii="黑体" w:eastAsia="黑体" w:hAnsi="黑体"/>
          <w:bCs/>
          <w:color w:val="080000"/>
          <w:kern w:val="0"/>
          <w:sz w:val="24"/>
          <w:szCs w:val="24"/>
          <w:vertAlign w:val="superscript"/>
        </w:rPr>
        <w:t>[18]</w:t>
      </w:r>
      <w:r>
        <w:rPr>
          <w:rFonts w:ascii="黑体" w:eastAsia="黑体" w:hAnsi="黑体"/>
          <w:bCs/>
          <w:sz w:val="24"/>
          <w:szCs w:val="24"/>
        </w:rPr>
        <w:fldChar w:fldCharType="end"/>
      </w:r>
    </w:p>
    <w:p w:rsidR="0073700B" w:rsidRDefault="001A2FFC">
      <w:pPr>
        <w:spacing w:line="360" w:lineRule="auto"/>
        <w:rPr>
          <w:bCs/>
        </w:rPr>
      </w:pPr>
      <w:r>
        <w:rPr>
          <w:bCs/>
        </w:rPr>
        <w:t>Delay(two alternative examples are shown)</w:t>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258"/>
        <w:gridCol w:w="1257"/>
        <w:gridCol w:w="868"/>
        <w:gridCol w:w="992"/>
        <w:gridCol w:w="1482"/>
        <w:gridCol w:w="1429"/>
      </w:tblGrid>
      <w:tr w:rsidR="0073700B">
        <w:tc>
          <w:tcPr>
            <w:tcW w:w="2258" w:type="dxa"/>
            <w:tcBorders>
              <w:top w:val="single" w:sz="8" w:space="0" w:color="auto"/>
              <w:bottom w:val="single" w:sz="8" w:space="0" w:color="auto"/>
            </w:tcBorders>
            <w:vAlign w:val="center"/>
          </w:tcPr>
          <w:p w:rsidR="0073700B" w:rsidRDefault="0073700B">
            <w:pPr>
              <w:jc w:val="center"/>
              <w:rPr>
                <w:bCs/>
                <w:szCs w:val="21"/>
              </w:rPr>
            </w:pPr>
          </w:p>
        </w:tc>
        <w:tc>
          <w:tcPr>
            <w:tcW w:w="1257" w:type="dxa"/>
            <w:tcBorders>
              <w:top w:val="single" w:sz="8" w:space="0" w:color="auto"/>
              <w:bottom w:val="single" w:sz="8" w:space="0" w:color="auto"/>
            </w:tcBorders>
            <w:vAlign w:val="center"/>
          </w:tcPr>
          <w:p w:rsidR="0073700B" w:rsidRDefault="001A2FFC">
            <w:pPr>
              <w:jc w:val="center"/>
              <w:rPr>
                <w:bCs/>
                <w:szCs w:val="21"/>
              </w:rPr>
            </w:pPr>
            <w:r>
              <w:rPr>
                <w:bCs/>
                <w:szCs w:val="21"/>
              </w:rPr>
              <w:t>Disastrous</w:t>
            </w:r>
          </w:p>
        </w:tc>
        <w:tc>
          <w:tcPr>
            <w:tcW w:w="868" w:type="dxa"/>
            <w:tcBorders>
              <w:top w:val="single" w:sz="8" w:space="0" w:color="auto"/>
              <w:bottom w:val="single" w:sz="8" w:space="0" w:color="auto"/>
            </w:tcBorders>
            <w:vAlign w:val="center"/>
          </w:tcPr>
          <w:p w:rsidR="0073700B" w:rsidRDefault="001A2FFC">
            <w:pPr>
              <w:jc w:val="center"/>
              <w:rPr>
                <w:bCs/>
                <w:szCs w:val="21"/>
              </w:rPr>
            </w:pPr>
            <w:r>
              <w:rPr>
                <w:bCs/>
                <w:szCs w:val="21"/>
              </w:rPr>
              <w:t>Severe</w:t>
            </w:r>
          </w:p>
        </w:tc>
        <w:tc>
          <w:tcPr>
            <w:tcW w:w="992" w:type="dxa"/>
            <w:tcBorders>
              <w:top w:val="single" w:sz="8" w:space="0" w:color="auto"/>
              <w:bottom w:val="single" w:sz="8" w:space="0" w:color="auto"/>
            </w:tcBorders>
            <w:vAlign w:val="center"/>
          </w:tcPr>
          <w:p w:rsidR="0073700B" w:rsidRDefault="001A2FFC">
            <w:pPr>
              <w:jc w:val="center"/>
              <w:rPr>
                <w:bCs/>
                <w:szCs w:val="21"/>
              </w:rPr>
            </w:pPr>
            <w:r>
              <w:rPr>
                <w:bCs/>
                <w:szCs w:val="21"/>
              </w:rPr>
              <w:t>Serious</w:t>
            </w:r>
          </w:p>
        </w:tc>
        <w:tc>
          <w:tcPr>
            <w:tcW w:w="1482" w:type="dxa"/>
            <w:tcBorders>
              <w:top w:val="single" w:sz="8" w:space="0" w:color="auto"/>
              <w:bottom w:val="single" w:sz="8" w:space="0" w:color="auto"/>
            </w:tcBorders>
            <w:vAlign w:val="center"/>
          </w:tcPr>
          <w:p w:rsidR="0073700B" w:rsidRDefault="001A2FFC">
            <w:pPr>
              <w:jc w:val="center"/>
              <w:rPr>
                <w:bCs/>
                <w:szCs w:val="21"/>
              </w:rPr>
            </w:pPr>
            <w:r>
              <w:rPr>
                <w:bCs/>
                <w:szCs w:val="21"/>
              </w:rPr>
              <w:t>Considerable</w:t>
            </w:r>
          </w:p>
        </w:tc>
        <w:tc>
          <w:tcPr>
            <w:tcW w:w="1429" w:type="dxa"/>
            <w:tcBorders>
              <w:top w:val="single" w:sz="8" w:space="0" w:color="auto"/>
              <w:bottom w:val="single" w:sz="8" w:space="0" w:color="auto"/>
            </w:tcBorders>
            <w:vAlign w:val="center"/>
          </w:tcPr>
          <w:p w:rsidR="0073700B" w:rsidRDefault="001A2FFC">
            <w:pPr>
              <w:jc w:val="center"/>
              <w:rPr>
                <w:bCs/>
                <w:szCs w:val="21"/>
              </w:rPr>
            </w:pPr>
            <w:r>
              <w:rPr>
                <w:bCs/>
                <w:szCs w:val="21"/>
              </w:rPr>
              <w:t>Insignificant</w:t>
            </w:r>
          </w:p>
        </w:tc>
      </w:tr>
      <w:tr w:rsidR="0073700B">
        <w:tc>
          <w:tcPr>
            <w:tcW w:w="2258" w:type="dxa"/>
            <w:tcBorders>
              <w:top w:val="single" w:sz="8" w:space="0" w:color="auto"/>
            </w:tcBorders>
            <w:vAlign w:val="center"/>
          </w:tcPr>
          <w:p w:rsidR="0073700B" w:rsidRDefault="001A2FFC">
            <w:pPr>
              <w:jc w:val="center"/>
              <w:rPr>
                <w:bCs/>
                <w:szCs w:val="21"/>
              </w:rPr>
            </w:pPr>
            <w:r>
              <w:rPr>
                <w:bCs/>
                <w:szCs w:val="21"/>
              </w:rPr>
              <w:t>Delay(1)(months per hazard)</w:t>
            </w:r>
          </w:p>
        </w:tc>
        <w:tc>
          <w:tcPr>
            <w:tcW w:w="1257" w:type="dxa"/>
            <w:tcBorders>
              <w:top w:val="single" w:sz="8" w:space="0" w:color="auto"/>
            </w:tcBorders>
            <w:vAlign w:val="center"/>
          </w:tcPr>
          <w:p w:rsidR="0073700B" w:rsidRDefault="001A2FFC">
            <w:pPr>
              <w:jc w:val="center"/>
              <w:rPr>
                <w:bCs/>
                <w:szCs w:val="21"/>
              </w:rPr>
            </w:pPr>
            <w:r>
              <w:rPr>
                <w:bCs/>
                <w:szCs w:val="21"/>
              </w:rPr>
              <w:t>&gt;10</w:t>
            </w:r>
          </w:p>
        </w:tc>
        <w:tc>
          <w:tcPr>
            <w:tcW w:w="868" w:type="dxa"/>
            <w:tcBorders>
              <w:top w:val="single" w:sz="8" w:space="0" w:color="auto"/>
            </w:tcBorders>
            <w:vAlign w:val="center"/>
          </w:tcPr>
          <w:p w:rsidR="0073700B" w:rsidRDefault="001A2FFC">
            <w:pPr>
              <w:jc w:val="center"/>
              <w:rPr>
                <w:bCs/>
                <w:szCs w:val="21"/>
              </w:rPr>
            </w:pPr>
            <w:r>
              <w:rPr>
                <w:bCs/>
                <w:szCs w:val="21"/>
              </w:rPr>
              <w:t>1-10</w:t>
            </w:r>
          </w:p>
        </w:tc>
        <w:tc>
          <w:tcPr>
            <w:tcW w:w="992" w:type="dxa"/>
            <w:tcBorders>
              <w:top w:val="single" w:sz="8" w:space="0" w:color="auto"/>
            </w:tcBorders>
            <w:vAlign w:val="center"/>
          </w:tcPr>
          <w:p w:rsidR="0073700B" w:rsidRDefault="001A2FFC">
            <w:pPr>
              <w:jc w:val="center"/>
              <w:rPr>
                <w:bCs/>
                <w:szCs w:val="21"/>
              </w:rPr>
            </w:pPr>
            <w:r>
              <w:rPr>
                <w:bCs/>
                <w:szCs w:val="21"/>
              </w:rPr>
              <w:t>0.1-1</w:t>
            </w:r>
          </w:p>
        </w:tc>
        <w:tc>
          <w:tcPr>
            <w:tcW w:w="1482" w:type="dxa"/>
            <w:tcBorders>
              <w:top w:val="single" w:sz="8" w:space="0" w:color="auto"/>
            </w:tcBorders>
            <w:vAlign w:val="center"/>
          </w:tcPr>
          <w:p w:rsidR="0073700B" w:rsidRDefault="001A2FFC">
            <w:pPr>
              <w:jc w:val="center"/>
              <w:rPr>
                <w:bCs/>
                <w:szCs w:val="21"/>
              </w:rPr>
            </w:pPr>
            <w:r>
              <w:rPr>
                <w:bCs/>
                <w:szCs w:val="21"/>
              </w:rPr>
              <w:t>0.01-0.1</w:t>
            </w:r>
          </w:p>
        </w:tc>
        <w:tc>
          <w:tcPr>
            <w:tcW w:w="1429" w:type="dxa"/>
            <w:tcBorders>
              <w:top w:val="single" w:sz="8" w:space="0" w:color="auto"/>
            </w:tcBorders>
            <w:vAlign w:val="center"/>
          </w:tcPr>
          <w:p w:rsidR="0073700B" w:rsidRDefault="001A2FFC">
            <w:pPr>
              <w:jc w:val="center"/>
              <w:rPr>
                <w:bCs/>
                <w:szCs w:val="21"/>
              </w:rPr>
            </w:pPr>
            <w:r>
              <w:rPr>
                <w:bCs/>
                <w:szCs w:val="21"/>
              </w:rPr>
              <w:t>&lt;0.01</w:t>
            </w:r>
          </w:p>
        </w:tc>
      </w:tr>
      <w:tr w:rsidR="0073700B">
        <w:tc>
          <w:tcPr>
            <w:tcW w:w="2258" w:type="dxa"/>
            <w:vAlign w:val="center"/>
          </w:tcPr>
          <w:p w:rsidR="0073700B" w:rsidRDefault="001A2FFC">
            <w:pPr>
              <w:jc w:val="center"/>
              <w:rPr>
                <w:bCs/>
                <w:szCs w:val="21"/>
              </w:rPr>
            </w:pPr>
            <w:r>
              <w:rPr>
                <w:bCs/>
                <w:szCs w:val="21"/>
              </w:rPr>
              <w:t>Delay(2)(months per hazard)</w:t>
            </w:r>
          </w:p>
        </w:tc>
        <w:tc>
          <w:tcPr>
            <w:tcW w:w="1257" w:type="dxa"/>
            <w:vAlign w:val="center"/>
          </w:tcPr>
          <w:p w:rsidR="0073700B" w:rsidRDefault="001A2FFC">
            <w:pPr>
              <w:jc w:val="center"/>
              <w:rPr>
                <w:bCs/>
                <w:szCs w:val="21"/>
              </w:rPr>
            </w:pPr>
            <w:r>
              <w:rPr>
                <w:bCs/>
                <w:szCs w:val="21"/>
              </w:rPr>
              <w:t>&gt;24</w:t>
            </w:r>
          </w:p>
        </w:tc>
        <w:tc>
          <w:tcPr>
            <w:tcW w:w="868" w:type="dxa"/>
            <w:vAlign w:val="center"/>
          </w:tcPr>
          <w:p w:rsidR="0073700B" w:rsidRDefault="001A2FFC">
            <w:pPr>
              <w:jc w:val="center"/>
              <w:rPr>
                <w:bCs/>
                <w:szCs w:val="21"/>
              </w:rPr>
            </w:pPr>
            <w:r>
              <w:rPr>
                <w:bCs/>
                <w:szCs w:val="21"/>
              </w:rPr>
              <w:t>6-24</w:t>
            </w:r>
          </w:p>
        </w:tc>
        <w:tc>
          <w:tcPr>
            <w:tcW w:w="992" w:type="dxa"/>
            <w:vAlign w:val="center"/>
          </w:tcPr>
          <w:p w:rsidR="0073700B" w:rsidRDefault="001A2FFC">
            <w:pPr>
              <w:jc w:val="center"/>
              <w:rPr>
                <w:bCs/>
                <w:szCs w:val="21"/>
              </w:rPr>
            </w:pPr>
            <w:r>
              <w:rPr>
                <w:bCs/>
                <w:szCs w:val="21"/>
              </w:rPr>
              <w:t>2-6</w:t>
            </w:r>
          </w:p>
        </w:tc>
        <w:tc>
          <w:tcPr>
            <w:tcW w:w="1482" w:type="dxa"/>
            <w:vAlign w:val="center"/>
          </w:tcPr>
          <w:p w:rsidR="0073700B" w:rsidRDefault="001A2FFC">
            <w:pPr>
              <w:jc w:val="center"/>
              <w:rPr>
                <w:bCs/>
                <w:szCs w:val="21"/>
              </w:rPr>
            </w:pPr>
            <w:r>
              <w:rPr>
                <w:bCs/>
                <w:szCs w:val="21"/>
              </w:rPr>
              <w:t>1/2-2</w:t>
            </w:r>
          </w:p>
        </w:tc>
        <w:tc>
          <w:tcPr>
            <w:tcW w:w="1429" w:type="dxa"/>
            <w:vAlign w:val="center"/>
          </w:tcPr>
          <w:p w:rsidR="0073700B" w:rsidRDefault="001A2FFC">
            <w:pPr>
              <w:jc w:val="center"/>
              <w:rPr>
                <w:bCs/>
                <w:szCs w:val="21"/>
              </w:rPr>
            </w:pPr>
            <w:r>
              <w:rPr>
                <w:bCs/>
                <w:szCs w:val="21"/>
              </w:rPr>
              <w:t>&lt;1/2</w:t>
            </w:r>
          </w:p>
        </w:tc>
      </w:tr>
    </w:tbl>
    <w:p w:rsidR="0073700B" w:rsidRDefault="001A2FFC" w:rsidP="00F80BAC">
      <w:pPr>
        <w:pStyle w:val="af7"/>
        <w:spacing w:beforeLines="50" w:before="156" w:line="360" w:lineRule="auto"/>
        <w:ind w:firstLine="480"/>
        <w:rPr>
          <w:rFonts w:ascii="Times New Roman"/>
          <w:bCs/>
          <w:sz w:val="24"/>
          <w:szCs w:val="24"/>
        </w:rPr>
      </w:pPr>
      <w:r>
        <w:rPr>
          <w:rFonts w:ascii="Times New Roman"/>
          <w:bCs/>
          <w:sz w:val="24"/>
          <w:szCs w:val="24"/>
        </w:rPr>
        <w:t>综上，本指南将工期延误分为两类：控制工期工程和非控制工期工程，并征求专家意见，令</w:t>
      </w:r>
      <w:r>
        <w:rPr>
          <w:rFonts w:ascii="Times New Roman"/>
          <w:bCs/>
          <w:sz w:val="24"/>
          <w:szCs w:val="24"/>
        </w:rPr>
        <w:t>1</w:t>
      </w:r>
      <w:r>
        <w:rPr>
          <w:rFonts w:ascii="Times New Roman"/>
          <w:bCs/>
          <w:sz w:val="24"/>
          <w:szCs w:val="24"/>
        </w:rPr>
        <w:t>个当量</w:t>
      </w:r>
      <w:r>
        <w:rPr>
          <w:rFonts w:ascii="Times New Roman"/>
          <w:bCs/>
          <w:sz w:val="24"/>
          <w:szCs w:val="24"/>
        </w:rPr>
        <w:t>=3</w:t>
      </w:r>
      <w:r>
        <w:rPr>
          <w:rFonts w:ascii="Times New Roman"/>
          <w:bCs/>
          <w:sz w:val="24"/>
          <w:szCs w:val="24"/>
        </w:rPr>
        <w:t>个月非控制工期工程</w:t>
      </w:r>
      <w:r>
        <w:rPr>
          <w:rFonts w:ascii="Times New Roman"/>
          <w:bCs/>
          <w:sz w:val="24"/>
          <w:szCs w:val="24"/>
        </w:rPr>
        <w:t>=1</w:t>
      </w:r>
      <w:r>
        <w:rPr>
          <w:rFonts w:ascii="Times New Roman"/>
          <w:bCs/>
          <w:sz w:val="24"/>
          <w:szCs w:val="24"/>
        </w:rPr>
        <w:t>个月控制工期工程。</w:t>
      </w:r>
    </w:p>
    <w:p w:rsidR="0073700B" w:rsidRDefault="001A2FFC" w:rsidP="00F80BAC">
      <w:pPr>
        <w:pStyle w:val="af7"/>
        <w:spacing w:beforeLines="50" w:before="156" w:line="360" w:lineRule="auto"/>
        <w:ind w:firstLine="480"/>
        <w:rPr>
          <w:rFonts w:ascii="Times New Roman"/>
          <w:sz w:val="24"/>
        </w:rPr>
      </w:pPr>
      <w:r>
        <w:rPr>
          <w:rFonts w:ascii="Times New Roman"/>
          <w:bCs/>
          <w:sz w:val="24"/>
          <w:szCs w:val="24"/>
        </w:rPr>
        <w:t>结合以上规范和说明，</w:t>
      </w:r>
      <w:r>
        <w:rPr>
          <w:rFonts w:ascii="Times New Roman"/>
          <w:bCs/>
          <w:sz w:val="24"/>
          <w:szCs w:val="24"/>
        </w:rPr>
        <w:t>1</w:t>
      </w:r>
      <w:r>
        <w:rPr>
          <w:rFonts w:ascii="Times New Roman"/>
          <w:bCs/>
          <w:sz w:val="24"/>
          <w:szCs w:val="24"/>
        </w:rPr>
        <w:t>个当量</w:t>
      </w:r>
      <w:r>
        <w:rPr>
          <w:rFonts w:ascii="Times New Roman"/>
          <w:bCs/>
          <w:sz w:val="24"/>
          <w:szCs w:val="24"/>
        </w:rPr>
        <w:t>=1</w:t>
      </w:r>
      <w:r>
        <w:rPr>
          <w:rFonts w:ascii="Times New Roman"/>
          <w:bCs/>
          <w:sz w:val="24"/>
          <w:szCs w:val="24"/>
        </w:rPr>
        <w:t>人死亡</w:t>
      </w:r>
      <w:r>
        <w:rPr>
          <w:rFonts w:ascii="Times New Roman"/>
          <w:bCs/>
          <w:sz w:val="24"/>
          <w:szCs w:val="24"/>
        </w:rPr>
        <w:t>=400</w:t>
      </w:r>
      <w:r>
        <w:rPr>
          <w:rFonts w:ascii="Times New Roman"/>
          <w:bCs/>
          <w:sz w:val="24"/>
          <w:szCs w:val="24"/>
        </w:rPr>
        <w:t>万经济损失</w:t>
      </w:r>
      <w:r>
        <w:rPr>
          <w:rFonts w:ascii="Times New Roman"/>
          <w:bCs/>
          <w:sz w:val="24"/>
          <w:szCs w:val="24"/>
        </w:rPr>
        <w:t>=</w:t>
      </w:r>
      <w:r>
        <w:rPr>
          <w:rFonts w:ascii="Times New Roman"/>
          <w:bCs/>
          <w:sz w:val="24"/>
          <w:szCs w:val="24"/>
        </w:rPr>
        <w:t>三级的社会或环境影响</w:t>
      </w:r>
      <w:r>
        <w:rPr>
          <w:rFonts w:ascii="Times New Roman"/>
          <w:bCs/>
          <w:sz w:val="24"/>
          <w:szCs w:val="24"/>
        </w:rPr>
        <w:t>=3</w:t>
      </w:r>
      <w:r>
        <w:rPr>
          <w:rFonts w:ascii="Times New Roman"/>
          <w:bCs/>
          <w:sz w:val="24"/>
          <w:szCs w:val="24"/>
        </w:rPr>
        <w:t>个月非控制工期工程</w:t>
      </w:r>
      <w:r>
        <w:rPr>
          <w:rFonts w:ascii="Times New Roman"/>
          <w:bCs/>
          <w:sz w:val="24"/>
          <w:szCs w:val="24"/>
        </w:rPr>
        <w:t>=1</w:t>
      </w:r>
      <w:r>
        <w:rPr>
          <w:rFonts w:ascii="Times New Roman"/>
          <w:bCs/>
          <w:sz w:val="24"/>
          <w:szCs w:val="24"/>
        </w:rPr>
        <w:t>个月控制工期工程。</w:t>
      </w:r>
    </w:p>
    <w:p w:rsidR="0073700B" w:rsidRDefault="001A2FFC" w:rsidP="00F80BAC">
      <w:pPr>
        <w:pStyle w:val="af7"/>
        <w:spacing w:beforeLines="50" w:before="156" w:line="360" w:lineRule="auto"/>
        <w:ind w:firstLine="480"/>
        <w:rPr>
          <w:rFonts w:ascii="Times New Roman"/>
          <w:bCs/>
          <w:sz w:val="24"/>
          <w:szCs w:val="24"/>
        </w:rPr>
      </w:pPr>
      <w:r>
        <w:rPr>
          <w:rFonts w:ascii="Times New Roman"/>
          <w:bCs/>
          <w:sz w:val="24"/>
          <w:szCs w:val="24"/>
        </w:rPr>
        <w:t>在之前的指南中，是利用就高原则考虑多种后果，而后果当量法的引入，是通过综合考虑每种后果影响的当量值，完善就高原则中不尽合理之处。因此，划分等级区间也是按照符合就高原则，并进一步优化就高原则的方法进行。</w:t>
      </w:r>
    </w:p>
    <w:p w:rsidR="0073700B" w:rsidRDefault="001A2FFC" w:rsidP="00F80BAC">
      <w:pPr>
        <w:pStyle w:val="af7"/>
        <w:spacing w:beforeLines="50" w:before="156" w:line="360" w:lineRule="auto"/>
        <w:ind w:firstLine="480"/>
        <w:rPr>
          <w:rFonts w:ascii="Times New Roman"/>
          <w:bCs/>
          <w:sz w:val="24"/>
          <w:szCs w:val="24"/>
        </w:rPr>
      </w:pPr>
      <w:r>
        <w:rPr>
          <w:rFonts w:ascii="Times New Roman"/>
          <w:bCs/>
          <w:sz w:val="24"/>
          <w:szCs w:val="24"/>
        </w:rPr>
        <w:t>为计算后果当量法各区间端点值，取后果各区间下限值。值得注意的是，本标准淡化措辞后，</w:t>
      </w:r>
      <w:bookmarkStart w:id="54" w:name="_Hlk29212883"/>
      <w:r>
        <w:rPr>
          <w:rFonts w:ascii="Times New Roman"/>
          <w:bCs/>
          <w:sz w:val="24"/>
          <w:szCs w:val="24"/>
        </w:rPr>
        <w:t>由当量值可知环境、社会影响</w:t>
      </w:r>
      <w:bookmarkEnd w:id="54"/>
      <w:r>
        <w:rPr>
          <w:rFonts w:ascii="Times New Roman"/>
          <w:bCs/>
          <w:sz w:val="24"/>
          <w:szCs w:val="24"/>
        </w:rPr>
        <w:t>后果为五级时相当于人员死亡的四级，依次类推。确定等级时，将</w:t>
      </w:r>
      <w:bookmarkStart w:id="55" w:name="_Hlk29218460"/>
      <w:r>
        <w:rPr>
          <w:rFonts w:ascii="Times New Roman"/>
          <w:bCs/>
          <w:sz w:val="24"/>
          <w:szCs w:val="24"/>
        </w:rPr>
        <w:t>环境和社会影响</w:t>
      </w:r>
      <w:bookmarkEnd w:id="55"/>
      <w:r>
        <w:rPr>
          <w:rFonts w:ascii="Times New Roman"/>
          <w:bCs/>
          <w:sz w:val="24"/>
          <w:szCs w:val="24"/>
        </w:rPr>
        <w:t>当量值提高一个等级，保持和人员死亡后果当量一致，避免因同等级下环境和社会影响当量过小导致的等级下限值过低。环境和社会影响提高后的各</w:t>
      </w:r>
      <w:r>
        <w:rPr>
          <w:rFonts w:ascii="Times New Roman"/>
          <w:bCs/>
          <w:sz w:val="24"/>
          <w:szCs w:val="24"/>
        </w:rPr>
        <w:t>等级从高到低的当量值为：</w:t>
      </w:r>
      <w:r>
        <w:rPr>
          <w:rFonts w:ascii="Times New Roman"/>
          <w:bCs/>
          <w:sz w:val="24"/>
          <w:szCs w:val="24"/>
        </w:rPr>
        <w:t>30</w:t>
      </w:r>
      <w:r>
        <w:rPr>
          <w:rFonts w:ascii="Times New Roman"/>
          <w:bCs/>
          <w:sz w:val="24"/>
          <w:szCs w:val="24"/>
        </w:rPr>
        <w:t>、</w:t>
      </w:r>
      <w:r>
        <w:rPr>
          <w:rFonts w:ascii="Times New Roman"/>
          <w:bCs/>
          <w:sz w:val="24"/>
          <w:szCs w:val="24"/>
        </w:rPr>
        <w:t>10</w:t>
      </w:r>
      <w:r>
        <w:rPr>
          <w:rFonts w:ascii="Times New Roman"/>
          <w:bCs/>
          <w:sz w:val="24"/>
          <w:szCs w:val="24"/>
        </w:rPr>
        <w:t>、</w:t>
      </w:r>
      <w:r>
        <w:rPr>
          <w:rFonts w:ascii="Times New Roman"/>
          <w:bCs/>
          <w:sz w:val="24"/>
          <w:szCs w:val="24"/>
        </w:rPr>
        <w:t>3</w:t>
      </w:r>
      <w:r>
        <w:rPr>
          <w:rFonts w:ascii="Times New Roman"/>
          <w:bCs/>
          <w:sz w:val="24"/>
          <w:szCs w:val="24"/>
        </w:rPr>
        <w:t>、</w:t>
      </w:r>
      <w:r>
        <w:rPr>
          <w:rFonts w:ascii="Times New Roman"/>
          <w:bCs/>
          <w:sz w:val="24"/>
          <w:szCs w:val="24"/>
        </w:rPr>
        <w:t>1</w:t>
      </w:r>
      <w:r>
        <w:rPr>
          <w:rFonts w:ascii="Times New Roman"/>
          <w:bCs/>
          <w:sz w:val="24"/>
          <w:szCs w:val="24"/>
        </w:rPr>
        <w:t>、</w:t>
      </w:r>
      <w:r>
        <w:rPr>
          <w:rFonts w:ascii="Times New Roman"/>
          <w:bCs/>
          <w:sz w:val="24"/>
          <w:szCs w:val="24"/>
        </w:rPr>
        <w:t>1/2</w:t>
      </w:r>
      <w:r>
        <w:rPr>
          <w:rFonts w:ascii="Times New Roman"/>
          <w:bCs/>
          <w:sz w:val="24"/>
          <w:szCs w:val="24"/>
        </w:rPr>
        <w:t>（本标准实际为</w:t>
      </w:r>
      <w:r>
        <w:rPr>
          <w:rFonts w:ascii="Times New Roman"/>
          <w:bCs/>
          <w:sz w:val="24"/>
          <w:szCs w:val="24"/>
        </w:rPr>
        <w:t>10</w:t>
      </w:r>
      <w:r>
        <w:rPr>
          <w:rFonts w:ascii="Times New Roman"/>
          <w:bCs/>
          <w:sz w:val="24"/>
          <w:szCs w:val="24"/>
        </w:rPr>
        <w:t>、</w:t>
      </w:r>
      <w:r>
        <w:rPr>
          <w:rFonts w:ascii="Times New Roman"/>
          <w:bCs/>
          <w:sz w:val="24"/>
          <w:szCs w:val="24"/>
        </w:rPr>
        <w:t>3</w:t>
      </w:r>
      <w:r>
        <w:rPr>
          <w:rFonts w:ascii="Times New Roman"/>
          <w:bCs/>
          <w:sz w:val="24"/>
          <w:szCs w:val="24"/>
        </w:rPr>
        <w:t>、</w:t>
      </w:r>
      <w:r>
        <w:rPr>
          <w:rFonts w:ascii="Times New Roman"/>
          <w:bCs/>
          <w:sz w:val="24"/>
          <w:szCs w:val="24"/>
        </w:rPr>
        <w:t>1</w:t>
      </w:r>
      <w:r>
        <w:rPr>
          <w:rFonts w:ascii="Times New Roman"/>
          <w:bCs/>
          <w:sz w:val="24"/>
          <w:szCs w:val="24"/>
        </w:rPr>
        <w:t>、</w:t>
      </w:r>
      <w:r>
        <w:rPr>
          <w:rFonts w:ascii="Times New Roman"/>
          <w:bCs/>
          <w:sz w:val="24"/>
          <w:szCs w:val="24"/>
        </w:rPr>
        <w:t>1/2</w:t>
      </w:r>
      <w:r>
        <w:rPr>
          <w:rFonts w:ascii="Times New Roman"/>
          <w:bCs/>
          <w:sz w:val="24"/>
          <w:szCs w:val="24"/>
        </w:rPr>
        <w:t>、</w:t>
      </w:r>
      <w:r>
        <w:rPr>
          <w:rFonts w:ascii="Times New Roman"/>
          <w:bCs/>
          <w:sz w:val="24"/>
          <w:szCs w:val="24"/>
        </w:rPr>
        <w:t>0</w:t>
      </w:r>
      <w:r>
        <w:rPr>
          <w:rFonts w:ascii="Times New Roman"/>
          <w:bCs/>
          <w:sz w:val="24"/>
          <w:szCs w:val="24"/>
        </w:rPr>
        <w:t>）。</w:t>
      </w:r>
    </w:p>
    <w:p w:rsidR="0073700B" w:rsidRDefault="0073700B">
      <w:pPr>
        <w:spacing w:line="360" w:lineRule="auto"/>
        <w:jc w:val="center"/>
        <w:rPr>
          <w:rFonts w:ascii="黑体" w:eastAsia="黑体" w:hAnsi="黑体"/>
          <w:b/>
          <w:sz w:val="24"/>
          <w:szCs w:val="24"/>
        </w:rPr>
      </w:pPr>
    </w:p>
    <w:p w:rsidR="0073700B" w:rsidRDefault="001A2FFC">
      <w:pPr>
        <w:spacing w:line="360" w:lineRule="auto"/>
        <w:jc w:val="center"/>
        <w:rPr>
          <w:rFonts w:ascii="黑体" w:eastAsia="黑体" w:hAnsi="黑体"/>
          <w:bCs/>
          <w:sz w:val="24"/>
          <w:szCs w:val="24"/>
        </w:rPr>
      </w:pPr>
      <w:r>
        <w:rPr>
          <w:rFonts w:ascii="黑体" w:eastAsia="黑体" w:hAnsi="黑体"/>
          <w:bCs/>
          <w:sz w:val="24"/>
          <w:szCs w:val="24"/>
        </w:rPr>
        <w:t>表</w:t>
      </w:r>
      <w:r>
        <w:rPr>
          <w:rFonts w:ascii="黑体" w:eastAsia="黑体" w:hAnsi="黑体"/>
          <w:bCs/>
          <w:sz w:val="24"/>
          <w:szCs w:val="24"/>
        </w:rPr>
        <w:fldChar w:fldCharType="begin"/>
      </w:r>
      <w:r>
        <w:rPr>
          <w:rFonts w:ascii="黑体" w:eastAsia="黑体" w:hAnsi="黑体"/>
          <w:bCs/>
          <w:sz w:val="24"/>
          <w:szCs w:val="24"/>
        </w:rPr>
        <w:instrText xml:space="preserve"> STYLEREF 3 \s </w:instrText>
      </w:r>
      <w:r>
        <w:rPr>
          <w:rFonts w:ascii="黑体" w:eastAsia="黑体" w:hAnsi="黑体"/>
          <w:bCs/>
          <w:sz w:val="24"/>
          <w:szCs w:val="24"/>
        </w:rPr>
        <w:fldChar w:fldCharType="separate"/>
      </w:r>
      <w:r>
        <w:rPr>
          <w:rFonts w:ascii="黑体" w:eastAsia="黑体" w:hAnsi="黑体"/>
          <w:bCs/>
          <w:sz w:val="24"/>
          <w:szCs w:val="24"/>
        </w:rPr>
        <w:t>6</w:t>
      </w:r>
      <w:r>
        <w:rPr>
          <w:rFonts w:ascii="黑体" w:eastAsia="黑体" w:hAnsi="黑体"/>
          <w:bCs/>
          <w:sz w:val="24"/>
          <w:szCs w:val="24"/>
        </w:rPr>
        <w:fldChar w:fldCharType="end"/>
      </w:r>
      <w:r>
        <w:rPr>
          <w:rFonts w:ascii="黑体" w:eastAsia="黑体" w:hAnsi="黑体"/>
          <w:bCs/>
          <w:sz w:val="24"/>
          <w:szCs w:val="24"/>
        </w:rPr>
        <w:noBreakHyphen/>
      </w:r>
      <w:r>
        <w:rPr>
          <w:rFonts w:ascii="黑体" w:eastAsia="黑体" w:hAnsi="黑体"/>
          <w:bCs/>
          <w:sz w:val="24"/>
          <w:szCs w:val="24"/>
        </w:rPr>
        <w:fldChar w:fldCharType="begin"/>
      </w:r>
      <w:r>
        <w:rPr>
          <w:rFonts w:ascii="黑体" w:eastAsia="黑体" w:hAnsi="黑体"/>
          <w:bCs/>
          <w:sz w:val="24"/>
          <w:szCs w:val="24"/>
        </w:rPr>
        <w:instrText xml:space="preserve"> SEQ </w:instrText>
      </w:r>
      <w:r>
        <w:rPr>
          <w:rFonts w:ascii="黑体" w:eastAsia="黑体" w:hAnsi="黑体"/>
          <w:bCs/>
          <w:sz w:val="24"/>
          <w:szCs w:val="24"/>
        </w:rPr>
        <w:instrText>表</w:instrText>
      </w:r>
      <w:r>
        <w:rPr>
          <w:rFonts w:ascii="黑体" w:eastAsia="黑体" w:hAnsi="黑体"/>
          <w:bCs/>
          <w:sz w:val="24"/>
          <w:szCs w:val="24"/>
        </w:rPr>
        <w:instrText xml:space="preserve"> \* ARABIC \s 3 </w:instrText>
      </w:r>
      <w:r>
        <w:rPr>
          <w:rFonts w:ascii="黑体" w:eastAsia="黑体" w:hAnsi="黑体"/>
          <w:bCs/>
          <w:sz w:val="24"/>
          <w:szCs w:val="24"/>
        </w:rPr>
        <w:fldChar w:fldCharType="separate"/>
      </w:r>
      <w:r>
        <w:rPr>
          <w:rFonts w:ascii="黑体" w:eastAsia="黑体" w:hAnsi="黑体"/>
          <w:bCs/>
          <w:sz w:val="24"/>
          <w:szCs w:val="24"/>
        </w:rPr>
        <w:t>18</w:t>
      </w:r>
      <w:r>
        <w:rPr>
          <w:rFonts w:ascii="黑体" w:eastAsia="黑体" w:hAnsi="黑体"/>
          <w:bCs/>
          <w:sz w:val="24"/>
          <w:szCs w:val="24"/>
        </w:rPr>
        <w:fldChar w:fldCharType="end"/>
      </w:r>
      <w:r>
        <w:rPr>
          <w:rFonts w:ascii="黑体" w:eastAsia="黑体" w:hAnsi="黑体"/>
          <w:bCs/>
          <w:sz w:val="24"/>
          <w:szCs w:val="24"/>
        </w:rPr>
        <w:t xml:space="preserve">  </w:t>
      </w:r>
      <w:r>
        <w:rPr>
          <w:rFonts w:ascii="黑体" w:eastAsia="黑体" w:hAnsi="黑体"/>
          <w:bCs/>
          <w:sz w:val="24"/>
          <w:szCs w:val="24"/>
        </w:rPr>
        <w:t>后果各区间下限值</w:t>
      </w:r>
    </w:p>
    <w:tbl>
      <w:tblPr>
        <w:tblStyle w:val="af1"/>
        <w:tblW w:w="806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058"/>
        <w:gridCol w:w="801"/>
        <w:gridCol w:w="801"/>
        <w:gridCol w:w="802"/>
        <w:gridCol w:w="801"/>
        <w:gridCol w:w="802"/>
      </w:tblGrid>
      <w:tr w:rsidR="0073700B">
        <w:trPr>
          <w:trHeight w:val="340"/>
        </w:trPr>
        <w:tc>
          <w:tcPr>
            <w:tcW w:w="4058" w:type="dxa"/>
            <w:tcBorders>
              <w:top w:val="single" w:sz="8" w:space="0" w:color="auto"/>
              <w:bottom w:val="single" w:sz="8" w:space="0" w:color="auto"/>
            </w:tcBorders>
            <w:vAlign w:val="center"/>
          </w:tcPr>
          <w:p w:rsidR="0073700B" w:rsidRDefault="001A2FFC">
            <w:pPr>
              <w:jc w:val="center"/>
              <w:rPr>
                <w:bCs/>
                <w:szCs w:val="20"/>
              </w:rPr>
            </w:pPr>
            <w:r>
              <w:rPr>
                <w:bCs/>
                <w:szCs w:val="20"/>
              </w:rPr>
              <w:t>等级</w:t>
            </w:r>
          </w:p>
        </w:tc>
        <w:tc>
          <w:tcPr>
            <w:tcW w:w="801" w:type="dxa"/>
            <w:tcBorders>
              <w:top w:val="single" w:sz="8" w:space="0" w:color="auto"/>
              <w:bottom w:val="single" w:sz="8" w:space="0" w:color="auto"/>
            </w:tcBorders>
            <w:vAlign w:val="center"/>
          </w:tcPr>
          <w:p w:rsidR="0073700B" w:rsidRDefault="001A2FFC">
            <w:pPr>
              <w:jc w:val="center"/>
              <w:rPr>
                <w:bCs/>
                <w:szCs w:val="20"/>
              </w:rPr>
            </w:pPr>
            <w:r>
              <w:rPr>
                <w:bCs/>
                <w:szCs w:val="20"/>
              </w:rPr>
              <w:t>1</w:t>
            </w:r>
          </w:p>
        </w:tc>
        <w:tc>
          <w:tcPr>
            <w:tcW w:w="801" w:type="dxa"/>
            <w:tcBorders>
              <w:top w:val="single" w:sz="8" w:space="0" w:color="auto"/>
              <w:bottom w:val="single" w:sz="8" w:space="0" w:color="auto"/>
            </w:tcBorders>
            <w:vAlign w:val="center"/>
          </w:tcPr>
          <w:p w:rsidR="0073700B" w:rsidRDefault="001A2FFC">
            <w:pPr>
              <w:jc w:val="center"/>
              <w:rPr>
                <w:bCs/>
                <w:szCs w:val="20"/>
              </w:rPr>
            </w:pPr>
            <w:r>
              <w:rPr>
                <w:bCs/>
                <w:szCs w:val="20"/>
              </w:rPr>
              <w:t>2</w:t>
            </w:r>
          </w:p>
        </w:tc>
        <w:tc>
          <w:tcPr>
            <w:tcW w:w="802" w:type="dxa"/>
            <w:tcBorders>
              <w:top w:val="single" w:sz="8" w:space="0" w:color="auto"/>
              <w:bottom w:val="single" w:sz="8" w:space="0" w:color="auto"/>
            </w:tcBorders>
            <w:vAlign w:val="center"/>
          </w:tcPr>
          <w:p w:rsidR="0073700B" w:rsidRDefault="001A2FFC">
            <w:pPr>
              <w:jc w:val="center"/>
              <w:rPr>
                <w:bCs/>
                <w:szCs w:val="20"/>
              </w:rPr>
            </w:pPr>
            <w:r>
              <w:rPr>
                <w:bCs/>
                <w:szCs w:val="20"/>
              </w:rPr>
              <w:t>3</w:t>
            </w:r>
          </w:p>
        </w:tc>
        <w:tc>
          <w:tcPr>
            <w:tcW w:w="801" w:type="dxa"/>
            <w:tcBorders>
              <w:top w:val="single" w:sz="8" w:space="0" w:color="auto"/>
              <w:bottom w:val="single" w:sz="8" w:space="0" w:color="auto"/>
            </w:tcBorders>
            <w:vAlign w:val="center"/>
          </w:tcPr>
          <w:p w:rsidR="0073700B" w:rsidRDefault="001A2FFC">
            <w:pPr>
              <w:jc w:val="center"/>
              <w:rPr>
                <w:bCs/>
                <w:szCs w:val="20"/>
              </w:rPr>
            </w:pPr>
            <w:r>
              <w:rPr>
                <w:bCs/>
                <w:szCs w:val="20"/>
              </w:rPr>
              <w:t>4</w:t>
            </w:r>
          </w:p>
        </w:tc>
        <w:tc>
          <w:tcPr>
            <w:tcW w:w="802" w:type="dxa"/>
            <w:tcBorders>
              <w:top w:val="single" w:sz="8" w:space="0" w:color="auto"/>
              <w:bottom w:val="single" w:sz="8" w:space="0" w:color="auto"/>
            </w:tcBorders>
            <w:vAlign w:val="center"/>
          </w:tcPr>
          <w:p w:rsidR="0073700B" w:rsidRDefault="001A2FFC">
            <w:pPr>
              <w:jc w:val="center"/>
              <w:rPr>
                <w:bCs/>
                <w:szCs w:val="20"/>
              </w:rPr>
            </w:pPr>
            <w:r>
              <w:rPr>
                <w:bCs/>
                <w:szCs w:val="20"/>
              </w:rPr>
              <w:t>5</w:t>
            </w:r>
          </w:p>
        </w:tc>
      </w:tr>
      <w:tr w:rsidR="0073700B">
        <w:trPr>
          <w:trHeight w:val="340"/>
        </w:trPr>
        <w:tc>
          <w:tcPr>
            <w:tcW w:w="4058" w:type="dxa"/>
            <w:tcBorders>
              <w:top w:val="single" w:sz="8" w:space="0" w:color="auto"/>
            </w:tcBorders>
            <w:vAlign w:val="center"/>
          </w:tcPr>
          <w:p w:rsidR="0073700B" w:rsidRDefault="001A2FFC">
            <w:pPr>
              <w:jc w:val="center"/>
              <w:rPr>
                <w:bCs/>
                <w:szCs w:val="20"/>
              </w:rPr>
            </w:pPr>
            <w:r>
              <w:rPr>
                <w:bCs/>
                <w:szCs w:val="20"/>
              </w:rPr>
              <w:t>人员死亡</w:t>
            </w:r>
          </w:p>
        </w:tc>
        <w:tc>
          <w:tcPr>
            <w:tcW w:w="801" w:type="dxa"/>
            <w:tcBorders>
              <w:top w:val="single" w:sz="8" w:space="0" w:color="auto"/>
            </w:tcBorders>
            <w:vAlign w:val="center"/>
          </w:tcPr>
          <w:p w:rsidR="0073700B" w:rsidRDefault="001A2FFC">
            <w:pPr>
              <w:jc w:val="center"/>
              <w:rPr>
                <w:bCs/>
                <w:szCs w:val="20"/>
              </w:rPr>
            </w:pPr>
            <w:r>
              <w:rPr>
                <w:bCs/>
                <w:szCs w:val="20"/>
              </w:rPr>
              <w:t>30</w:t>
            </w:r>
          </w:p>
        </w:tc>
        <w:tc>
          <w:tcPr>
            <w:tcW w:w="801" w:type="dxa"/>
            <w:tcBorders>
              <w:top w:val="single" w:sz="8" w:space="0" w:color="auto"/>
            </w:tcBorders>
            <w:vAlign w:val="center"/>
          </w:tcPr>
          <w:p w:rsidR="0073700B" w:rsidRDefault="001A2FFC">
            <w:pPr>
              <w:jc w:val="center"/>
              <w:rPr>
                <w:bCs/>
                <w:szCs w:val="20"/>
              </w:rPr>
            </w:pPr>
            <w:r>
              <w:rPr>
                <w:bCs/>
                <w:szCs w:val="20"/>
              </w:rPr>
              <w:t>10</w:t>
            </w:r>
          </w:p>
        </w:tc>
        <w:tc>
          <w:tcPr>
            <w:tcW w:w="802" w:type="dxa"/>
            <w:tcBorders>
              <w:top w:val="single" w:sz="8" w:space="0" w:color="auto"/>
            </w:tcBorders>
            <w:vAlign w:val="center"/>
          </w:tcPr>
          <w:p w:rsidR="0073700B" w:rsidRDefault="001A2FFC">
            <w:pPr>
              <w:jc w:val="center"/>
              <w:rPr>
                <w:bCs/>
                <w:szCs w:val="20"/>
              </w:rPr>
            </w:pPr>
            <w:r>
              <w:rPr>
                <w:bCs/>
                <w:szCs w:val="20"/>
              </w:rPr>
              <w:t>3</w:t>
            </w:r>
          </w:p>
        </w:tc>
        <w:tc>
          <w:tcPr>
            <w:tcW w:w="801" w:type="dxa"/>
            <w:tcBorders>
              <w:top w:val="single" w:sz="8" w:space="0" w:color="auto"/>
            </w:tcBorders>
            <w:vAlign w:val="center"/>
          </w:tcPr>
          <w:p w:rsidR="0073700B" w:rsidRDefault="001A2FFC">
            <w:pPr>
              <w:jc w:val="center"/>
              <w:rPr>
                <w:bCs/>
                <w:szCs w:val="20"/>
              </w:rPr>
            </w:pPr>
            <w:r>
              <w:rPr>
                <w:bCs/>
                <w:szCs w:val="20"/>
              </w:rPr>
              <w:t>1</w:t>
            </w:r>
          </w:p>
        </w:tc>
        <w:tc>
          <w:tcPr>
            <w:tcW w:w="802" w:type="dxa"/>
            <w:tcBorders>
              <w:top w:val="single" w:sz="8" w:space="0" w:color="auto"/>
            </w:tcBorders>
            <w:vAlign w:val="center"/>
          </w:tcPr>
          <w:p w:rsidR="0073700B" w:rsidRDefault="001A2FFC">
            <w:pPr>
              <w:jc w:val="center"/>
              <w:rPr>
                <w:bCs/>
                <w:szCs w:val="20"/>
              </w:rPr>
            </w:pPr>
            <w:r>
              <w:rPr>
                <w:bCs/>
                <w:szCs w:val="20"/>
              </w:rPr>
              <w:t>0</w:t>
            </w:r>
          </w:p>
        </w:tc>
      </w:tr>
      <w:tr w:rsidR="0073700B">
        <w:trPr>
          <w:trHeight w:val="340"/>
        </w:trPr>
        <w:tc>
          <w:tcPr>
            <w:tcW w:w="4058" w:type="dxa"/>
            <w:vAlign w:val="center"/>
          </w:tcPr>
          <w:p w:rsidR="0073700B" w:rsidRDefault="001A2FFC">
            <w:pPr>
              <w:jc w:val="center"/>
              <w:rPr>
                <w:bCs/>
                <w:szCs w:val="20"/>
              </w:rPr>
            </w:pPr>
            <w:r>
              <w:rPr>
                <w:bCs/>
                <w:szCs w:val="20"/>
              </w:rPr>
              <w:t>直接经济损失</w:t>
            </w:r>
          </w:p>
        </w:tc>
        <w:tc>
          <w:tcPr>
            <w:tcW w:w="801" w:type="dxa"/>
            <w:vAlign w:val="center"/>
          </w:tcPr>
          <w:p w:rsidR="0073700B" w:rsidRDefault="001A2FFC">
            <w:pPr>
              <w:jc w:val="center"/>
              <w:rPr>
                <w:bCs/>
                <w:szCs w:val="20"/>
              </w:rPr>
            </w:pPr>
            <w:r>
              <w:rPr>
                <w:bCs/>
                <w:szCs w:val="20"/>
              </w:rPr>
              <w:t>10000</w:t>
            </w:r>
          </w:p>
        </w:tc>
        <w:tc>
          <w:tcPr>
            <w:tcW w:w="801" w:type="dxa"/>
            <w:vAlign w:val="center"/>
          </w:tcPr>
          <w:p w:rsidR="0073700B" w:rsidRDefault="001A2FFC">
            <w:pPr>
              <w:jc w:val="center"/>
              <w:rPr>
                <w:bCs/>
                <w:szCs w:val="20"/>
              </w:rPr>
            </w:pPr>
            <w:r>
              <w:rPr>
                <w:bCs/>
                <w:szCs w:val="20"/>
              </w:rPr>
              <w:t>5000</w:t>
            </w:r>
          </w:p>
        </w:tc>
        <w:tc>
          <w:tcPr>
            <w:tcW w:w="802" w:type="dxa"/>
            <w:vAlign w:val="center"/>
          </w:tcPr>
          <w:p w:rsidR="0073700B" w:rsidRDefault="001A2FFC">
            <w:pPr>
              <w:jc w:val="center"/>
              <w:rPr>
                <w:bCs/>
                <w:szCs w:val="20"/>
              </w:rPr>
            </w:pPr>
            <w:r>
              <w:rPr>
                <w:bCs/>
                <w:szCs w:val="20"/>
              </w:rPr>
              <w:t>1000</w:t>
            </w:r>
          </w:p>
        </w:tc>
        <w:tc>
          <w:tcPr>
            <w:tcW w:w="801" w:type="dxa"/>
            <w:vAlign w:val="center"/>
          </w:tcPr>
          <w:p w:rsidR="0073700B" w:rsidRDefault="001A2FFC">
            <w:pPr>
              <w:jc w:val="center"/>
              <w:rPr>
                <w:bCs/>
                <w:szCs w:val="20"/>
              </w:rPr>
            </w:pPr>
            <w:r>
              <w:rPr>
                <w:bCs/>
                <w:szCs w:val="20"/>
              </w:rPr>
              <w:t>100</w:t>
            </w:r>
          </w:p>
        </w:tc>
        <w:tc>
          <w:tcPr>
            <w:tcW w:w="802" w:type="dxa"/>
            <w:vAlign w:val="center"/>
          </w:tcPr>
          <w:p w:rsidR="0073700B" w:rsidRDefault="001A2FFC">
            <w:pPr>
              <w:jc w:val="center"/>
              <w:rPr>
                <w:bCs/>
                <w:szCs w:val="20"/>
              </w:rPr>
            </w:pPr>
            <w:r>
              <w:rPr>
                <w:bCs/>
                <w:szCs w:val="20"/>
              </w:rPr>
              <w:t>0</w:t>
            </w:r>
          </w:p>
        </w:tc>
      </w:tr>
      <w:tr w:rsidR="0073700B">
        <w:trPr>
          <w:trHeight w:val="340"/>
        </w:trPr>
        <w:tc>
          <w:tcPr>
            <w:tcW w:w="4058" w:type="dxa"/>
            <w:vAlign w:val="center"/>
          </w:tcPr>
          <w:p w:rsidR="0073700B" w:rsidRDefault="001A2FFC">
            <w:pPr>
              <w:jc w:val="center"/>
              <w:rPr>
                <w:bCs/>
                <w:szCs w:val="20"/>
              </w:rPr>
            </w:pPr>
            <w:r>
              <w:rPr>
                <w:bCs/>
                <w:szCs w:val="20"/>
              </w:rPr>
              <w:lastRenderedPageBreak/>
              <w:t>环境影响</w:t>
            </w:r>
          </w:p>
        </w:tc>
        <w:tc>
          <w:tcPr>
            <w:tcW w:w="801" w:type="dxa"/>
            <w:vAlign w:val="center"/>
          </w:tcPr>
          <w:p w:rsidR="0073700B" w:rsidRDefault="001A2FFC">
            <w:pPr>
              <w:jc w:val="center"/>
              <w:rPr>
                <w:bCs/>
                <w:szCs w:val="20"/>
              </w:rPr>
            </w:pPr>
            <w:r>
              <w:rPr>
                <w:bCs/>
                <w:szCs w:val="20"/>
              </w:rPr>
              <w:t>30</w:t>
            </w:r>
          </w:p>
        </w:tc>
        <w:tc>
          <w:tcPr>
            <w:tcW w:w="801" w:type="dxa"/>
            <w:vAlign w:val="center"/>
          </w:tcPr>
          <w:p w:rsidR="0073700B" w:rsidRDefault="001A2FFC">
            <w:pPr>
              <w:jc w:val="center"/>
              <w:rPr>
                <w:bCs/>
                <w:szCs w:val="20"/>
              </w:rPr>
            </w:pPr>
            <w:r>
              <w:rPr>
                <w:bCs/>
                <w:szCs w:val="20"/>
              </w:rPr>
              <w:t>10</w:t>
            </w:r>
          </w:p>
        </w:tc>
        <w:tc>
          <w:tcPr>
            <w:tcW w:w="802" w:type="dxa"/>
            <w:vAlign w:val="center"/>
          </w:tcPr>
          <w:p w:rsidR="0073700B" w:rsidRDefault="001A2FFC">
            <w:pPr>
              <w:jc w:val="center"/>
              <w:rPr>
                <w:bCs/>
                <w:szCs w:val="20"/>
              </w:rPr>
            </w:pPr>
            <w:r>
              <w:rPr>
                <w:bCs/>
                <w:szCs w:val="20"/>
              </w:rPr>
              <w:t>3</w:t>
            </w:r>
          </w:p>
        </w:tc>
        <w:tc>
          <w:tcPr>
            <w:tcW w:w="801" w:type="dxa"/>
            <w:vAlign w:val="center"/>
          </w:tcPr>
          <w:p w:rsidR="0073700B" w:rsidRDefault="001A2FFC">
            <w:pPr>
              <w:jc w:val="center"/>
              <w:rPr>
                <w:bCs/>
                <w:szCs w:val="20"/>
              </w:rPr>
            </w:pPr>
            <w:r>
              <w:rPr>
                <w:bCs/>
                <w:szCs w:val="20"/>
              </w:rPr>
              <w:t>1</w:t>
            </w:r>
          </w:p>
        </w:tc>
        <w:tc>
          <w:tcPr>
            <w:tcW w:w="802" w:type="dxa"/>
            <w:vAlign w:val="center"/>
          </w:tcPr>
          <w:p w:rsidR="0073700B" w:rsidRDefault="001A2FFC">
            <w:pPr>
              <w:jc w:val="center"/>
              <w:rPr>
                <w:bCs/>
                <w:szCs w:val="20"/>
              </w:rPr>
            </w:pPr>
            <w:r>
              <w:rPr>
                <w:bCs/>
                <w:szCs w:val="20"/>
              </w:rPr>
              <w:t>1/2</w:t>
            </w:r>
          </w:p>
        </w:tc>
      </w:tr>
      <w:tr w:rsidR="0073700B">
        <w:trPr>
          <w:trHeight w:val="340"/>
        </w:trPr>
        <w:tc>
          <w:tcPr>
            <w:tcW w:w="4058" w:type="dxa"/>
            <w:vAlign w:val="center"/>
          </w:tcPr>
          <w:p w:rsidR="0073700B" w:rsidRDefault="001A2FFC">
            <w:pPr>
              <w:jc w:val="center"/>
              <w:rPr>
                <w:bCs/>
                <w:szCs w:val="20"/>
              </w:rPr>
            </w:pPr>
            <w:r>
              <w:rPr>
                <w:bCs/>
                <w:szCs w:val="20"/>
              </w:rPr>
              <w:t>社会影响</w:t>
            </w:r>
          </w:p>
        </w:tc>
        <w:tc>
          <w:tcPr>
            <w:tcW w:w="801" w:type="dxa"/>
            <w:vAlign w:val="center"/>
          </w:tcPr>
          <w:p w:rsidR="0073700B" w:rsidRDefault="001A2FFC">
            <w:pPr>
              <w:jc w:val="center"/>
              <w:rPr>
                <w:bCs/>
                <w:szCs w:val="20"/>
              </w:rPr>
            </w:pPr>
            <w:r>
              <w:rPr>
                <w:bCs/>
                <w:szCs w:val="20"/>
              </w:rPr>
              <w:t>30</w:t>
            </w:r>
          </w:p>
        </w:tc>
        <w:tc>
          <w:tcPr>
            <w:tcW w:w="801" w:type="dxa"/>
            <w:vAlign w:val="center"/>
          </w:tcPr>
          <w:p w:rsidR="0073700B" w:rsidRDefault="001A2FFC">
            <w:pPr>
              <w:jc w:val="center"/>
              <w:rPr>
                <w:bCs/>
                <w:szCs w:val="20"/>
              </w:rPr>
            </w:pPr>
            <w:r>
              <w:rPr>
                <w:bCs/>
                <w:szCs w:val="20"/>
              </w:rPr>
              <w:t>10</w:t>
            </w:r>
          </w:p>
        </w:tc>
        <w:tc>
          <w:tcPr>
            <w:tcW w:w="802" w:type="dxa"/>
            <w:vAlign w:val="center"/>
          </w:tcPr>
          <w:p w:rsidR="0073700B" w:rsidRDefault="001A2FFC">
            <w:pPr>
              <w:jc w:val="center"/>
              <w:rPr>
                <w:bCs/>
                <w:szCs w:val="20"/>
              </w:rPr>
            </w:pPr>
            <w:r>
              <w:rPr>
                <w:bCs/>
                <w:szCs w:val="20"/>
              </w:rPr>
              <w:t>3</w:t>
            </w:r>
          </w:p>
        </w:tc>
        <w:tc>
          <w:tcPr>
            <w:tcW w:w="801" w:type="dxa"/>
            <w:vAlign w:val="center"/>
          </w:tcPr>
          <w:p w:rsidR="0073700B" w:rsidRDefault="001A2FFC">
            <w:pPr>
              <w:jc w:val="center"/>
              <w:rPr>
                <w:bCs/>
                <w:szCs w:val="20"/>
              </w:rPr>
            </w:pPr>
            <w:r>
              <w:rPr>
                <w:bCs/>
                <w:szCs w:val="20"/>
              </w:rPr>
              <w:t>1</w:t>
            </w:r>
          </w:p>
        </w:tc>
        <w:tc>
          <w:tcPr>
            <w:tcW w:w="802" w:type="dxa"/>
            <w:vAlign w:val="center"/>
          </w:tcPr>
          <w:p w:rsidR="0073700B" w:rsidRDefault="001A2FFC">
            <w:pPr>
              <w:jc w:val="center"/>
              <w:rPr>
                <w:bCs/>
                <w:szCs w:val="20"/>
              </w:rPr>
            </w:pPr>
            <w:r>
              <w:rPr>
                <w:bCs/>
                <w:szCs w:val="20"/>
              </w:rPr>
              <w:t>1/2</w:t>
            </w:r>
          </w:p>
        </w:tc>
      </w:tr>
      <w:tr w:rsidR="0073700B">
        <w:trPr>
          <w:trHeight w:val="340"/>
        </w:trPr>
        <w:tc>
          <w:tcPr>
            <w:tcW w:w="4058" w:type="dxa"/>
            <w:vAlign w:val="center"/>
          </w:tcPr>
          <w:p w:rsidR="0073700B" w:rsidRDefault="001A2FFC">
            <w:pPr>
              <w:jc w:val="center"/>
              <w:rPr>
                <w:bCs/>
                <w:szCs w:val="20"/>
              </w:rPr>
            </w:pPr>
            <w:r>
              <w:rPr>
                <w:bCs/>
                <w:szCs w:val="20"/>
              </w:rPr>
              <w:t>工期延误</w:t>
            </w:r>
          </w:p>
        </w:tc>
        <w:tc>
          <w:tcPr>
            <w:tcW w:w="801" w:type="dxa"/>
            <w:vAlign w:val="center"/>
          </w:tcPr>
          <w:p w:rsidR="0073700B" w:rsidRDefault="001A2FFC">
            <w:pPr>
              <w:jc w:val="center"/>
              <w:rPr>
                <w:bCs/>
                <w:szCs w:val="20"/>
              </w:rPr>
            </w:pPr>
            <w:r>
              <w:rPr>
                <w:bCs/>
                <w:szCs w:val="20"/>
              </w:rPr>
              <w:t>24</w:t>
            </w:r>
          </w:p>
        </w:tc>
        <w:tc>
          <w:tcPr>
            <w:tcW w:w="801" w:type="dxa"/>
            <w:vAlign w:val="center"/>
          </w:tcPr>
          <w:p w:rsidR="0073700B" w:rsidRDefault="001A2FFC">
            <w:pPr>
              <w:jc w:val="center"/>
              <w:rPr>
                <w:bCs/>
                <w:szCs w:val="20"/>
              </w:rPr>
            </w:pPr>
            <w:r>
              <w:rPr>
                <w:bCs/>
                <w:szCs w:val="20"/>
              </w:rPr>
              <w:t>12</w:t>
            </w:r>
          </w:p>
        </w:tc>
        <w:tc>
          <w:tcPr>
            <w:tcW w:w="802" w:type="dxa"/>
            <w:vAlign w:val="center"/>
          </w:tcPr>
          <w:p w:rsidR="0073700B" w:rsidRDefault="001A2FFC">
            <w:pPr>
              <w:jc w:val="center"/>
              <w:rPr>
                <w:bCs/>
                <w:szCs w:val="20"/>
              </w:rPr>
            </w:pPr>
            <w:r>
              <w:rPr>
                <w:bCs/>
                <w:szCs w:val="20"/>
              </w:rPr>
              <w:t>6</w:t>
            </w:r>
          </w:p>
        </w:tc>
        <w:tc>
          <w:tcPr>
            <w:tcW w:w="801" w:type="dxa"/>
            <w:vAlign w:val="center"/>
          </w:tcPr>
          <w:p w:rsidR="0073700B" w:rsidRDefault="001A2FFC">
            <w:pPr>
              <w:jc w:val="center"/>
              <w:rPr>
                <w:bCs/>
                <w:szCs w:val="20"/>
              </w:rPr>
            </w:pPr>
            <w:r>
              <w:rPr>
                <w:bCs/>
                <w:szCs w:val="20"/>
              </w:rPr>
              <w:t>1</w:t>
            </w:r>
          </w:p>
        </w:tc>
        <w:tc>
          <w:tcPr>
            <w:tcW w:w="802" w:type="dxa"/>
            <w:vAlign w:val="center"/>
          </w:tcPr>
          <w:p w:rsidR="0073700B" w:rsidRDefault="001A2FFC">
            <w:pPr>
              <w:jc w:val="center"/>
              <w:rPr>
                <w:bCs/>
                <w:szCs w:val="20"/>
              </w:rPr>
            </w:pPr>
            <w:r>
              <w:rPr>
                <w:bCs/>
                <w:szCs w:val="20"/>
              </w:rPr>
              <w:t>0</w:t>
            </w:r>
          </w:p>
        </w:tc>
      </w:tr>
    </w:tbl>
    <w:p w:rsidR="0073700B" w:rsidRDefault="001A2FFC" w:rsidP="00F80BAC">
      <w:pPr>
        <w:spacing w:beforeLines="50" w:before="156" w:line="360" w:lineRule="auto"/>
        <w:ind w:firstLineChars="200" w:firstLine="480"/>
        <w:rPr>
          <w:bCs/>
          <w:sz w:val="24"/>
          <w:szCs w:val="20"/>
        </w:rPr>
      </w:pPr>
      <w:r>
        <w:rPr>
          <w:bCs/>
          <w:sz w:val="24"/>
          <w:szCs w:val="20"/>
        </w:rPr>
        <w:t>对于五种后果等级出现</w:t>
      </w:r>
      <w:r>
        <w:rPr>
          <w:bCs/>
          <w:sz w:val="24"/>
          <w:szCs w:val="20"/>
        </w:rPr>
        <w:t>5</w:t>
      </w:r>
      <w:r>
        <w:rPr>
          <w:bCs/>
          <w:sz w:val="24"/>
          <w:szCs w:val="20"/>
        </w:rPr>
        <w:t>、</w:t>
      </w:r>
      <w:r>
        <w:rPr>
          <w:bCs/>
          <w:sz w:val="24"/>
          <w:szCs w:val="20"/>
        </w:rPr>
        <w:t>5</w:t>
      </w:r>
      <w:r>
        <w:rPr>
          <w:bCs/>
          <w:sz w:val="24"/>
          <w:szCs w:val="20"/>
        </w:rPr>
        <w:t>、</w:t>
      </w:r>
      <w:r>
        <w:rPr>
          <w:bCs/>
          <w:sz w:val="24"/>
          <w:szCs w:val="20"/>
        </w:rPr>
        <w:t>5</w:t>
      </w:r>
      <w:r>
        <w:rPr>
          <w:bCs/>
          <w:sz w:val="24"/>
          <w:szCs w:val="20"/>
        </w:rPr>
        <w:t>、</w:t>
      </w:r>
      <w:r>
        <w:rPr>
          <w:bCs/>
          <w:sz w:val="24"/>
          <w:szCs w:val="20"/>
        </w:rPr>
        <w:t>5</w:t>
      </w:r>
      <w:r>
        <w:rPr>
          <w:bCs/>
          <w:sz w:val="24"/>
          <w:szCs w:val="20"/>
        </w:rPr>
        <w:t>、</w:t>
      </w:r>
      <w:r>
        <w:rPr>
          <w:bCs/>
          <w:i/>
          <w:iCs/>
          <w:sz w:val="24"/>
          <w:szCs w:val="20"/>
        </w:rPr>
        <w:t>X</w:t>
      </w:r>
      <w:r>
        <w:rPr>
          <w:bCs/>
          <w:sz w:val="24"/>
          <w:szCs w:val="20"/>
        </w:rPr>
        <w:t>（组合一）的情况，后果等级按照就高原则取</w:t>
      </w:r>
      <w:r>
        <w:rPr>
          <w:bCs/>
          <w:i/>
          <w:iCs/>
          <w:sz w:val="24"/>
          <w:szCs w:val="20"/>
        </w:rPr>
        <w:t>X</w:t>
      </w:r>
      <w:r>
        <w:rPr>
          <w:bCs/>
          <w:sz w:val="24"/>
          <w:szCs w:val="20"/>
        </w:rPr>
        <w:t>级，后果当量法也与之保持一致。取</w:t>
      </w:r>
      <w:r>
        <w:rPr>
          <w:bCs/>
          <w:sz w:val="24"/>
          <w:szCs w:val="20"/>
        </w:rPr>
        <w:t>5</w:t>
      </w:r>
      <w:r>
        <w:rPr>
          <w:bCs/>
          <w:sz w:val="24"/>
          <w:szCs w:val="20"/>
        </w:rPr>
        <w:t>、</w:t>
      </w:r>
      <w:r>
        <w:rPr>
          <w:bCs/>
          <w:sz w:val="24"/>
          <w:szCs w:val="20"/>
        </w:rPr>
        <w:t>5</w:t>
      </w:r>
      <w:r>
        <w:rPr>
          <w:bCs/>
          <w:sz w:val="24"/>
          <w:szCs w:val="20"/>
        </w:rPr>
        <w:t>、</w:t>
      </w:r>
      <w:r>
        <w:rPr>
          <w:bCs/>
          <w:sz w:val="24"/>
          <w:szCs w:val="20"/>
        </w:rPr>
        <w:t>5</w:t>
      </w:r>
      <w:r>
        <w:rPr>
          <w:bCs/>
          <w:sz w:val="24"/>
          <w:szCs w:val="20"/>
        </w:rPr>
        <w:t>、</w:t>
      </w:r>
      <w:r>
        <w:rPr>
          <w:bCs/>
          <w:sz w:val="24"/>
          <w:szCs w:val="20"/>
        </w:rPr>
        <w:t>5</w:t>
      </w:r>
      <w:r>
        <w:rPr>
          <w:bCs/>
          <w:sz w:val="24"/>
          <w:szCs w:val="20"/>
        </w:rPr>
        <w:t>、</w:t>
      </w:r>
      <w:r>
        <w:rPr>
          <w:bCs/>
          <w:i/>
          <w:iCs/>
          <w:sz w:val="24"/>
          <w:szCs w:val="20"/>
        </w:rPr>
        <w:t>X</w:t>
      </w:r>
      <w:r>
        <w:rPr>
          <w:bCs/>
          <w:sz w:val="24"/>
          <w:szCs w:val="20"/>
        </w:rPr>
        <w:t>等级的下限值代入本标准公式计算，结果如下：</w:t>
      </w:r>
    </w:p>
    <w:p w:rsidR="0073700B" w:rsidRDefault="001A2FFC">
      <w:pPr>
        <w:spacing w:line="360" w:lineRule="auto"/>
        <w:jc w:val="center"/>
        <w:rPr>
          <w:rFonts w:ascii="黑体" w:eastAsia="黑体" w:hAnsi="黑体"/>
          <w:bCs/>
          <w:sz w:val="24"/>
          <w:szCs w:val="24"/>
        </w:rPr>
      </w:pPr>
      <w:r>
        <w:rPr>
          <w:rFonts w:ascii="黑体" w:eastAsia="黑体" w:hAnsi="黑体"/>
          <w:bCs/>
          <w:sz w:val="24"/>
          <w:szCs w:val="24"/>
        </w:rPr>
        <w:t>表</w:t>
      </w:r>
      <w:r>
        <w:rPr>
          <w:rFonts w:ascii="黑体" w:eastAsia="黑体" w:hAnsi="黑体"/>
          <w:bCs/>
          <w:sz w:val="24"/>
          <w:szCs w:val="24"/>
        </w:rPr>
        <w:fldChar w:fldCharType="begin"/>
      </w:r>
      <w:r>
        <w:rPr>
          <w:rFonts w:ascii="黑体" w:eastAsia="黑体" w:hAnsi="黑体"/>
          <w:bCs/>
          <w:sz w:val="24"/>
          <w:szCs w:val="24"/>
        </w:rPr>
        <w:instrText xml:space="preserve"> STYLEREF 3 \s </w:instrText>
      </w:r>
      <w:r>
        <w:rPr>
          <w:rFonts w:ascii="黑体" w:eastAsia="黑体" w:hAnsi="黑体"/>
          <w:bCs/>
          <w:sz w:val="24"/>
          <w:szCs w:val="24"/>
        </w:rPr>
        <w:fldChar w:fldCharType="separate"/>
      </w:r>
      <w:r>
        <w:rPr>
          <w:rFonts w:ascii="黑体" w:eastAsia="黑体" w:hAnsi="黑体"/>
          <w:bCs/>
          <w:sz w:val="24"/>
          <w:szCs w:val="24"/>
        </w:rPr>
        <w:t>6</w:t>
      </w:r>
      <w:r>
        <w:rPr>
          <w:rFonts w:ascii="黑体" w:eastAsia="黑体" w:hAnsi="黑体"/>
          <w:bCs/>
          <w:sz w:val="24"/>
          <w:szCs w:val="24"/>
        </w:rPr>
        <w:fldChar w:fldCharType="end"/>
      </w:r>
      <w:r>
        <w:rPr>
          <w:rFonts w:ascii="黑体" w:eastAsia="黑体" w:hAnsi="黑体"/>
          <w:bCs/>
          <w:sz w:val="24"/>
          <w:szCs w:val="24"/>
        </w:rPr>
        <w:noBreakHyphen/>
      </w:r>
      <w:r>
        <w:rPr>
          <w:rFonts w:ascii="黑体" w:eastAsia="黑体" w:hAnsi="黑体"/>
          <w:bCs/>
          <w:sz w:val="24"/>
          <w:szCs w:val="24"/>
        </w:rPr>
        <w:fldChar w:fldCharType="begin"/>
      </w:r>
      <w:r>
        <w:rPr>
          <w:rFonts w:ascii="黑体" w:eastAsia="黑体" w:hAnsi="黑体"/>
          <w:bCs/>
          <w:sz w:val="24"/>
          <w:szCs w:val="24"/>
        </w:rPr>
        <w:instrText xml:space="preserve"> SEQ </w:instrText>
      </w:r>
      <w:r>
        <w:rPr>
          <w:rFonts w:ascii="黑体" w:eastAsia="黑体" w:hAnsi="黑体"/>
          <w:bCs/>
          <w:sz w:val="24"/>
          <w:szCs w:val="24"/>
        </w:rPr>
        <w:instrText>表</w:instrText>
      </w:r>
      <w:r>
        <w:rPr>
          <w:rFonts w:ascii="黑体" w:eastAsia="黑体" w:hAnsi="黑体"/>
          <w:bCs/>
          <w:sz w:val="24"/>
          <w:szCs w:val="24"/>
        </w:rPr>
        <w:instrText xml:space="preserve"> \* ARABIC \s 3 </w:instrText>
      </w:r>
      <w:r>
        <w:rPr>
          <w:rFonts w:ascii="黑体" w:eastAsia="黑体" w:hAnsi="黑体"/>
          <w:bCs/>
          <w:sz w:val="24"/>
          <w:szCs w:val="24"/>
        </w:rPr>
        <w:fldChar w:fldCharType="separate"/>
      </w:r>
      <w:r>
        <w:rPr>
          <w:rFonts w:ascii="黑体" w:eastAsia="黑体" w:hAnsi="黑体"/>
          <w:bCs/>
          <w:sz w:val="24"/>
          <w:szCs w:val="24"/>
        </w:rPr>
        <w:t>19</w:t>
      </w:r>
      <w:r>
        <w:rPr>
          <w:rFonts w:ascii="黑体" w:eastAsia="黑体" w:hAnsi="黑体"/>
          <w:bCs/>
          <w:sz w:val="24"/>
          <w:szCs w:val="24"/>
        </w:rPr>
        <w:fldChar w:fldCharType="end"/>
      </w:r>
      <w:r>
        <w:rPr>
          <w:rFonts w:ascii="黑体" w:eastAsia="黑体" w:hAnsi="黑体"/>
          <w:bCs/>
          <w:sz w:val="24"/>
          <w:szCs w:val="24"/>
        </w:rPr>
        <w:t xml:space="preserve">  </w:t>
      </w:r>
      <w:r>
        <w:rPr>
          <w:rFonts w:ascii="黑体" w:eastAsia="黑体" w:hAnsi="黑体"/>
          <w:bCs/>
          <w:sz w:val="24"/>
          <w:szCs w:val="24"/>
        </w:rPr>
        <w:t>组合一试算结果</w:t>
      </w:r>
    </w:p>
    <w:tbl>
      <w:tblPr>
        <w:tblStyle w:val="af1"/>
        <w:tblW w:w="8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33"/>
        <w:gridCol w:w="1056"/>
        <w:gridCol w:w="1476"/>
        <w:gridCol w:w="1056"/>
        <w:gridCol w:w="1056"/>
        <w:gridCol w:w="1056"/>
        <w:gridCol w:w="1056"/>
        <w:gridCol w:w="997"/>
      </w:tblGrid>
      <w:tr w:rsidR="0073700B">
        <w:trPr>
          <w:trHeight w:val="285"/>
          <w:jc w:val="center"/>
        </w:trPr>
        <w:tc>
          <w:tcPr>
            <w:tcW w:w="533" w:type="dxa"/>
            <w:vAlign w:val="center"/>
          </w:tcPr>
          <w:p w:rsidR="0073700B" w:rsidRDefault="0073700B">
            <w:pPr>
              <w:jc w:val="center"/>
              <w:rPr>
                <w:bCs/>
                <w:color w:val="000000" w:themeColor="text1"/>
                <w:szCs w:val="20"/>
              </w:rPr>
            </w:pP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死亡人数</w:t>
            </w:r>
          </w:p>
        </w:tc>
        <w:tc>
          <w:tcPr>
            <w:tcW w:w="147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直接经济损失</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工期延长</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环境影响</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社会影响</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计算结果</w:t>
            </w:r>
          </w:p>
        </w:tc>
        <w:tc>
          <w:tcPr>
            <w:tcW w:w="997" w:type="dxa"/>
            <w:tcBorders>
              <w:top w:val="single" w:sz="8" w:space="0" w:color="auto"/>
              <w:bottom w:val="single" w:sz="8" w:space="0" w:color="auto"/>
            </w:tcBorders>
            <w:vAlign w:val="center"/>
          </w:tcPr>
          <w:p w:rsidR="0073700B" w:rsidRDefault="001A2FFC">
            <w:pPr>
              <w:jc w:val="center"/>
              <w:rPr>
                <w:bCs/>
                <w:color w:val="000000" w:themeColor="text1"/>
                <w:szCs w:val="20"/>
              </w:rPr>
            </w:pPr>
            <w:r>
              <w:rPr>
                <w:bCs/>
                <w:color w:val="000000" w:themeColor="text1"/>
                <w:szCs w:val="20"/>
              </w:rPr>
              <w:t>等级下限值</w:t>
            </w:r>
          </w:p>
        </w:tc>
      </w:tr>
      <w:tr w:rsidR="0073700B">
        <w:trPr>
          <w:trHeight w:val="285"/>
          <w:jc w:val="center"/>
        </w:trPr>
        <w:tc>
          <w:tcPr>
            <w:tcW w:w="533" w:type="dxa"/>
            <w:vMerge w:val="restart"/>
            <w:vAlign w:val="center"/>
          </w:tcPr>
          <w:p w:rsidR="0073700B" w:rsidRDefault="001A2FFC">
            <w:pPr>
              <w:jc w:val="center"/>
              <w:rPr>
                <w:rFonts w:eastAsia="等线"/>
                <w:bCs/>
                <w:color w:val="000000"/>
                <w:szCs w:val="20"/>
              </w:rPr>
            </w:pPr>
            <w:r>
              <w:rPr>
                <w:rFonts w:eastAsia="等线"/>
                <w:bCs/>
                <w:color w:val="000000"/>
                <w:szCs w:val="20"/>
              </w:rPr>
              <w:t>4</w:t>
            </w:r>
            <w:r>
              <w:rPr>
                <w:rFonts w:eastAsia="等线"/>
                <w:bCs/>
                <w:color w:val="000000"/>
                <w:szCs w:val="20"/>
              </w:rPr>
              <w:t>级</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4</w:t>
            </w:r>
          </w:p>
        </w:tc>
        <w:tc>
          <w:tcPr>
            <w:tcW w:w="147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2.00</w:t>
            </w:r>
          </w:p>
        </w:tc>
        <w:tc>
          <w:tcPr>
            <w:tcW w:w="997" w:type="dxa"/>
            <w:vMerge w:val="restart"/>
            <w:tcBorders>
              <w:top w:val="single" w:sz="8" w:space="0" w:color="auto"/>
            </w:tcBorders>
            <w:vAlign w:val="center"/>
          </w:tcPr>
          <w:p w:rsidR="0073700B" w:rsidRDefault="001A2FFC">
            <w:pPr>
              <w:jc w:val="center"/>
              <w:rPr>
                <w:rFonts w:eastAsia="等线"/>
                <w:bCs/>
                <w:color w:val="000000"/>
                <w:szCs w:val="20"/>
              </w:rPr>
            </w:pPr>
            <w:r>
              <w:rPr>
                <w:rFonts w:eastAsia="等线"/>
                <w:bCs/>
                <w:color w:val="000000"/>
                <w:szCs w:val="20"/>
              </w:rPr>
              <w:t>1</w:t>
            </w: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1.25</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1.33</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1.50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1.50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restart"/>
            <w:vAlign w:val="center"/>
          </w:tcPr>
          <w:p w:rsidR="0073700B" w:rsidRDefault="001A2FFC">
            <w:pPr>
              <w:jc w:val="center"/>
              <w:rPr>
                <w:rFonts w:eastAsia="等线"/>
                <w:bCs/>
                <w:color w:val="000000"/>
                <w:szCs w:val="20"/>
              </w:rPr>
            </w:pPr>
            <w:r>
              <w:rPr>
                <w:rFonts w:eastAsia="等线"/>
                <w:bCs/>
                <w:color w:val="000000"/>
                <w:szCs w:val="20"/>
              </w:rPr>
              <w:t>3</w:t>
            </w:r>
            <w:r>
              <w:rPr>
                <w:rFonts w:eastAsia="等线"/>
                <w:bCs/>
                <w:color w:val="000000"/>
                <w:szCs w:val="20"/>
              </w:rPr>
              <w:t>级</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4.00</w:t>
            </w:r>
          </w:p>
        </w:tc>
        <w:tc>
          <w:tcPr>
            <w:tcW w:w="997" w:type="dxa"/>
            <w:vMerge w:val="restart"/>
            <w:vAlign w:val="center"/>
          </w:tcPr>
          <w:p w:rsidR="0073700B" w:rsidRDefault="001A2FFC">
            <w:pPr>
              <w:jc w:val="center"/>
              <w:rPr>
                <w:rFonts w:eastAsia="等线"/>
                <w:bCs/>
                <w:color w:val="000000"/>
                <w:szCs w:val="20"/>
              </w:rPr>
            </w:pPr>
            <w:r>
              <w:rPr>
                <w:rFonts w:eastAsia="等线"/>
                <w:bCs/>
                <w:color w:val="000000"/>
                <w:szCs w:val="20"/>
              </w:rPr>
              <w:t>3</w:t>
            </w: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bCs/>
                <w:color w:val="000000" w:themeColor="text1"/>
                <w:szCs w:val="20"/>
              </w:rPr>
              <w:t>3.50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3.00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szCs w:val="20"/>
              </w:rPr>
            </w:pPr>
            <w:r>
              <w:rPr>
                <w:rFonts w:eastAsia="等线"/>
                <w:bCs/>
                <w:szCs w:val="20"/>
              </w:rPr>
              <w:t>5</w:t>
            </w:r>
          </w:p>
        </w:tc>
        <w:tc>
          <w:tcPr>
            <w:tcW w:w="147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3</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3.50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szCs w:val="20"/>
              </w:rPr>
            </w:pPr>
            <w:r>
              <w:rPr>
                <w:rFonts w:eastAsia="等线"/>
                <w:bCs/>
                <w:szCs w:val="20"/>
              </w:rPr>
              <w:t>5</w:t>
            </w:r>
          </w:p>
        </w:tc>
        <w:tc>
          <w:tcPr>
            <w:tcW w:w="147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3</w:t>
            </w:r>
          </w:p>
        </w:tc>
        <w:tc>
          <w:tcPr>
            <w:tcW w:w="1056" w:type="dxa"/>
            <w:noWrap/>
            <w:vAlign w:val="center"/>
          </w:tcPr>
          <w:p w:rsidR="0073700B" w:rsidRDefault="001A2FFC">
            <w:pPr>
              <w:jc w:val="center"/>
              <w:rPr>
                <w:bCs/>
                <w:szCs w:val="20"/>
              </w:rPr>
            </w:pPr>
            <w:r>
              <w:rPr>
                <w:rFonts w:eastAsia="等线"/>
                <w:bCs/>
                <w:szCs w:val="20"/>
              </w:rPr>
              <w:t>3.50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restart"/>
            <w:vAlign w:val="center"/>
          </w:tcPr>
          <w:p w:rsidR="0073700B" w:rsidRDefault="001A2FFC">
            <w:pPr>
              <w:jc w:val="center"/>
              <w:rPr>
                <w:rFonts w:eastAsia="等线"/>
                <w:bCs/>
                <w:color w:val="000000"/>
                <w:szCs w:val="20"/>
              </w:rPr>
            </w:pPr>
            <w:r>
              <w:rPr>
                <w:rFonts w:eastAsia="等线"/>
                <w:bCs/>
                <w:color w:val="000000"/>
                <w:szCs w:val="20"/>
              </w:rPr>
              <w:t>2</w:t>
            </w:r>
            <w:r>
              <w:rPr>
                <w:rFonts w:eastAsia="等线"/>
                <w:bCs/>
                <w:color w:val="000000"/>
                <w:szCs w:val="20"/>
              </w:rPr>
              <w:t>级</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11.00</w:t>
            </w:r>
          </w:p>
        </w:tc>
        <w:tc>
          <w:tcPr>
            <w:tcW w:w="997" w:type="dxa"/>
            <w:vMerge w:val="restart"/>
            <w:vAlign w:val="center"/>
          </w:tcPr>
          <w:p w:rsidR="0073700B" w:rsidRDefault="001A2FFC">
            <w:pPr>
              <w:jc w:val="center"/>
              <w:rPr>
                <w:rFonts w:eastAsia="等线"/>
                <w:bCs/>
                <w:color w:val="000000"/>
                <w:szCs w:val="20"/>
              </w:rPr>
            </w:pPr>
            <w:r>
              <w:rPr>
                <w:rFonts w:eastAsia="等线"/>
                <w:bCs/>
                <w:color w:val="000000"/>
                <w:szCs w:val="20"/>
              </w:rPr>
              <w:t>10</w:t>
            </w: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13.50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szCs w:val="20"/>
              </w:rPr>
            </w:pPr>
            <w:r>
              <w:rPr>
                <w:rFonts w:eastAsia="等线"/>
                <w:bCs/>
                <w:szCs w:val="20"/>
              </w:rPr>
              <w:t>5</w:t>
            </w:r>
          </w:p>
        </w:tc>
        <w:tc>
          <w:tcPr>
            <w:tcW w:w="147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2</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u w:val="single"/>
              </w:rPr>
            </w:pPr>
            <w:r>
              <w:rPr>
                <w:rFonts w:eastAsia="等线"/>
                <w:bCs/>
                <w:szCs w:val="20"/>
                <w:u w:val="single"/>
              </w:rPr>
              <w:t>5.00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szCs w:val="20"/>
              </w:rPr>
            </w:pPr>
            <w:r>
              <w:rPr>
                <w:rFonts w:eastAsia="等线"/>
                <w:bCs/>
                <w:szCs w:val="20"/>
              </w:rPr>
              <w:t>5</w:t>
            </w:r>
          </w:p>
        </w:tc>
        <w:tc>
          <w:tcPr>
            <w:tcW w:w="147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2</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10.50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szCs w:val="20"/>
              </w:rPr>
            </w:pPr>
            <w:r>
              <w:rPr>
                <w:rFonts w:eastAsia="等线"/>
                <w:bCs/>
                <w:szCs w:val="20"/>
              </w:rPr>
              <w:t>5</w:t>
            </w:r>
          </w:p>
        </w:tc>
        <w:tc>
          <w:tcPr>
            <w:tcW w:w="147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2</w:t>
            </w:r>
          </w:p>
        </w:tc>
        <w:tc>
          <w:tcPr>
            <w:tcW w:w="1056" w:type="dxa"/>
            <w:noWrap/>
            <w:vAlign w:val="center"/>
          </w:tcPr>
          <w:p w:rsidR="0073700B" w:rsidRDefault="001A2FFC">
            <w:pPr>
              <w:jc w:val="center"/>
              <w:rPr>
                <w:bCs/>
                <w:szCs w:val="20"/>
              </w:rPr>
            </w:pPr>
            <w:r>
              <w:rPr>
                <w:rFonts w:eastAsia="等线"/>
                <w:bCs/>
                <w:szCs w:val="20"/>
              </w:rPr>
              <w:t>10.50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restart"/>
            <w:vAlign w:val="center"/>
          </w:tcPr>
          <w:p w:rsidR="0073700B" w:rsidRDefault="001A2FFC">
            <w:pPr>
              <w:jc w:val="center"/>
              <w:rPr>
                <w:rFonts w:eastAsia="等线"/>
                <w:bCs/>
                <w:color w:val="000000"/>
                <w:szCs w:val="20"/>
              </w:rPr>
            </w:pPr>
            <w:r>
              <w:rPr>
                <w:rFonts w:eastAsia="等线"/>
                <w:bCs/>
                <w:color w:val="000000"/>
                <w:szCs w:val="20"/>
              </w:rPr>
              <w:t>1</w:t>
            </w:r>
            <w:r>
              <w:rPr>
                <w:rFonts w:eastAsia="等线"/>
                <w:bCs/>
                <w:color w:val="000000"/>
                <w:szCs w:val="20"/>
              </w:rPr>
              <w:t>级</w:t>
            </w:r>
          </w:p>
        </w:tc>
        <w:tc>
          <w:tcPr>
            <w:tcW w:w="1056" w:type="dxa"/>
            <w:noWrap/>
            <w:vAlign w:val="center"/>
          </w:tcPr>
          <w:p w:rsidR="0073700B" w:rsidRDefault="001A2FFC">
            <w:pPr>
              <w:jc w:val="center"/>
              <w:rPr>
                <w:bCs/>
                <w:szCs w:val="20"/>
              </w:rPr>
            </w:pPr>
            <w:r>
              <w:rPr>
                <w:rFonts w:eastAsia="等线"/>
                <w:bCs/>
                <w:szCs w:val="20"/>
              </w:rPr>
              <w:t>1</w:t>
            </w:r>
          </w:p>
        </w:tc>
        <w:tc>
          <w:tcPr>
            <w:tcW w:w="147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31.00</w:t>
            </w:r>
          </w:p>
        </w:tc>
        <w:tc>
          <w:tcPr>
            <w:tcW w:w="997" w:type="dxa"/>
            <w:vMerge w:val="restart"/>
            <w:vAlign w:val="center"/>
          </w:tcPr>
          <w:p w:rsidR="0073700B" w:rsidRDefault="001A2FFC">
            <w:pPr>
              <w:jc w:val="center"/>
              <w:rPr>
                <w:rFonts w:eastAsia="等线"/>
                <w:bCs/>
                <w:color w:val="000000"/>
                <w:szCs w:val="20"/>
              </w:rPr>
            </w:pPr>
            <w:r>
              <w:rPr>
                <w:rFonts w:eastAsia="等线"/>
                <w:bCs/>
                <w:color w:val="000000"/>
                <w:szCs w:val="20"/>
              </w:rPr>
              <w:t>30</w:t>
            </w: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szCs w:val="20"/>
              </w:rPr>
            </w:pPr>
            <w:r>
              <w:rPr>
                <w:rFonts w:eastAsia="等线"/>
                <w:bCs/>
                <w:szCs w:val="20"/>
              </w:rPr>
              <w:t>5</w:t>
            </w:r>
          </w:p>
        </w:tc>
        <w:tc>
          <w:tcPr>
            <w:tcW w:w="1476" w:type="dxa"/>
            <w:noWrap/>
            <w:vAlign w:val="center"/>
          </w:tcPr>
          <w:p w:rsidR="0073700B" w:rsidRDefault="001A2FFC">
            <w:pPr>
              <w:jc w:val="center"/>
              <w:rPr>
                <w:bCs/>
                <w:szCs w:val="20"/>
              </w:rPr>
            </w:pPr>
            <w:r>
              <w:rPr>
                <w:rFonts w:eastAsia="等线"/>
                <w:bCs/>
                <w:szCs w:val="20"/>
              </w:rPr>
              <w:t>1</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u w:val="single"/>
              </w:rPr>
            </w:pPr>
            <w:r>
              <w:rPr>
                <w:rFonts w:eastAsia="等线"/>
                <w:bCs/>
                <w:szCs w:val="20"/>
                <w:u w:val="single"/>
              </w:rPr>
              <w:t>26.00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szCs w:val="20"/>
              </w:rPr>
            </w:pPr>
            <w:r>
              <w:rPr>
                <w:rFonts w:eastAsia="等线"/>
                <w:bCs/>
                <w:szCs w:val="20"/>
              </w:rPr>
              <w:t>5</w:t>
            </w:r>
          </w:p>
        </w:tc>
        <w:tc>
          <w:tcPr>
            <w:tcW w:w="147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1</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rPr>
            </w:pPr>
            <w:r>
              <w:rPr>
                <w:rFonts w:eastAsia="等线"/>
                <w:bCs/>
                <w:szCs w:val="20"/>
              </w:rPr>
              <w:t>5</w:t>
            </w:r>
          </w:p>
        </w:tc>
        <w:tc>
          <w:tcPr>
            <w:tcW w:w="1056" w:type="dxa"/>
            <w:noWrap/>
            <w:vAlign w:val="center"/>
          </w:tcPr>
          <w:p w:rsidR="0073700B" w:rsidRDefault="001A2FFC">
            <w:pPr>
              <w:jc w:val="center"/>
              <w:rPr>
                <w:bCs/>
                <w:szCs w:val="20"/>
                <w:u w:val="single"/>
              </w:rPr>
            </w:pPr>
            <w:r>
              <w:rPr>
                <w:rFonts w:eastAsia="等线"/>
                <w:bCs/>
                <w:szCs w:val="20"/>
                <w:u w:val="single"/>
              </w:rPr>
              <w:t>9.00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30.50</w:t>
            </w:r>
          </w:p>
        </w:tc>
        <w:tc>
          <w:tcPr>
            <w:tcW w:w="997" w:type="dxa"/>
            <w:vMerge/>
            <w:vAlign w:val="center"/>
          </w:tcPr>
          <w:p w:rsidR="0073700B" w:rsidRDefault="0073700B">
            <w:pPr>
              <w:jc w:val="center"/>
              <w:rPr>
                <w:rFonts w:eastAsia="等线"/>
                <w:bCs/>
                <w:color w:val="000000"/>
                <w:szCs w:val="20"/>
              </w:rPr>
            </w:pPr>
          </w:p>
        </w:tc>
      </w:tr>
      <w:tr w:rsidR="0073700B">
        <w:trPr>
          <w:trHeight w:val="285"/>
          <w:jc w:val="center"/>
        </w:trPr>
        <w:tc>
          <w:tcPr>
            <w:tcW w:w="533"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47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30.50</w:t>
            </w:r>
          </w:p>
        </w:tc>
        <w:tc>
          <w:tcPr>
            <w:tcW w:w="997" w:type="dxa"/>
            <w:vMerge/>
            <w:vAlign w:val="center"/>
          </w:tcPr>
          <w:p w:rsidR="0073700B" w:rsidRDefault="0073700B">
            <w:pPr>
              <w:jc w:val="center"/>
              <w:rPr>
                <w:rFonts w:eastAsia="等线"/>
                <w:bCs/>
                <w:color w:val="000000"/>
                <w:szCs w:val="20"/>
              </w:rPr>
            </w:pPr>
          </w:p>
        </w:tc>
      </w:tr>
    </w:tbl>
    <w:p w:rsidR="0073700B" w:rsidRDefault="001A2FFC" w:rsidP="00F80BAC">
      <w:pPr>
        <w:spacing w:beforeLines="50" w:before="156" w:line="480" w:lineRule="auto"/>
        <w:ind w:firstLineChars="200" w:firstLine="480"/>
        <w:rPr>
          <w:bCs/>
          <w:sz w:val="24"/>
          <w:szCs w:val="24"/>
        </w:rPr>
      </w:pPr>
      <w:r>
        <w:rPr>
          <w:bCs/>
          <w:sz w:val="24"/>
          <w:szCs w:val="24"/>
        </w:rPr>
        <w:t>综上后果当量法划分区间为：</w:t>
      </w:r>
    </w:p>
    <w:p w:rsidR="0073700B" w:rsidRDefault="001A2FFC">
      <w:pPr>
        <w:spacing w:line="360" w:lineRule="auto"/>
        <w:jc w:val="center"/>
        <w:rPr>
          <w:rFonts w:ascii="黑体" w:eastAsia="黑体" w:hAnsi="黑体"/>
          <w:bCs/>
          <w:sz w:val="24"/>
          <w:szCs w:val="24"/>
        </w:rPr>
      </w:pPr>
      <w:r>
        <w:rPr>
          <w:rFonts w:ascii="黑体" w:eastAsia="黑体" w:hAnsi="黑体"/>
          <w:bCs/>
          <w:sz w:val="24"/>
          <w:szCs w:val="24"/>
        </w:rPr>
        <w:t>表</w:t>
      </w:r>
      <w:r>
        <w:rPr>
          <w:rFonts w:ascii="黑体" w:eastAsia="黑体" w:hAnsi="黑体"/>
          <w:bCs/>
          <w:sz w:val="24"/>
          <w:szCs w:val="24"/>
        </w:rPr>
        <w:fldChar w:fldCharType="begin"/>
      </w:r>
      <w:r>
        <w:rPr>
          <w:rFonts w:ascii="黑体" w:eastAsia="黑体" w:hAnsi="黑体"/>
          <w:bCs/>
          <w:sz w:val="24"/>
          <w:szCs w:val="24"/>
        </w:rPr>
        <w:instrText xml:space="preserve"> STYLEREF 3 \s </w:instrText>
      </w:r>
      <w:r>
        <w:rPr>
          <w:rFonts w:ascii="黑体" w:eastAsia="黑体" w:hAnsi="黑体"/>
          <w:bCs/>
          <w:sz w:val="24"/>
          <w:szCs w:val="24"/>
        </w:rPr>
        <w:fldChar w:fldCharType="separate"/>
      </w:r>
      <w:r>
        <w:rPr>
          <w:rFonts w:ascii="黑体" w:eastAsia="黑体" w:hAnsi="黑体"/>
          <w:bCs/>
          <w:sz w:val="24"/>
          <w:szCs w:val="24"/>
        </w:rPr>
        <w:t>6</w:t>
      </w:r>
      <w:r>
        <w:rPr>
          <w:rFonts w:ascii="黑体" w:eastAsia="黑体" w:hAnsi="黑体"/>
          <w:bCs/>
          <w:sz w:val="24"/>
          <w:szCs w:val="24"/>
        </w:rPr>
        <w:fldChar w:fldCharType="end"/>
      </w:r>
      <w:r>
        <w:rPr>
          <w:rFonts w:ascii="黑体" w:eastAsia="黑体" w:hAnsi="黑体"/>
          <w:bCs/>
          <w:sz w:val="24"/>
          <w:szCs w:val="24"/>
        </w:rPr>
        <w:noBreakHyphen/>
      </w:r>
      <w:r>
        <w:rPr>
          <w:rFonts w:ascii="黑体" w:eastAsia="黑体" w:hAnsi="黑体"/>
          <w:bCs/>
          <w:sz w:val="24"/>
          <w:szCs w:val="24"/>
        </w:rPr>
        <w:fldChar w:fldCharType="begin"/>
      </w:r>
      <w:r>
        <w:rPr>
          <w:rFonts w:ascii="黑体" w:eastAsia="黑体" w:hAnsi="黑体"/>
          <w:bCs/>
          <w:sz w:val="24"/>
          <w:szCs w:val="24"/>
        </w:rPr>
        <w:instrText xml:space="preserve"> SEQ </w:instrText>
      </w:r>
      <w:r>
        <w:rPr>
          <w:rFonts w:ascii="黑体" w:eastAsia="黑体" w:hAnsi="黑体"/>
          <w:bCs/>
          <w:sz w:val="24"/>
          <w:szCs w:val="24"/>
        </w:rPr>
        <w:instrText>表</w:instrText>
      </w:r>
      <w:r>
        <w:rPr>
          <w:rFonts w:ascii="黑体" w:eastAsia="黑体" w:hAnsi="黑体"/>
          <w:bCs/>
          <w:sz w:val="24"/>
          <w:szCs w:val="24"/>
        </w:rPr>
        <w:instrText xml:space="preserve"> \* ARABIC \s 3 </w:instrText>
      </w:r>
      <w:r>
        <w:rPr>
          <w:rFonts w:ascii="黑体" w:eastAsia="黑体" w:hAnsi="黑体"/>
          <w:bCs/>
          <w:sz w:val="24"/>
          <w:szCs w:val="24"/>
        </w:rPr>
        <w:fldChar w:fldCharType="separate"/>
      </w:r>
      <w:r>
        <w:rPr>
          <w:rFonts w:ascii="黑体" w:eastAsia="黑体" w:hAnsi="黑体"/>
          <w:bCs/>
          <w:sz w:val="24"/>
          <w:szCs w:val="24"/>
        </w:rPr>
        <w:t>20</w:t>
      </w:r>
      <w:r>
        <w:rPr>
          <w:rFonts w:ascii="黑体" w:eastAsia="黑体" w:hAnsi="黑体"/>
          <w:bCs/>
          <w:sz w:val="24"/>
          <w:szCs w:val="24"/>
        </w:rPr>
        <w:fldChar w:fldCharType="end"/>
      </w:r>
      <w:r>
        <w:rPr>
          <w:rFonts w:ascii="黑体" w:eastAsia="黑体" w:hAnsi="黑体"/>
          <w:bCs/>
          <w:sz w:val="24"/>
          <w:szCs w:val="24"/>
        </w:rPr>
        <w:t xml:space="preserve">  </w:t>
      </w:r>
      <w:r>
        <w:rPr>
          <w:rFonts w:ascii="黑体" w:eastAsia="黑体" w:hAnsi="黑体"/>
          <w:bCs/>
          <w:sz w:val="24"/>
          <w:szCs w:val="24"/>
        </w:rPr>
        <w:t>后果当量法等级区间划分</w:t>
      </w:r>
    </w:p>
    <w:tbl>
      <w:tblPr>
        <w:tblStyle w:val="af1"/>
        <w:tblW w:w="8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61"/>
        <w:gridCol w:w="1027"/>
        <w:gridCol w:w="1332"/>
        <w:gridCol w:w="1477"/>
        <w:gridCol w:w="1622"/>
        <w:gridCol w:w="1167"/>
      </w:tblGrid>
      <w:tr w:rsidR="0073700B">
        <w:tc>
          <w:tcPr>
            <w:tcW w:w="1661" w:type="dxa"/>
            <w:tcBorders>
              <w:top w:val="single" w:sz="8" w:space="0" w:color="auto"/>
              <w:bottom w:val="single" w:sz="8" w:space="0" w:color="auto"/>
            </w:tcBorders>
            <w:vAlign w:val="center"/>
          </w:tcPr>
          <w:p w:rsidR="0073700B" w:rsidRDefault="001A2FFC">
            <w:pPr>
              <w:jc w:val="center"/>
              <w:rPr>
                <w:bCs/>
                <w:szCs w:val="20"/>
              </w:rPr>
            </w:pPr>
            <w:r>
              <w:rPr>
                <w:bCs/>
                <w:szCs w:val="20"/>
              </w:rPr>
              <w:t>后果等级</w:t>
            </w:r>
          </w:p>
        </w:tc>
        <w:tc>
          <w:tcPr>
            <w:tcW w:w="1027" w:type="dxa"/>
            <w:tcBorders>
              <w:top w:val="single" w:sz="8" w:space="0" w:color="auto"/>
              <w:bottom w:val="single" w:sz="8" w:space="0" w:color="auto"/>
            </w:tcBorders>
            <w:vAlign w:val="center"/>
          </w:tcPr>
          <w:p w:rsidR="0073700B" w:rsidRDefault="001A2FFC">
            <w:pPr>
              <w:jc w:val="center"/>
              <w:rPr>
                <w:bCs/>
                <w:szCs w:val="20"/>
              </w:rPr>
            </w:pPr>
            <w:r>
              <w:rPr>
                <w:bCs/>
                <w:szCs w:val="20"/>
              </w:rPr>
              <w:t>5</w:t>
            </w:r>
          </w:p>
        </w:tc>
        <w:tc>
          <w:tcPr>
            <w:tcW w:w="1332" w:type="dxa"/>
            <w:tcBorders>
              <w:top w:val="single" w:sz="8" w:space="0" w:color="auto"/>
              <w:bottom w:val="single" w:sz="8" w:space="0" w:color="auto"/>
            </w:tcBorders>
            <w:vAlign w:val="center"/>
          </w:tcPr>
          <w:p w:rsidR="0073700B" w:rsidRDefault="001A2FFC">
            <w:pPr>
              <w:jc w:val="center"/>
              <w:rPr>
                <w:bCs/>
                <w:szCs w:val="20"/>
              </w:rPr>
            </w:pPr>
            <w:r>
              <w:rPr>
                <w:bCs/>
                <w:szCs w:val="20"/>
              </w:rPr>
              <w:t>4</w:t>
            </w:r>
          </w:p>
        </w:tc>
        <w:tc>
          <w:tcPr>
            <w:tcW w:w="1477" w:type="dxa"/>
            <w:tcBorders>
              <w:top w:val="single" w:sz="8" w:space="0" w:color="auto"/>
              <w:bottom w:val="single" w:sz="8" w:space="0" w:color="auto"/>
            </w:tcBorders>
            <w:vAlign w:val="center"/>
          </w:tcPr>
          <w:p w:rsidR="0073700B" w:rsidRDefault="001A2FFC">
            <w:pPr>
              <w:jc w:val="center"/>
              <w:rPr>
                <w:bCs/>
                <w:szCs w:val="20"/>
              </w:rPr>
            </w:pPr>
            <w:r>
              <w:rPr>
                <w:bCs/>
                <w:szCs w:val="20"/>
              </w:rPr>
              <w:t>3</w:t>
            </w:r>
          </w:p>
        </w:tc>
        <w:tc>
          <w:tcPr>
            <w:tcW w:w="1622" w:type="dxa"/>
            <w:tcBorders>
              <w:top w:val="single" w:sz="8" w:space="0" w:color="auto"/>
              <w:bottom w:val="single" w:sz="8" w:space="0" w:color="auto"/>
            </w:tcBorders>
            <w:vAlign w:val="center"/>
          </w:tcPr>
          <w:p w:rsidR="0073700B" w:rsidRDefault="001A2FFC">
            <w:pPr>
              <w:jc w:val="center"/>
              <w:rPr>
                <w:bCs/>
                <w:szCs w:val="20"/>
              </w:rPr>
            </w:pPr>
            <w:r>
              <w:rPr>
                <w:bCs/>
                <w:szCs w:val="20"/>
              </w:rPr>
              <w:t>2</w:t>
            </w:r>
          </w:p>
        </w:tc>
        <w:tc>
          <w:tcPr>
            <w:tcW w:w="1167" w:type="dxa"/>
            <w:tcBorders>
              <w:top w:val="single" w:sz="8" w:space="0" w:color="auto"/>
              <w:bottom w:val="single" w:sz="8" w:space="0" w:color="auto"/>
            </w:tcBorders>
            <w:vAlign w:val="center"/>
          </w:tcPr>
          <w:p w:rsidR="0073700B" w:rsidRDefault="001A2FFC">
            <w:pPr>
              <w:jc w:val="center"/>
              <w:rPr>
                <w:bCs/>
                <w:szCs w:val="20"/>
              </w:rPr>
            </w:pPr>
            <w:r>
              <w:rPr>
                <w:bCs/>
                <w:szCs w:val="20"/>
              </w:rPr>
              <w:t>1</w:t>
            </w:r>
          </w:p>
        </w:tc>
      </w:tr>
      <w:tr w:rsidR="0073700B">
        <w:tc>
          <w:tcPr>
            <w:tcW w:w="1661" w:type="dxa"/>
            <w:tcBorders>
              <w:top w:val="single" w:sz="8" w:space="0" w:color="auto"/>
            </w:tcBorders>
            <w:vAlign w:val="center"/>
          </w:tcPr>
          <w:p w:rsidR="0073700B" w:rsidRDefault="001A2FFC">
            <w:pPr>
              <w:jc w:val="center"/>
              <w:rPr>
                <w:bCs/>
                <w:szCs w:val="20"/>
              </w:rPr>
            </w:pPr>
            <w:r>
              <w:rPr>
                <w:bCs/>
                <w:szCs w:val="20"/>
              </w:rPr>
              <w:t>当量值</w:t>
            </w:r>
            <w:r>
              <w:rPr>
                <w:bCs/>
                <w:i/>
                <w:iCs/>
                <w:szCs w:val="20"/>
              </w:rPr>
              <w:t>DC</w:t>
            </w:r>
          </w:p>
        </w:tc>
        <w:tc>
          <w:tcPr>
            <w:tcW w:w="1027" w:type="dxa"/>
            <w:tcBorders>
              <w:top w:val="single" w:sz="8" w:space="0" w:color="auto"/>
            </w:tcBorders>
            <w:vAlign w:val="center"/>
          </w:tcPr>
          <w:p w:rsidR="0073700B" w:rsidRDefault="001A2FFC">
            <w:pPr>
              <w:jc w:val="center"/>
              <w:rPr>
                <w:bCs/>
                <w:szCs w:val="20"/>
              </w:rPr>
            </w:pPr>
            <w:r>
              <w:rPr>
                <w:bCs/>
                <w:i/>
                <w:iCs/>
                <w:szCs w:val="20"/>
              </w:rPr>
              <w:t>DC</w:t>
            </w:r>
            <w:r>
              <w:rPr>
                <w:bCs/>
                <w:szCs w:val="20"/>
              </w:rPr>
              <w:t>&lt;1</w:t>
            </w:r>
          </w:p>
        </w:tc>
        <w:tc>
          <w:tcPr>
            <w:tcW w:w="1332" w:type="dxa"/>
            <w:tcBorders>
              <w:top w:val="single" w:sz="8" w:space="0" w:color="auto"/>
            </w:tcBorders>
            <w:vAlign w:val="center"/>
          </w:tcPr>
          <w:p w:rsidR="0073700B" w:rsidRDefault="001A2FFC">
            <w:pPr>
              <w:jc w:val="center"/>
              <w:rPr>
                <w:bCs/>
                <w:szCs w:val="20"/>
              </w:rPr>
            </w:pPr>
            <w:r>
              <w:rPr>
                <w:bCs/>
                <w:szCs w:val="20"/>
              </w:rPr>
              <w:t>1≤</w:t>
            </w:r>
            <w:r>
              <w:rPr>
                <w:bCs/>
                <w:i/>
                <w:iCs/>
                <w:szCs w:val="20"/>
              </w:rPr>
              <w:t>DC</w:t>
            </w:r>
            <w:r>
              <w:rPr>
                <w:bCs/>
                <w:szCs w:val="20"/>
              </w:rPr>
              <w:t>&lt;3</w:t>
            </w:r>
          </w:p>
        </w:tc>
        <w:tc>
          <w:tcPr>
            <w:tcW w:w="1477" w:type="dxa"/>
            <w:tcBorders>
              <w:top w:val="single" w:sz="8" w:space="0" w:color="auto"/>
            </w:tcBorders>
            <w:vAlign w:val="center"/>
          </w:tcPr>
          <w:p w:rsidR="0073700B" w:rsidRDefault="001A2FFC">
            <w:pPr>
              <w:jc w:val="center"/>
              <w:rPr>
                <w:bCs/>
                <w:szCs w:val="20"/>
              </w:rPr>
            </w:pPr>
            <w:r>
              <w:rPr>
                <w:bCs/>
                <w:szCs w:val="20"/>
              </w:rPr>
              <w:t>3≤</w:t>
            </w:r>
            <w:r>
              <w:rPr>
                <w:bCs/>
                <w:i/>
                <w:iCs/>
                <w:szCs w:val="20"/>
              </w:rPr>
              <w:t>DC</w:t>
            </w:r>
            <w:r>
              <w:rPr>
                <w:bCs/>
                <w:szCs w:val="20"/>
              </w:rPr>
              <w:t>&lt;10</w:t>
            </w:r>
          </w:p>
        </w:tc>
        <w:tc>
          <w:tcPr>
            <w:tcW w:w="1622" w:type="dxa"/>
            <w:tcBorders>
              <w:top w:val="single" w:sz="8" w:space="0" w:color="auto"/>
            </w:tcBorders>
            <w:vAlign w:val="center"/>
          </w:tcPr>
          <w:p w:rsidR="0073700B" w:rsidRDefault="001A2FFC">
            <w:pPr>
              <w:jc w:val="center"/>
              <w:rPr>
                <w:bCs/>
                <w:szCs w:val="20"/>
              </w:rPr>
            </w:pPr>
            <w:r>
              <w:rPr>
                <w:bCs/>
                <w:szCs w:val="20"/>
              </w:rPr>
              <w:t>10≤</w:t>
            </w:r>
            <w:r>
              <w:rPr>
                <w:bCs/>
                <w:i/>
                <w:iCs/>
                <w:szCs w:val="20"/>
              </w:rPr>
              <w:t>DC</w:t>
            </w:r>
            <w:r>
              <w:rPr>
                <w:bCs/>
                <w:szCs w:val="20"/>
              </w:rPr>
              <w:t>&lt;30</w:t>
            </w:r>
          </w:p>
        </w:tc>
        <w:tc>
          <w:tcPr>
            <w:tcW w:w="1167" w:type="dxa"/>
            <w:tcBorders>
              <w:top w:val="single" w:sz="8" w:space="0" w:color="auto"/>
            </w:tcBorders>
            <w:vAlign w:val="center"/>
          </w:tcPr>
          <w:p w:rsidR="0073700B" w:rsidRDefault="001A2FFC">
            <w:pPr>
              <w:jc w:val="center"/>
              <w:rPr>
                <w:bCs/>
                <w:szCs w:val="20"/>
              </w:rPr>
            </w:pPr>
            <w:r>
              <w:rPr>
                <w:bCs/>
                <w:i/>
                <w:iCs/>
                <w:szCs w:val="20"/>
              </w:rPr>
              <w:t>DC</w:t>
            </w:r>
            <w:r>
              <w:rPr>
                <w:bCs/>
                <w:szCs w:val="20"/>
              </w:rPr>
              <w:t>≥30</w:t>
            </w:r>
          </w:p>
        </w:tc>
      </w:tr>
    </w:tbl>
    <w:p w:rsidR="0073700B" w:rsidRDefault="001A2FFC" w:rsidP="00F80BAC">
      <w:pPr>
        <w:spacing w:beforeLines="50" w:before="156" w:line="360" w:lineRule="auto"/>
        <w:ind w:firstLineChars="200" w:firstLine="480"/>
        <w:rPr>
          <w:bCs/>
          <w:sz w:val="24"/>
          <w:szCs w:val="24"/>
        </w:rPr>
      </w:pPr>
      <w:r>
        <w:rPr>
          <w:bCs/>
          <w:sz w:val="24"/>
          <w:szCs w:val="24"/>
        </w:rPr>
        <w:t>对于五种后果等级出现</w:t>
      </w:r>
      <w:r>
        <w:rPr>
          <w:bCs/>
          <w:i/>
          <w:iCs/>
          <w:sz w:val="24"/>
          <w:szCs w:val="24"/>
        </w:rPr>
        <w:t>X</w:t>
      </w:r>
      <w:r>
        <w:rPr>
          <w:bCs/>
          <w:sz w:val="24"/>
          <w:szCs w:val="24"/>
        </w:rPr>
        <w:t>、</w:t>
      </w:r>
      <w:r>
        <w:rPr>
          <w:bCs/>
          <w:i/>
          <w:iCs/>
          <w:sz w:val="24"/>
          <w:szCs w:val="24"/>
        </w:rPr>
        <w:t>X</w:t>
      </w:r>
      <w:r>
        <w:rPr>
          <w:bCs/>
          <w:sz w:val="24"/>
          <w:szCs w:val="24"/>
        </w:rPr>
        <w:t>、</w:t>
      </w:r>
      <w:r>
        <w:rPr>
          <w:bCs/>
          <w:i/>
          <w:iCs/>
          <w:sz w:val="24"/>
          <w:szCs w:val="24"/>
        </w:rPr>
        <w:t>X</w:t>
      </w:r>
      <w:r>
        <w:rPr>
          <w:bCs/>
          <w:sz w:val="24"/>
          <w:szCs w:val="24"/>
        </w:rPr>
        <w:t>、</w:t>
      </w:r>
      <w:r>
        <w:rPr>
          <w:bCs/>
          <w:i/>
          <w:iCs/>
          <w:sz w:val="24"/>
          <w:szCs w:val="24"/>
        </w:rPr>
        <w:t>X</w:t>
      </w:r>
      <w:r>
        <w:rPr>
          <w:bCs/>
          <w:sz w:val="24"/>
          <w:szCs w:val="24"/>
        </w:rPr>
        <w:t>、</w:t>
      </w:r>
      <w:r>
        <w:rPr>
          <w:bCs/>
          <w:i/>
          <w:iCs/>
          <w:sz w:val="24"/>
          <w:szCs w:val="24"/>
        </w:rPr>
        <w:t>X</w:t>
      </w:r>
      <w:r>
        <w:rPr>
          <w:bCs/>
          <w:sz w:val="24"/>
          <w:szCs w:val="24"/>
        </w:rPr>
        <w:t>+1</w:t>
      </w:r>
      <w:r>
        <w:rPr>
          <w:bCs/>
          <w:sz w:val="24"/>
          <w:szCs w:val="24"/>
        </w:rPr>
        <w:t>（组合二）情况，与</w:t>
      </w:r>
      <w:r>
        <w:rPr>
          <w:bCs/>
          <w:sz w:val="24"/>
          <w:szCs w:val="24"/>
        </w:rPr>
        <w:t>5</w:t>
      </w:r>
      <w:r>
        <w:rPr>
          <w:bCs/>
          <w:sz w:val="24"/>
          <w:szCs w:val="24"/>
        </w:rPr>
        <w:t>、</w:t>
      </w:r>
      <w:r>
        <w:rPr>
          <w:bCs/>
          <w:sz w:val="24"/>
          <w:szCs w:val="24"/>
        </w:rPr>
        <w:t>5</w:t>
      </w:r>
      <w:r>
        <w:rPr>
          <w:bCs/>
          <w:sz w:val="24"/>
          <w:szCs w:val="24"/>
        </w:rPr>
        <w:t>、</w:t>
      </w:r>
      <w:r>
        <w:rPr>
          <w:bCs/>
          <w:sz w:val="24"/>
          <w:szCs w:val="24"/>
        </w:rPr>
        <w:t>5</w:t>
      </w:r>
      <w:r>
        <w:rPr>
          <w:bCs/>
          <w:sz w:val="24"/>
          <w:szCs w:val="24"/>
        </w:rPr>
        <w:t>、</w:t>
      </w:r>
      <w:r>
        <w:rPr>
          <w:bCs/>
          <w:sz w:val="24"/>
          <w:szCs w:val="24"/>
        </w:rPr>
        <w:t>5</w:t>
      </w:r>
      <w:r>
        <w:rPr>
          <w:bCs/>
          <w:sz w:val="24"/>
          <w:szCs w:val="24"/>
        </w:rPr>
        <w:t>、</w:t>
      </w:r>
      <w:r>
        <w:rPr>
          <w:bCs/>
          <w:i/>
          <w:iCs/>
          <w:sz w:val="24"/>
          <w:szCs w:val="24"/>
        </w:rPr>
        <w:t>X</w:t>
      </w:r>
      <w:r>
        <w:rPr>
          <w:bCs/>
          <w:sz w:val="24"/>
          <w:szCs w:val="24"/>
        </w:rPr>
        <w:t>相同，就高原则均定为</w:t>
      </w:r>
      <w:r>
        <w:rPr>
          <w:bCs/>
          <w:i/>
          <w:iCs/>
          <w:sz w:val="24"/>
          <w:szCs w:val="24"/>
        </w:rPr>
        <w:t>X</w:t>
      </w:r>
      <w:r>
        <w:rPr>
          <w:bCs/>
          <w:sz w:val="24"/>
          <w:szCs w:val="24"/>
        </w:rPr>
        <w:t>级，显然不太合理，利用后果当量法则可以区分，以下是试算结果：</w:t>
      </w:r>
    </w:p>
    <w:p w:rsidR="0073700B" w:rsidRDefault="001A2FFC">
      <w:pPr>
        <w:spacing w:line="360" w:lineRule="auto"/>
        <w:jc w:val="center"/>
        <w:rPr>
          <w:rFonts w:ascii="黑体" w:eastAsia="黑体" w:hAnsi="黑体"/>
          <w:bCs/>
          <w:sz w:val="24"/>
          <w:szCs w:val="24"/>
        </w:rPr>
      </w:pPr>
      <w:r>
        <w:rPr>
          <w:rFonts w:ascii="黑体" w:eastAsia="黑体" w:hAnsi="黑体"/>
          <w:bCs/>
          <w:sz w:val="24"/>
          <w:szCs w:val="24"/>
        </w:rPr>
        <w:lastRenderedPageBreak/>
        <w:t>表</w:t>
      </w:r>
      <w:r>
        <w:rPr>
          <w:rFonts w:ascii="黑体" w:eastAsia="黑体" w:hAnsi="黑体"/>
          <w:bCs/>
          <w:sz w:val="24"/>
          <w:szCs w:val="24"/>
        </w:rPr>
        <w:fldChar w:fldCharType="begin"/>
      </w:r>
      <w:r>
        <w:rPr>
          <w:rFonts w:ascii="黑体" w:eastAsia="黑体" w:hAnsi="黑体"/>
          <w:bCs/>
          <w:sz w:val="24"/>
          <w:szCs w:val="24"/>
        </w:rPr>
        <w:instrText xml:space="preserve"> STYLEREF 3 \s </w:instrText>
      </w:r>
      <w:r>
        <w:rPr>
          <w:rFonts w:ascii="黑体" w:eastAsia="黑体" w:hAnsi="黑体"/>
          <w:bCs/>
          <w:sz w:val="24"/>
          <w:szCs w:val="24"/>
        </w:rPr>
        <w:fldChar w:fldCharType="separate"/>
      </w:r>
      <w:r>
        <w:rPr>
          <w:rFonts w:ascii="黑体" w:eastAsia="黑体" w:hAnsi="黑体"/>
          <w:bCs/>
          <w:sz w:val="24"/>
          <w:szCs w:val="24"/>
        </w:rPr>
        <w:t>6</w:t>
      </w:r>
      <w:r>
        <w:rPr>
          <w:rFonts w:ascii="黑体" w:eastAsia="黑体" w:hAnsi="黑体"/>
          <w:bCs/>
          <w:sz w:val="24"/>
          <w:szCs w:val="24"/>
        </w:rPr>
        <w:fldChar w:fldCharType="end"/>
      </w:r>
      <w:r>
        <w:rPr>
          <w:rFonts w:ascii="黑体" w:eastAsia="黑体" w:hAnsi="黑体"/>
          <w:bCs/>
          <w:sz w:val="24"/>
          <w:szCs w:val="24"/>
        </w:rPr>
        <w:noBreakHyphen/>
      </w:r>
      <w:r>
        <w:rPr>
          <w:rFonts w:ascii="黑体" w:eastAsia="黑体" w:hAnsi="黑体"/>
          <w:bCs/>
          <w:sz w:val="24"/>
          <w:szCs w:val="24"/>
        </w:rPr>
        <w:fldChar w:fldCharType="begin"/>
      </w:r>
      <w:r>
        <w:rPr>
          <w:rFonts w:ascii="黑体" w:eastAsia="黑体" w:hAnsi="黑体"/>
          <w:bCs/>
          <w:sz w:val="24"/>
          <w:szCs w:val="24"/>
        </w:rPr>
        <w:instrText xml:space="preserve"> SEQ </w:instrText>
      </w:r>
      <w:r>
        <w:rPr>
          <w:rFonts w:ascii="黑体" w:eastAsia="黑体" w:hAnsi="黑体"/>
          <w:bCs/>
          <w:sz w:val="24"/>
          <w:szCs w:val="24"/>
        </w:rPr>
        <w:instrText>表</w:instrText>
      </w:r>
      <w:r>
        <w:rPr>
          <w:rFonts w:ascii="黑体" w:eastAsia="黑体" w:hAnsi="黑体"/>
          <w:bCs/>
          <w:sz w:val="24"/>
          <w:szCs w:val="24"/>
        </w:rPr>
        <w:instrText xml:space="preserve"> \* ARABIC \s 3 </w:instrText>
      </w:r>
      <w:r>
        <w:rPr>
          <w:rFonts w:ascii="黑体" w:eastAsia="黑体" w:hAnsi="黑体"/>
          <w:bCs/>
          <w:sz w:val="24"/>
          <w:szCs w:val="24"/>
        </w:rPr>
        <w:fldChar w:fldCharType="separate"/>
      </w:r>
      <w:r>
        <w:rPr>
          <w:rFonts w:ascii="黑体" w:eastAsia="黑体" w:hAnsi="黑体"/>
          <w:bCs/>
          <w:sz w:val="24"/>
          <w:szCs w:val="24"/>
        </w:rPr>
        <w:t>21</w:t>
      </w:r>
      <w:r>
        <w:rPr>
          <w:rFonts w:ascii="黑体" w:eastAsia="黑体" w:hAnsi="黑体"/>
          <w:bCs/>
          <w:sz w:val="24"/>
          <w:szCs w:val="24"/>
        </w:rPr>
        <w:fldChar w:fldCharType="end"/>
      </w:r>
      <w:r>
        <w:rPr>
          <w:rFonts w:ascii="黑体" w:eastAsia="黑体" w:hAnsi="黑体"/>
          <w:bCs/>
          <w:sz w:val="24"/>
          <w:szCs w:val="24"/>
        </w:rPr>
        <w:t xml:space="preserve">  </w:t>
      </w:r>
      <w:r>
        <w:rPr>
          <w:rFonts w:ascii="黑体" w:eastAsia="黑体" w:hAnsi="黑体"/>
          <w:bCs/>
          <w:sz w:val="24"/>
          <w:szCs w:val="24"/>
        </w:rPr>
        <w:t>组合二试算结果</w:t>
      </w:r>
    </w:p>
    <w:tbl>
      <w:tblPr>
        <w:tblStyle w:val="af1"/>
        <w:tblW w:w="8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75"/>
        <w:gridCol w:w="1056"/>
        <w:gridCol w:w="1056"/>
        <w:gridCol w:w="1056"/>
        <w:gridCol w:w="1056"/>
        <w:gridCol w:w="1056"/>
        <w:gridCol w:w="1056"/>
        <w:gridCol w:w="975"/>
      </w:tblGrid>
      <w:tr w:rsidR="0073700B">
        <w:trPr>
          <w:trHeight w:val="285"/>
          <w:jc w:val="center"/>
        </w:trPr>
        <w:tc>
          <w:tcPr>
            <w:tcW w:w="975" w:type="dxa"/>
            <w:tcBorders>
              <w:top w:val="single" w:sz="8" w:space="0" w:color="auto"/>
              <w:bottom w:val="single" w:sz="8" w:space="0" w:color="auto"/>
            </w:tcBorders>
            <w:vAlign w:val="center"/>
          </w:tcPr>
          <w:p w:rsidR="0073700B" w:rsidRDefault="001A2FFC">
            <w:pPr>
              <w:jc w:val="center"/>
              <w:rPr>
                <w:bCs/>
                <w:color w:val="000000" w:themeColor="text1"/>
                <w:szCs w:val="20"/>
              </w:rPr>
            </w:pPr>
            <w:r>
              <w:rPr>
                <w:bCs/>
                <w:color w:val="000000" w:themeColor="text1"/>
                <w:szCs w:val="20"/>
              </w:rPr>
              <w:t>就高原则等级</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死亡人数</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经济损失</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工期延长</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环境影响</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社会影响</w:t>
            </w:r>
          </w:p>
        </w:tc>
        <w:tc>
          <w:tcPr>
            <w:tcW w:w="1056" w:type="dxa"/>
            <w:tcBorders>
              <w:top w:val="single" w:sz="8" w:space="0" w:color="auto"/>
              <w:bottom w:val="single" w:sz="8" w:space="0" w:color="auto"/>
            </w:tcBorders>
            <w:noWrap/>
            <w:vAlign w:val="center"/>
          </w:tcPr>
          <w:p w:rsidR="0073700B" w:rsidRDefault="001A2FFC">
            <w:pPr>
              <w:jc w:val="center"/>
              <w:rPr>
                <w:bCs/>
                <w:color w:val="000000" w:themeColor="text1"/>
                <w:szCs w:val="20"/>
              </w:rPr>
            </w:pPr>
            <w:r>
              <w:rPr>
                <w:bCs/>
                <w:color w:val="000000" w:themeColor="text1"/>
                <w:szCs w:val="20"/>
              </w:rPr>
              <w:t>计算结果</w:t>
            </w:r>
          </w:p>
        </w:tc>
        <w:tc>
          <w:tcPr>
            <w:tcW w:w="975" w:type="dxa"/>
            <w:tcBorders>
              <w:top w:val="single" w:sz="8" w:space="0" w:color="auto"/>
              <w:bottom w:val="single" w:sz="8" w:space="0" w:color="auto"/>
            </w:tcBorders>
            <w:vAlign w:val="center"/>
          </w:tcPr>
          <w:p w:rsidR="0073700B" w:rsidRDefault="001A2FFC">
            <w:pPr>
              <w:jc w:val="center"/>
              <w:rPr>
                <w:bCs/>
                <w:color w:val="000000" w:themeColor="text1"/>
                <w:szCs w:val="20"/>
              </w:rPr>
            </w:pPr>
            <w:r>
              <w:rPr>
                <w:bCs/>
                <w:color w:val="000000" w:themeColor="text1"/>
                <w:szCs w:val="20"/>
              </w:rPr>
              <w:t>后果当量等级</w:t>
            </w:r>
          </w:p>
        </w:tc>
      </w:tr>
      <w:tr w:rsidR="0073700B">
        <w:trPr>
          <w:trHeight w:val="285"/>
          <w:jc w:val="center"/>
        </w:trPr>
        <w:tc>
          <w:tcPr>
            <w:tcW w:w="975" w:type="dxa"/>
            <w:vMerge w:val="restart"/>
            <w:tcBorders>
              <w:top w:val="single" w:sz="8" w:space="0" w:color="auto"/>
            </w:tcBorders>
            <w:vAlign w:val="center"/>
          </w:tcPr>
          <w:p w:rsidR="0073700B" w:rsidRDefault="001A2FFC">
            <w:pPr>
              <w:jc w:val="center"/>
              <w:rPr>
                <w:rFonts w:eastAsia="等线"/>
                <w:bCs/>
                <w:color w:val="000000"/>
                <w:szCs w:val="20"/>
              </w:rPr>
            </w:pPr>
            <w:r>
              <w:rPr>
                <w:rFonts w:eastAsia="等线"/>
                <w:bCs/>
                <w:color w:val="000000"/>
                <w:szCs w:val="20"/>
              </w:rPr>
              <w:t>4</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tcBorders>
              <w:top w:val="single" w:sz="8" w:space="0" w:color="auto"/>
            </w:tcBorders>
            <w:noWrap/>
            <w:vAlign w:val="center"/>
          </w:tcPr>
          <w:p w:rsidR="0073700B" w:rsidRDefault="001A2FFC">
            <w:pPr>
              <w:jc w:val="center"/>
              <w:rPr>
                <w:bCs/>
                <w:color w:val="000000" w:themeColor="text1"/>
                <w:szCs w:val="20"/>
              </w:rPr>
            </w:pPr>
            <w:r>
              <w:rPr>
                <w:rFonts w:eastAsia="等线"/>
                <w:bCs/>
                <w:szCs w:val="20"/>
              </w:rPr>
              <w:t>2.58</w:t>
            </w:r>
          </w:p>
        </w:tc>
        <w:tc>
          <w:tcPr>
            <w:tcW w:w="975" w:type="dxa"/>
            <w:tcBorders>
              <w:top w:val="single" w:sz="8" w:space="0" w:color="auto"/>
            </w:tcBorders>
            <w:vAlign w:val="center"/>
          </w:tcPr>
          <w:p w:rsidR="0073700B" w:rsidRDefault="001A2FFC">
            <w:pPr>
              <w:jc w:val="center"/>
              <w:rPr>
                <w:rFonts w:eastAsia="等线"/>
                <w:bCs/>
                <w:color w:val="000000"/>
                <w:szCs w:val="20"/>
              </w:rPr>
            </w:pPr>
            <w:r>
              <w:rPr>
                <w:rFonts w:eastAsia="等线"/>
                <w:bCs/>
                <w:color w:val="000000"/>
                <w:szCs w:val="20"/>
              </w:rPr>
              <w:t>4</w:t>
            </w:r>
          </w:p>
        </w:tc>
      </w:tr>
      <w:tr w:rsidR="0073700B">
        <w:trPr>
          <w:trHeight w:val="285"/>
          <w:jc w:val="center"/>
        </w:trPr>
        <w:tc>
          <w:tcPr>
            <w:tcW w:w="975"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3.33</w:t>
            </w:r>
          </w:p>
        </w:tc>
        <w:tc>
          <w:tcPr>
            <w:tcW w:w="975" w:type="dxa"/>
            <w:vAlign w:val="center"/>
          </w:tcPr>
          <w:p w:rsidR="0073700B" w:rsidRDefault="001A2FFC">
            <w:pPr>
              <w:jc w:val="center"/>
              <w:rPr>
                <w:rFonts w:eastAsia="等线"/>
                <w:bCs/>
                <w:color w:val="000000"/>
                <w:szCs w:val="20"/>
              </w:rPr>
            </w:pPr>
            <w:r>
              <w:rPr>
                <w:rFonts w:eastAsia="等线"/>
                <w:bCs/>
                <w:color w:val="000000"/>
                <w:szCs w:val="20"/>
              </w:rPr>
              <w:t>3</w:t>
            </w:r>
          </w:p>
        </w:tc>
      </w:tr>
      <w:tr w:rsidR="0073700B">
        <w:trPr>
          <w:trHeight w:val="285"/>
          <w:jc w:val="center"/>
        </w:trPr>
        <w:tc>
          <w:tcPr>
            <w:tcW w:w="975"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5</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3.25</w:t>
            </w:r>
          </w:p>
        </w:tc>
        <w:tc>
          <w:tcPr>
            <w:tcW w:w="975" w:type="dxa"/>
            <w:vAlign w:val="center"/>
          </w:tcPr>
          <w:p w:rsidR="0073700B" w:rsidRDefault="001A2FFC">
            <w:pPr>
              <w:jc w:val="center"/>
              <w:rPr>
                <w:rFonts w:eastAsia="等线"/>
                <w:bCs/>
                <w:color w:val="000000"/>
                <w:szCs w:val="20"/>
              </w:rPr>
            </w:pPr>
            <w:r>
              <w:rPr>
                <w:rFonts w:eastAsia="等线"/>
                <w:bCs/>
                <w:color w:val="000000"/>
                <w:szCs w:val="20"/>
              </w:rPr>
              <w:t>3</w:t>
            </w:r>
          </w:p>
        </w:tc>
      </w:tr>
      <w:tr w:rsidR="0073700B">
        <w:trPr>
          <w:trHeight w:val="285"/>
          <w:jc w:val="center"/>
        </w:trPr>
        <w:tc>
          <w:tcPr>
            <w:tcW w:w="975"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FF0000"/>
                <w:szCs w:val="20"/>
              </w:rPr>
            </w:pPr>
            <w:r>
              <w:rPr>
                <w:rFonts w:eastAsia="等线"/>
                <w:bCs/>
                <w:color w:val="000000"/>
                <w:szCs w:val="20"/>
              </w:rPr>
              <w:t>4</w:t>
            </w:r>
          </w:p>
        </w:tc>
        <w:tc>
          <w:tcPr>
            <w:tcW w:w="1056" w:type="dxa"/>
            <w:noWrap/>
            <w:vAlign w:val="center"/>
          </w:tcPr>
          <w:p w:rsidR="0073700B" w:rsidRDefault="001A2FFC">
            <w:pPr>
              <w:jc w:val="center"/>
              <w:rPr>
                <w:bCs/>
                <w:color w:val="FF0000"/>
                <w:szCs w:val="20"/>
              </w:rPr>
            </w:pPr>
            <w:r>
              <w:rPr>
                <w:rFonts w:eastAsia="等线"/>
                <w:bCs/>
                <w:color w:val="000000"/>
                <w:szCs w:val="20"/>
              </w:rPr>
              <w:t>4</w:t>
            </w:r>
          </w:p>
        </w:tc>
        <w:tc>
          <w:tcPr>
            <w:tcW w:w="1056" w:type="dxa"/>
            <w:noWrap/>
            <w:vAlign w:val="center"/>
          </w:tcPr>
          <w:p w:rsidR="0073700B" w:rsidRDefault="001A2FFC">
            <w:pPr>
              <w:jc w:val="center"/>
              <w:rPr>
                <w:bCs/>
                <w:color w:val="FF0000"/>
                <w:szCs w:val="20"/>
              </w:rPr>
            </w:pPr>
            <w:r>
              <w:rPr>
                <w:rFonts w:eastAsia="等线"/>
                <w:bCs/>
                <w:color w:val="000000"/>
                <w:szCs w:val="20"/>
              </w:rPr>
              <w:t>4</w:t>
            </w:r>
          </w:p>
        </w:tc>
        <w:tc>
          <w:tcPr>
            <w:tcW w:w="1056" w:type="dxa"/>
            <w:noWrap/>
            <w:vAlign w:val="center"/>
          </w:tcPr>
          <w:p w:rsidR="0073700B" w:rsidRDefault="001A2FFC">
            <w:pPr>
              <w:jc w:val="center"/>
              <w:rPr>
                <w:bCs/>
                <w:color w:val="FF0000"/>
                <w:szCs w:val="20"/>
              </w:rPr>
            </w:pPr>
            <w:r>
              <w:rPr>
                <w:rFonts w:eastAsia="等线"/>
                <w:bCs/>
                <w:color w:val="000000"/>
                <w:szCs w:val="20"/>
              </w:rPr>
              <w:t>5</w:t>
            </w:r>
          </w:p>
        </w:tc>
        <w:tc>
          <w:tcPr>
            <w:tcW w:w="1056" w:type="dxa"/>
            <w:noWrap/>
            <w:vAlign w:val="center"/>
          </w:tcPr>
          <w:p w:rsidR="0073700B" w:rsidRDefault="001A2FFC">
            <w:pPr>
              <w:jc w:val="center"/>
              <w:rPr>
                <w:bCs/>
                <w:color w:val="FF0000"/>
                <w:szCs w:val="20"/>
              </w:rPr>
            </w:pPr>
            <w:r>
              <w:rPr>
                <w:rFonts w:eastAsia="等线"/>
                <w:bCs/>
                <w:color w:val="000000"/>
                <w:szCs w:val="20"/>
              </w:rPr>
              <w:t>4</w:t>
            </w:r>
          </w:p>
        </w:tc>
        <w:tc>
          <w:tcPr>
            <w:tcW w:w="1056" w:type="dxa"/>
            <w:noWrap/>
            <w:vAlign w:val="center"/>
          </w:tcPr>
          <w:p w:rsidR="0073700B" w:rsidRDefault="001A2FFC">
            <w:pPr>
              <w:jc w:val="center"/>
              <w:rPr>
                <w:bCs/>
                <w:color w:val="FF0000"/>
                <w:szCs w:val="20"/>
              </w:rPr>
            </w:pPr>
            <w:r>
              <w:rPr>
                <w:rFonts w:eastAsia="等线"/>
                <w:bCs/>
                <w:color w:val="000000"/>
                <w:szCs w:val="20"/>
              </w:rPr>
              <w:t>2.75</w:t>
            </w:r>
          </w:p>
        </w:tc>
        <w:tc>
          <w:tcPr>
            <w:tcW w:w="975" w:type="dxa"/>
            <w:vAlign w:val="center"/>
          </w:tcPr>
          <w:p w:rsidR="0073700B" w:rsidRDefault="001A2FFC">
            <w:pPr>
              <w:jc w:val="center"/>
              <w:rPr>
                <w:rFonts w:eastAsia="等线"/>
                <w:bCs/>
                <w:color w:val="000000"/>
                <w:szCs w:val="20"/>
              </w:rPr>
            </w:pPr>
            <w:r>
              <w:rPr>
                <w:rFonts w:eastAsia="等线"/>
                <w:bCs/>
                <w:color w:val="000000"/>
                <w:szCs w:val="20"/>
              </w:rPr>
              <w:t>4</w:t>
            </w:r>
          </w:p>
        </w:tc>
      </w:tr>
      <w:tr w:rsidR="0073700B">
        <w:trPr>
          <w:trHeight w:val="285"/>
          <w:jc w:val="center"/>
        </w:trPr>
        <w:tc>
          <w:tcPr>
            <w:tcW w:w="975"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FF0000"/>
                <w:szCs w:val="20"/>
              </w:rPr>
            </w:pPr>
            <w:r>
              <w:rPr>
                <w:rFonts w:eastAsia="等线"/>
                <w:bCs/>
                <w:color w:val="000000"/>
                <w:szCs w:val="20"/>
              </w:rPr>
              <w:t>4</w:t>
            </w:r>
          </w:p>
        </w:tc>
        <w:tc>
          <w:tcPr>
            <w:tcW w:w="1056" w:type="dxa"/>
            <w:noWrap/>
            <w:vAlign w:val="center"/>
          </w:tcPr>
          <w:p w:rsidR="0073700B" w:rsidRDefault="001A2FFC">
            <w:pPr>
              <w:jc w:val="center"/>
              <w:rPr>
                <w:bCs/>
                <w:color w:val="FF0000"/>
                <w:szCs w:val="20"/>
              </w:rPr>
            </w:pPr>
            <w:r>
              <w:rPr>
                <w:rFonts w:eastAsia="等线"/>
                <w:bCs/>
                <w:color w:val="000000"/>
                <w:szCs w:val="20"/>
              </w:rPr>
              <w:t>4</w:t>
            </w:r>
          </w:p>
        </w:tc>
        <w:tc>
          <w:tcPr>
            <w:tcW w:w="1056" w:type="dxa"/>
            <w:noWrap/>
            <w:vAlign w:val="center"/>
          </w:tcPr>
          <w:p w:rsidR="0073700B" w:rsidRDefault="001A2FFC">
            <w:pPr>
              <w:jc w:val="center"/>
              <w:rPr>
                <w:bCs/>
                <w:color w:val="FF0000"/>
                <w:szCs w:val="20"/>
              </w:rPr>
            </w:pPr>
            <w:r>
              <w:rPr>
                <w:rFonts w:eastAsia="等线"/>
                <w:bCs/>
                <w:color w:val="000000"/>
                <w:szCs w:val="20"/>
              </w:rPr>
              <w:t>4</w:t>
            </w:r>
          </w:p>
        </w:tc>
        <w:tc>
          <w:tcPr>
            <w:tcW w:w="1056" w:type="dxa"/>
            <w:noWrap/>
            <w:vAlign w:val="center"/>
          </w:tcPr>
          <w:p w:rsidR="0073700B" w:rsidRDefault="001A2FFC">
            <w:pPr>
              <w:jc w:val="center"/>
              <w:rPr>
                <w:bCs/>
                <w:color w:val="FF0000"/>
                <w:szCs w:val="20"/>
              </w:rPr>
            </w:pPr>
            <w:r>
              <w:rPr>
                <w:rFonts w:eastAsia="等线"/>
                <w:bCs/>
                <w:color w:val="000000"/>
                <w:szCs w:val="20"/>
              </w:rPr>
              <w:t>4</w:t>
            </w:r>
          </w:p>
        </w:tc>
        <w:tc>
          <w:tcPr>
            <w:tcW w:w="1056" w:type="dxa"/>
            <w:noWrap/>
            <w:vAlign w:val="center"/>
          </w:tcPr>
          <w:p w:rsidR="0073700B" w:rsidRDefault="001A2FFC">
            <w:pPr>
              <w:jc w:val="center"/>
              <w:rPr>
                <w:bCs/>
                <w:color w:val="FF0000"/>
                <w:szCs w:val="20"/>
              </w:rPr>
            </w:pPr>
            <w:r>
              <w:rPr>
                <w:rFonts w:eastAsia="等线"/>
                <w:bCs/>
                <w:color w:val="000000"/>
                <w:szCs w:val="20"/>
              </w:rPr>
              <w:t>5</w:t>
            </w:r>
          </w:p>
        </w:tc>
        <w:tc>
          <w:tcPr>
            <w:tcW w:w="1056" w:type="dxa"/>
            <w:noWrap/>
            <w:vAlign w:val="center"/>
          </w:tcPr>
          <w:p w:rsidR="0073700B" w:rsidRDefault="001A2FFC">
            <w:pPr>
              <w:jc w:val="center"/>
              <w:rPr>
                <w:bCs/>
                <w:color w:val="FF0000"/>
                <w:szCs w:val="20"/>
              </w:rPr>
            </w:pPr>
            <w:r>
              <w:rPr>
                <w:rFonts w:eastAsia="等线"/>
                <w:bCs/>
                <w:color w:val="000000"/>
                <w:szCs w:val="20"/>
              </w:rPr>
              <w:t>2.75</w:t>
            </w:r>
          </w:p>
        </w:tc>
        <w:tc>
          <w:tcPr>
            <w:tcW w:w="975" w:type="dxa"/>
            <w:vAlign w:val="center"/>
          </w:tcPr>
          <w:p w:rsidR="0073700B" w:rsidRDefault="001A2FFC">
            <w:pPr>
              <w:jc w:val="center"/>
              <w:rPr>
                <w:rFonts w:eastAsia="等线"/>
                <w:bCs/>
                <w:color w:val="000000"/>
                <w:szCs w:val="20"/>
              </w:rPr>
            </w:pPr>
            <w:r>
              <w:rPr>
                <w:rFonts w:eastAsia="等线"/>
                <w:bCs/>
                <w:color w:val="000000"/>
                <w:szCs w:val="20"/>
              </w:rPr>
              <w:t>4</w:t>
            </w:r>
          </w:p>
        </w:tc>
      </w:tr>
      <w:tr w:rsidR="0073700B">
        <w:trPr>
          <w:trHeight w:val="285"/>
          <w:jc w:val="center"/>
        </w:trPr>
        <w:tc>
          <w:tcPr>
            <w:tcW w:w="975" w:type="dxa"/>
            <w:vMerge w:val="restart"/>
            <w:vAlign w:val="center"/>
          </w:tcPr>
          <w:p w:rsidR="0073700B" w:rsidRDefault="001A2FFC">
            <w:pPr>
              <w:jc w:val="center"/>
              <w:rPr>
                <w:rFonts w:eastAsia="等线"/>
                <w:bCs/>
                <w:color w:val="FF0000"/>
                <w:szCs w:val="20"/>
              </w:rPr>
            </w:pPr>
            <w:r>
              <w:rPr>
                <w:rFonts w:eastAsia="等线"/>
                <w:bCs/>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11.50</w:t>
            </w:r>
          </w:p>
        </w:tc>
        <w:tc>
          <w:tcPr>
            <w:tcW w:w="975" w:type="dxa"/>
            <w:vMerge w:val="restart"/>
            <w:vAlign w:val="center"/>
          </w:tcPr>
          <w:p w:rsidR="0073700B" w:rsidRDefault="001A2FFC">
            <w:pPr>
              <w:jc w:val="center"/>
              <w:rPr>
                <w:rFonts w:eastAsia="等线"/>
                <w:bCs/>
                <w:szCs w:val="20"/>
              </w:rPr>
            </w:pPr>
            <w:r>
              <w:rPr>
                <w:rFonts w:eastAsia="等线"/>
                <w:bCs/>
                <w:szCs w:val="20"/>
              </w:rPr>
              <w:t>2</w:t>
            </w:r>
          </w:p>
        </w:tc>
      </w:tr>
      <w:tr w:rsidR="0073700B">
        <w:trPr>
          <w:trHeight w:val="285"/>
          <w:jc w:val="center"/>
        </w:trPr>
        <w:tc>
          <w:tcPr>
            <w:tcW w:w="975" w:type="dxa"/>
            <w:vMerge/>
            <w:vAlign w:val="center"/>
          </w:tcPr>
          <w:p w:rsidR="0073700B" w:rsidRDefault="0073700B">
            <w:pPr>
              <w:jc w:val="center"/>
              <w:rPr>
                <w:rFonts w:eastAsia="等线"/>
                <w:bCs/>
                <w:color w:val="FF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11.25</w:t>
            </w:r>
          </w:p>
        </w:tc>
        <w:tc>
          <w:tcPr>
            <w:tcW w:w="975" w:type="dxa"/>
            <w:vMerge/>
            <w:vAlign w:val="center"/>
          </w:tcPr>
          <w:p w:rsidR="0073700B" w:rsidRDefault="0073700B">
            <w:pPr>
              <w:jc w:val="center"/>
              <w:rPr>
                <w:rFonts w:eastAsia="等线"/>
                <w:bCs/>
                <w:color w:val="FF0000"/>
                <w:szCs w:val="20"/>
              </w:rPr>
            </w:pPr>
          </w:p>
        </w:tc>
      </w:tr>
      <w:tr w:rsidR="0073700B">
        <w:trPr>
          <w:trHeight w:val="285"/>
          <w:jc w:val="center"/>
        </w:trPr>
        <w:tc>
          <w:tcPr>
            <w:tcW w:w="975" w:type="dxa"/>
            <w:vMerge/>
            <w:vAlign w:val="center"/>
          </w:tcPr>
          <w:p w:rsidR="0073700B" w:rsidRDefault="0073700B">
            <w:pPr>
              <w:jc w:val="center"/>
              <w:rPr>
                <w:rFonts w:eastAsia="等线"/>
                <w:bCs/>
                <w:color w:val="FF0000"/>
                <w:szCs w:val="20"/>
              </w:rPr>
            </w:pPr>
          </w:p>
        </w:tc>
        <w:tc>
          <w:tcPr>
            <w:tcW w:w="1056" w:type="dxa"/>
            <w:noWrap/>
            <w:vAlign w:val="center"/>
          </w:tcPr>
          <w:p w:rsidR="0073700B" w:rsidRDefault="001A2FFC">
            <w:pPr>
              <w:jc w:val="center"/>
              <w:rPr>
                <w:bCs/>
                <w:color w:val="FF0000"/>
                <w:szCs w:val="20"/>
              </w:rPr>
            </w:pPr>
            <w:r>
              <w:rPr>
                <w:rFonts w:eastAsia="等线"/>
                <w:bCs/>
                <w:color w:val="000000"/>
                <w:szCs w:val="20"/>
              </w:rPr>
              <w:t>3</w:t>
            </w:r>
          </w:p>
        </w:tc>
        <w:tc>
          <w:tcPr>
            <w:tcW w:w="1056" w:type="dxa"/>
            <w:noWrap/>
            <w:vAlign w:val="center"/>
          </w:tcPr>
          <w:p w:rsidR="0073700B" w:rsidRDefault="001A2FFC">
            <w:pPr>
              <w:jc w:val="center"/>
              <w:rPr>
                <w:bCs/>
                <w:color w:val="FF0000"/>
                <w:szCs w:val="20"/>
              </w:rPr>
            </w:pPr>
            <w:r>
              <w:rPr>
                <w:rFonts w:eastAsia="等线"/>
                <w:bCs/>
                <w:color w:val="000000"/>
                <w:szCs w:val="20"/>
              </w:rPr>
              <w:t>3</w:t>
            </w:r>
          </w:p>
        </w:tc>
        <w:tc>
          <w:tcPr>
            <w:tcW w:w="1056" w:type="dxa"/>
            <w:noWrap/>
            <w:vAlign w:val="center"/>
          </w:tcPr>
          <w:p w:rsidR="0073700B" w:rsidRDefault="001A2FFC">
            <w:pPr>
              <w:jc w:val="center"/>
              <w:rPr>
                <w:bCs/>
                <w:color w:val="FF0000"/>
                <w:szCs w:val="20"/>
              </w:rPr>
            </w:pPr>
            <w:r>
              <w:rPr>
                <w:rFonts w:eastAsia="等线"/>
                <w:bCs/>
                <w:color w:val="000000"/>
                <w:szCs w:val="20"/>
              </w:rPr>
              <w:t>4</w:t>
            </w:r>
          </w:p>
        </w:tc>
        <w:tc>
          <w:tcPr>
            <w:tcW w:w="1056" w:type="dxa"/>
            <w:noWrap/>
            <w:vAlign w:val="center"/>
          </w:tcPr>
          <w:p w:rsidR="0073700B" w:rsidRDefault="001A2FFC">
            <w:pPr>
              <w:jc w:val="center"/>
              <w:rPr>
                <w:bCs/>
                <w:color w:val="FF0000"/>
                <w:szCs w:val="20"/>
              </w:rPr>
            </w:pPr>
            <w:r>
              <w:rPr>
                <w:rFonts w:eastAsia="等线"/>
                <w:bCs/>
                <w:color w:val="000000"/>
                <w:szCs w:val="20"/>
              </w:rPr>
              <w:t>3</w:t>
            </w:r>
          </w:p>
        </w:tc>
        <w:tc>
          <w:tcPr>
            <w:tcW w:w="1056" w:type="dxa"/>
            <w:noWrap/>
            <w:vAlign w:val="center"/>
          </w:tcPr>
          <w:p w:rsidR="0073700B" w:rsidRDefault="001A2FFC">
            <w:pPr>
              <w:jc w:val="center"/>
              <w:rPr>
                <w:bCs/>
                <w:color w:val="FF0000"/>
                <w:szCs w:val="20"/>
              </w:rPr>
            </w:pPr>
            <w:r>
              <w:rPr>
                <w:rFonts w:eastAsia="等线"/>
                <w:bCs/>
                <w:color w:val="000000"/>
                <w:szCs w:val="20"/>
              </w:rPr>
              <w:t>3</w:t>
            </w:r>
          </w:p>
        </w:tc>
        <w:tc>
          <w:tcPr>
            <w:tcW w:w="1056" w:type="dxa"/>
            <w:noWrap/>
            <w:vAlign w:val="center"/>
          </w:tcPr>
          <w:p w:rsidR="0073700B" w:rsidRDefault="001A2FFC">
            <w:pPr>
              <w:jc w:val="center"/>
              <w:rPr>
                <w:bCs/>
                <w:color w:val="FF0000"/>
                <w:szCs w:val="20"/>
              </w:rPr>
            </w:pPr>
            <w:r>
              <w:rPr>
                <w:rFonts w:eastAsia="等线"/>
                <w:bCs/>
                <w:color w:val="000000"/>
                <w:szCs w:val="20"/>
              </w:rPr>
              <w:t>11.83</w:t>
            </w:r>
          </w:p>
        </w:tc>
        <w:tc>
          <w:tcPr>
            <w:tcW w:w="975" w:type="dxa"/>
            <w:vMerge/>
            <w:vAlign w:val="center"/>
          </w:tcPr>
          <w:p w:rsidR="0073700B" w:rsidRDefault="0073700B">
            <w:pPr>
              <w:jc w:val="center"/>
              <w:rPr>
                <w:rFonts w:eastAsia="等线"/>
                <w:bCs/>
                <w:color w:val="FF0000"/>
                <w:szCs w:val="20"/>
              </w:rPr>
            </w:pPr>
          </w:p>
        </w:tc>
      </w:tr>
      <w:tr w:rsidR="0073700B">
        <w:trPr>
          <w:trHeight w:val="285"/>
          <w:jc w:val="center"/>
        </w:trPr>
        <w:tc>
          <w:tcPr>
            <w:tcW w:w="975" w:type="dxa"/>
            <w:vMerge/>
            <w:vAlign w:val="center"/>
          </w:tcPr>
          <w:p w:rsidR="0073700B" w:rsidRDefault="0073700B">
            <w:pPr>
              <w:jc w:val="center"/>
              <w:rPr>
                <w:rFonts w:eastAsia="等线"/>
                <w:bCs/>
                <w:color w:val="FF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11.50</w:t>
            </w:r>
          </w:p>
        </w:tc>
        <w:tc>
          <w:tcPr>
            <w:tcW w:w="975" w:type="dxa"/>
            <w:vMerge/>
            <w:vAlign w:val="center"/>
          </w:tcPr>
          <w:p w:rsidR="0073700B" w:rsidRDefault="0073700B">
            <w:pPr>
              <w:jc w:val="center"/>
              <w:rPr>
                <w:rFonts w:eastAsia="等线"/>
                <w:bCs/>
                <w:color w:val="FF0000"/>
                <w:szCs w:val="20"/>
              </w:rPr>
            </w:pPr>
          </w:p>
        </w:tc>
      </w:tr>
      <w:tr w:rsidR="0073700B">
        <w:trPr>
          <w:trHeight w:val="285"/>
          <w:jc w:val="center"/>
        </w:trPr>
        <w:tc>
          <w:tcPr>
            <w:tcW w:w="975" w:type="dxa"/>
            <w:vMerge/>
            <w:vAlign w:val="center"/>
          </w:tcPr>
          <w:p w:rsidR="0073700B" w:rsidRDefault="0073700B">
            <w:pPr>
              <w:jc w:val="center"/>
              <w:rPr>
                <w:rFonts w:eastAsia="等线"/>
                <w:bCs/>
                <w:color w:val="FF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4</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11.50</w:t>
            </w:r>
          </w:p>
        </w:tc>
        <w:tc>
          <w:tcPr>
            <w:tcW w:w="975" w:type="dxa"/>
            <w:vMerge/>
            <w:vAlign w:val="center"/>
          </w:tcPr>
          <w:p w:rsidR="0073700B" w:rsidRDefault="0073700B">
            <w:pPr>
              <w:jc w:val="center"/>
              <w:rPr>
                <w:rFonts w:eastAsia="等线"/>
                <w:bCs/>
                <w:color w:val="FF0000"/>
                <w:szCs w:val="20"/>
              </w:rPr>
            </w:pPr>
          </w:p>
        </w:tc>
      </w:tr>
      <w:tr w:rsidR="0073700B">
        <w:trPr>
          <w:trHeight w:val="285"/>
          <w:jc w:val="center"/>
        </w:trPr>
        <w:tc>
          <w:tcPr>
            <w:tcW w:w="975" w:type="dxa"/>
            <w:vMerge w:val="restart"/>
            <w:vAlign w:val="center"/>
          </w:tcPr>
          <w:p w:rsidR="0073700B" w:rsidRDefault="001A2FFC">
            <w:pPr>
              <w:jc w:val="center"/>
              <w:rPr>
                <w:rFonts w:eastAsia="等线"/>
                <w:bCs/>
                <w:color w:val="FF0000"/>
                <w:szCs w:val="20"/>
              </w:rPr>
            </w:pPr>
            <w:r>
              <w:rPr>
                <w:rFonts w:eastAsia="等线"/>
                <w:bCs/>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39.50</w:t>
            </w:r>
          </w:p>
        </w:tc>
        <w:tc>
          <w:tcPr>
            <w:tcW w:w="975" w:type="dxa"/>
            <w:vMerge w:val="restart"/>
            <w:vAlign w:val="center"/>
          </w:tcPr>
          <w:p w:rsidR="0073700B" w:rsidRDefault="001A2FFC">
            <w:pPr>
              <w:jc w:val="center"/>
              <w:rPr>
                <w:rFonts w:eastAsia="等线"/>
                <w:bCs/>
                <w:color w:val="FF0000"/>
                <w:szCs w:val="20"/>
              </w:rPr>
            </w:pPr>
            <w:r>
              <w:rPr>
                <w:rFonts w:eastAsia="等线"/>
                <w:bCs/>
                <w:szCs w:val="20"/>
              </w:rPr>
              <w:t>1</w:t>
            </w:r>
          </w:p>
        </w:tc>
      </w:tr>
      <w:tr w:rsidR="0073700B">
        <w:trPr>
          <w:trHeight w:val="285"/>
          <w:jc w:val="center"/>
        </w:trPr>
        <w:tc>
          <w:tcPr>
            <w:tcW w:w="975"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36.50</w:t>
            </w:r>
          </w:p>
        </w:tc>
        <w:tc>
          <w:tcPr>
            <w:tcW w:w="975" w:type="dxa"/>
            <w:vMerge/>
            <w:vAlign w:val="center"/>
          </w:tcPr>
          <w:p w:rsidR="0073700B" w:rsidRDefault="0073700B">
            <w:pPr>
              <w:jc w:val="center"/>
              <w:rPr>
                <w:rFonts w:eastAsia="等线"/>
                <w:bCs/>
                <w:color w:val="000000"/>
                <w:szCs w:val="20"/>
              </w:rPr>
            </w:pPr>
          </w:p>
        </w:tc>
      </w:tr>
      <w:tr w:rsidR="0073700B">
        <w:trPr>
          <w:trHeight w:val="285"/>
          <w:jc w:val="center"/>
        </w:trPr>
        <w:tc>
          <w:tcPr>
            <w:tcW w:w="975"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FF0000"/>
                <w:szCs w:val="20"/>
              </w:rPr>
            </w:pPr>
            <w:r>
              <w:rPr>
                <w:rFonts w:eastAsia="等线"/>
                <w:bCs/>
                <w:color w:val="000000"/>
                <w:szCs w:val="20"/>
              </w:rPr>
              <w:t>2</w:t>
            </w:r>
          </w:p>
        </w:tc>
        <w:tc>
          <w:tcPr>
            <w:tcW w:w="1056" w:type="dxa"/>
            <w:noWrap/>
            <w:vAlign w:val="center"/>
          </w:tcPr>
          <w:p w:rsidR="0073700B" w:rsidRDefault="001A2FFC">
            <w:pPr>
              <w:jc w:val="center"/>
              <w:rPr>
                <w:bCs/>
                <w:color w:val="FF0000"/>
                <w:szCs w:val="20"/>
              </w:rPr>
            </w:pPr>
            <w:r>
              <w:rPr>
                <w:rFonts w:eastAsia="等线"/>
                <w:bCs/>
                <w:color w:val="000000"/>
                <w:szCs w:val="20"/>
              </w:rPr>
              <w:t>2</w:t>
            </w:r>
          </w:p>
        </w:tc>
        <w:tc>
          <w:tcPr>
            <w:tcW w:w="1056" w:type="dxa"/>
            <w:noWrap/>
            <w:vAlign w:val="center"/>
          </w:tcPr>
          <w:p w:rsidR="0073700B" w:rsidRDefault="001A2FFC">
            <w:pPr>
              <w:jc w:val="center"/>
              <w:rPr>
                <w:bCs/>
                <w:color w:val="FF0000"/>
                <w:szCs w:val="20"/>
              </w:rPr>
            </w:pPr>
            <w:r>
              <w:rPr>
                <w:rFonts w:eastAsia="等线"/>
                <w:bCs/>
                <w:color w:val="000000"/>
                <w:szCs w:val="20"/>
              </w:rPr>
              <w:t>3</w:t>
            </w:r>
          </w:p>
        </w:tc>
        <w:tc>
          <w:tcPr>
            <w:tcW w:w="1056" w:type="dxa"/>
            <w:noWrap/>
            <w:vAlign w:val="center"/>
          </w:tcPr>
          <w:p w:rsidR="0073700B" w:rsidRDefault="001A2FFC">
            <w:pPr>
              <w:jc w:val="center"/>
              <w:rPr>
                <w:bCs/>
                <w:color w:val="FF0000"/>
                <w:szCs w:val="20"/>
              </w:rPr>
            </w:pPr>
            <w:r>
              <w:rPr>
                <w:rFonts w:eastAsia="等线"/>
                <w:bCs/>
                <w:color w:val="000000"/>
                <w:szCs w:val="20"/>
              </w:rPr>
              <w:t>2</w:t>
            </w:r>
          </w:p>
        </w:tc>
        <w:tc>
          <w:tcPr>
            <w:tcW w:w="1056" w:type="dxa"/>
            <w:noWrap/>
            <w:vAlign w:val="center"/>
          </w:tcPr>
          <w:p w:rsidR="0073700B" w:rsidRDefault="001A2FFC">
            <w:pPr>
              <w:jc w:val="center"/>
              <w:rPr>
                <w:bCs/>
                <w:color w:val="FF0000"/>
                <w:szCs w:val="20"/>
              </w:rPr>
            </w:pPr>
            <w:r>
              <w:rPr>
                <w:rFonts w:eastAsia="等线"/>
                <w:bCs/>
                <w:color w:val="000000"/>
                <w:szCs w:val="20"/>
              </w:rPr>
              <w:t>2</w:t>
            </w:r>
          </w:p>
        </w:tc>
        <w:tc>
          <w:tcPr>
            <w:tcW w:w="1056" w:type="dxa"/>
            <w:noWrap/>
            <w:vAlign w:val="center"/>
          </w:tcPr>
          <w:p w:rsidR="0073700B" w:rsidRDefault="001A2FFC">
            <w:pPr>
              <w:jc w:val="center"/>
              <w:rPr>
                <w:bCs/>
                <w:color w:val="FF0000"/>
                <w:szCs w:val="20"/>
              </w:rPr>
            </w:pPr>
            <w:r>
              <w:rPr>
                <w:rFonts w:eastAsia="等线"/>
                <w:bCs/>
                <w:color w:val="000000"/>
                <w:szCs w:val="20"/>
              </w:rPr>
              <w:t>44.50</w:t>
            </w:r>
          </w:p>
        </w:tc>
        <w:tc>
          <w:tcPr>
            <w:tcW w:w="975" w:type="dxa"/>
            <w:vMerge/>
            <w:vAlign w:val="center"/>
          </w:tcPr>
          <w:p w:rsidR="0073700B" w:rsidRDefault="0073700B">
            <w:pPr>
              <w:jc w:val="center"/>
              <w:rPr>
                <w:rFonts w:eastAsia="等线"/>
                <w:bCs/>
                <w:color w:val="000000"/>
                <w:szCs w:val="20"/>
              </w:rPr>
            </w:pPr>
          </w:p>
        </w:tc>
      </w:tr>
      <w:tr w:rsidR="0073700B">
        <w:trPr>
          <w:trHeight w:val="285"/>
          <w:jc w:val="center"/>
        </w:trPr>
        <w:tc>
          <w:tcPr>
            <w:tcW w:w="975"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39.50</w:t>
            </w:r>
          </w:p>
        </w:tc>
        <w:tc>
          <w:tcPr>
            <w:tcW w:w="975" w:type="dxa"/>
            <w:vMerge/>
            <w:vAlign w:val="center"/>
          </w:tcPr>
          <w:p w:rsidR="0073700B" w:rsidRDefault="0073700B">
            <w:pPr>
              <w:jc w:val="center"/>
              <w:rPr>
                <w:rFonts w:eastAsia="等线"/>
                <w:bCs/>
                <w:color w:val="000000"/>
                <w:szCs w:val="20"/>
              </w:rPr>
            </w:pPr>
          </w:p>
        </w:tc>
      </w:tr>
      <w:tr w:rsidR="0073700B">
        <w:trPr>
          <w:trHeight w:val="285"/>
          <w:jc w:val="center"/>
        </w:trPr>
        <w:tc>
          <w:tcPr>
            <w:tcW w:w="975" w:type="dxa"/>
            <w:vMerge/>
            <w:vAlign w:val="center"/>
          </w:tcPr>
          <w:p w:rsidR="0073700B" w:rsidRDefault="0073700B">
            <w:pPr>
              <w:jc w:val="center"/>
              <w:rPr>
                <w:rFonts w:eastAsia="等线"/>
                <w:bCs/>
                <w:color w:val="000000"/>
                <w:szCs w:val="20"/>
              </w:rPr>
            </w:pP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2</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w:t>
            </w:r>
          </w:p>
        </w:tc>
        <w:tc>
          <w:tcPr>
            <w:tcW w:w="1056" w:type="dxa"/>
            <w:noWrap/>
            <w:vAlign w:val="center"/>
          </w:tcPr>
          <w:p w:rsidR="0073700B" w:rsidRDefault="001A2FFC">
            <w:pPr>
              <w:jc w:val="center"/>
              <w:rPr>
                <w:bCs/>
                <w:color w:val="000000" w:themeColor="text1"/>
                <w:szCs w:val="20"/>
              </w:rPr>
            </w:pPr>
            <w:r>
              <w:rPr>
                <w:rFonts w:eastAsia="等线"/>
                <w:bCs/>
                <w:color w:val="000000"/>
                <w:szCs w:val="20"/>
              </w:rPr>
              <w:t>39.50</w:t>
            </w:r>
          </w:p>
        </w:tc>
        <w:tc>
          <w:tcPr>
            <w:tcW w:w="975" w:type="dxa"/>
            <w:vMerge/>
            <w:vAlign w:val="center"/>
          </w:tcPr>
          <w:p w:rsidR="0073700B" w:rsidRDefault="0073700B">
            <w:pPr>
              <w:jc w:val="center"/>
              <w:rPr>
                <w:rFonts w:eastAsia="等线"/>
                <w:bCs/>
                <w:color w:val="000000"/>
                <w:szCs w:val="20"/>
              </w:rPr>
            </w:pPr>
          </w:p>
        </w:tc>
      </w:tr>
    </w:tbl>
    <w:p w:rsidR="0073700B" w:rsidRDefault="001A2FFC" w:rsidP="00F80BAC">
      <w:pPr>
        <w:spacing w:beforeLines="50" w:before="156" w:line="360" w:lineRule="auto"/>
        <w:ind w:firstLineChars="200" w:firstLine="480"/>
        <w:rPr>
          <w:bCs/>
          <w:sz w:val="24"/>
          <w:szCs w:val="24"/>
        </w:rPr>
      </w:pPr>
      <w:r>
        <w:rPr>
          <w:bCs/>
          <w:sz w:val="24"/>
          <w:szCs w:val="24"/>
        </w:rPr>
        <w:t>由上表知，对于</w:t>
      </w:r>
      <w:r>
        <w:rPr>
          <w:bCs/>
          <w:sz w:val="24"/>
          <w:szCs w:val="24"/>
        </w:rPr>
        <w:t>4</w:t>
      </w:r>
      <w:r>
        <w:rPr>
          <w:bCs/>
          <w:sz w:val="24"/>
          <w:szCs w:val="24"/>
        </w:rPr>
        <w:t>级组合的情况，部分上升为</w:t>
      </w:r>
      <w:r>
        <w:rPr>
          <w:bCs/>
          <w:sz w:val="24"/>
          <w:szCs w:val="24"/>
        </w:rPr>
        <w:t>3</w:t>
      </w:r>
      <w:r>
        <w:rPr>
          <w:bCs/>
          <w:sz w:val="24"/>
          <w:szCs w:val="24"/>
        </w:rPr>
        <w:t>级，而对于</w:t>
      </w:r>
      <w:r>
        <w:rPr>
          <w:bCs/>
          <w:sz w:val="24"/>
          <w:szCs w:val="24"/>
        </w:rPr>
        <w:t>3</w:t>
      </w:r>
      <w:r>
        <w:rPr>
          <w:bCs/>
          <w:sz w:val="24"/>
          <w:szCs w:val="24"/>
        </w:rPr>
        <w:t>和</w:t>
      </w:r>
      <w:r>
        <w:rPr>
          <w:bCs/>
          <w:sz w:val="24"/>
          <w:szCs w:val="24"/>
        </w:rPr>
        <w:t>2</w:t>
      </w:r>
      <w:r>
        <w:rPr>
          <w:bCs/>
          <w:sz w:val="24"/>
          <w:szCs w:val="24"/>
        </w:rPr>
        <w:t>级的组合情况，后果当量法计算后均上升一个等级，从逻辑上看也是合理的。</w:t>
      </w:r>
    </w:p>
    <w:p w:rsidR="0073700B" w:rsidRDefault="001A2FFC" w:rsidP="00F80BAC">
      <w:pPr>
        <w:spacing w:beforeLines="50" w:before="156" w:line="360" w:lineRule="auto"/>
        <w:ind w:firstLineChars="200" w:firstLine="480"/>
        <w:rPr>
          <w:bCs/>
          <w:sz w:val="24"/>
          <w:szCs w:val="24"/>
        </w:rPr>
      </w:pPr>
      <w:r>
        <w:rPr>
          <w:bCs/>
          <w:sz w:val="24"/>
          <w:szCs w:val="24"/>
        </w:rPr>
        <w:t>综上所述，后果当量法相对于就高原则有其优越性，且该等级区间划分也较为合理，从只考虑人员死亡后果的角度看，该等级也符合《生产安全事故报告和调查处理条例》</w:t>
      </w:r>
      <w:r>
        <w:rPr>
          <w:bCs/>
          <w:sz w:val="24"/>
          <w:szCs w:val="20"/>
        </w:rPr>
        <w:fldChar w:fldCharType="begin"/>
      </w:r>
      <w:r>
        <w:rPr>
          <w:bCs/>
          <w:sz w:val="24"/>
          <w:szCs w:val="20"/>
        </w:rPr>
        <w:instrText xml:space="preserve"> ADDIN NE.Ref.{594372E5-F823-4718-A2B2-54F38D9D96D4}</w:instrText>
      </w:r>
      <w:r>
        <w:rPr>
          <w:bCs/>
          <w:sz w:val="24"/>
          <w:szCs w:val="20"/>
        </w:rPr>
        <w:fldChar w:fldCharType="separate"/>
      </w:r>
      <w:r>
        <w:rPr>
          <w:color w:val="080000"/>
          <w:kern w:val="0"/>
          <w:sz w:val="24"/>
          <w:szCs w:val="24"/>
          <w:vertAlign w:val="superscript"/>
        </w:rPr>
        <w:t>[4]</w:t>
      </w:r>
      <w:r>
        <w:rPr>
          <w:bCs/>
          <w:sz w:val="24"/>
          <w:szCs w:val="20"/>
        </w:rPr>
        <w:fldChar w:fldCharType="end"/>
      </w:r>
      <w:r>
        <w:rPr>
          <w:bCs/>
          <w:sz w:val="24"/>
          <w:szCs w:val="24"/>
        </w:rPr>
        <w:t>，可见，该后果当量法是基于人员伤亡进行当量换算的。</w:t>
      </w:r>
    </w:p>
    <w:p w:rsidR="0073700B" w:rsidRDefault="001A2FFC" w:rsidP="00F80BAC">
      <w:pPr>
        <w:spacing w:beforeLines="50" w:before="156" w:line="360" w:lineRule="auto"/>
        <w:ind w:firstLineChars="200" w:firstLine="480"/>
        <w:rPr>
          <w:bCs/>
          <w:sz w:val="24"/>
          <w:szCs w:val="24"/>
        </w:rPr>
      </w:pPr>
      <w:r>
        <w:rPr>
          <w:bCs/>
          <w:sz w:val="24"/>
          <w:szCs w:val="24"/>
        </w:rPr>
        <w:t>此外，这里给出了直接经济损失的统计范围。根据《企业职工伤亡事故经济损失统计标准》（</w:t>
      </w:r>
      <w:r>
        <w:rPr>
          <w:bCs/>
          <w:sz w:val="24"/>
          <w:szCs w:val="24"/>
        </w:rPr>
        <w:t>GB 6721-86)</w:t>
      </w:r>
      <w:r>
        <w:rPr>
          <w:bCs/>
          <w:sz w:val="24"/>
          <w:szCs w:val="24"/>
        </w:rPr>
        <w:fldChar w:fldCharType="begin"/>
      </w:r>
      <w:r>
        <w:rPr>
          <w:bCs/>
          <w:sz w:val="24"/>
          <w:szCs w:val="24"/>
        </w:rPr>
        <w:instrText xml:space="preserve"> ADDIN NE.Ref.{3EAADA75-4E53-4FE8-884F-51011B</w:instrText>
      </w:r>
      <w:r>
        <w:rPr>
          <w:bCs/>
          <w:sz w:val="24"/>
          <w:szCs w:val="24"/>
        </w:rPr>
        <w:instrText>8DB071}</w:instrText>
      </w:r>
      <w:r>
        <w:rPr>
          <w:bCs/>
          <w:sz w:val="24"/>
          <w:szCs w:val="24"/>
        </w:rPr>
        <w:fldChar w:fldCharType="separate"/>
      </w:r>
      <w:r>
        <w:rPr>
          <w:color w:val="080000"/>
          <w:kern w:val="0"/>
          <w:sz w:val="24"/>
          <w:szCs w:val="24"/>
          <w:vertAlign w:val="superscript"/>
        </w:rPr>
        <w:t>[29]</w:t>
      </w:r>
      <w:r>
        <w:rPr>
          <w:bCs/>
          <w:sz w:val="24"/>
          <w:szCs w:val="24"/>
        </w:rPr>
        <w:fldChar w:fldCharType="end"/>
      </w:r>
      <w:r>
        <w:rPr>
          <w:bCs/>
          <w:sz w:val="24"/>
          <w:szCs w:val="24"/>
        </w:rPr>
        <w:t>，伤亡事故经济损失指企业职工在劳动生产过程中发生伤亡事故所引起的一切经济损失，包括直接经济损失和间接经济损失。</w:t>
      </w:r>
    </w:p>
    <w:p w:rsidR="0073700B" w:rsidRDefault="001A2FFC" w:rsidP="00F80BAC">
      <w:pPr>
        <w:spacing w:beforeLines="50" w:before="156" w:line="360" w:lineRule="auto"/>
        <w:ind w:firstLineChars="200" w:firstLine="480"/>
        <w:rPr>
          <w:bCs/>
          <w:sz w:val="24"/>
          <w:szCs w:val="24"/>
        </w:rPr>
      </w:pPr>
      <w:r>
        <w:rPr>
          <w:bCs/>
          <w:sz w:val="24"/>
          <w:szCs w:val="24"/>
        </w:rPr>
        <w:t>直接经济损失指因事故造成人身伤亡及善后处理支出的费用和毁坏财产的价值，其统计范围</w:t>
      </w:r>
      <w:r>
        <w:rPr>
          <w:rFonts w:hint="eastAsia"/>
          <w:bCs/>
          <w:sz w:val="24"/>
          <w:szCs w:val="24"/>
        </w:rPr>
        <w:t>为</w:t>
      </w:r>
      <w:r>
        <w:rPr>
          <w:bCs/>
          <w:sz w:val="24"/>
          <w:szCs w:val="24"/>
        </w:rPr>
        <w:t>：</w:t>
      </w:r>
    </w:p>
    <w:p w:rsidR="0073700B" w:rsidRDefault="001A2FFC" w:rsidP="00F80BAC">
      <w:pPr>
        <w:spacing w:beforeLines="50" w:before="156" w:line="360" w:lineRule="auto"/>
        <w:ind w:firstLineChars="200" w:firstLine="480"/>
        <w:rPr>
          <w:bCs/>
          <w:sz w:val="24"/>
          <w:szCs w:val="24"/>
        </w:rPr>
      </w:pPr>
      <w:r>
        <w:rPr>
          <w:bCs/>
          <w:sz w:val="24"/>
          <w:szCs w:val="24"/>
        </w:rPr>
        <w:t>人身伤亡后所支出的费用：医疗费用</w:t>
      </w:r>
      <w:r>
        <w:rPr>
          <w:bCs/>
          <w:sz w:val="24"/>
          <w:szCs w:val="24"/>
        </w:rPr>
        <w:t>(</w:t>
      </w:r>
      <w:r>
        <w:rPr>
          <w:bCs/>
          <w:sz w:val="24"/>
          <w:szCs w:val="24"/>
        </w:rPr>
        <w:t>含护理费用</w:t>
      </w:r>
      <w:r>
        <w:rPr>
          <w:bCs/>
          <w:sz w:val="24"/>
          <w:szCs w:val="24"/>
        </w:rPr>
        <w:t>)</w:t>
      </w:r>
      <w:r>
        <w:rPr>
          <w:bCs/>
          <w:sz w:val="24"/>
          <w:szCs w:val="24"/>
        </w:rPr>
        <w:t>、丧葬及抚恤费用、补助及救济费用、歇工工资；</w:t>
      </w:r>
    </w:p>
    <w:p w:rsidR="0073700B" w:rsidRDefault="001A2FFC" w:rsidP="00F80BAC">
      <w:pPr>
        <w:spacing w:beforeLines="50" w:before="156" w:line="360" w:lineRule="auto"/>
        <w:ind w:firstLineChars="200" w:firstLine="480"/>
        <w:rPr>
          <w:bCs/>
          <w:sz w:val="24"/>
          <w:szCs w:val="24"/>
        </w:rPr>
      </w:pPr>
      <w:r>
        <w:rPr>
          <w:bCs/>
          <w:sz w:val="24"/>
          <w:szCs w:val="24"/>
        </w:rPr>
        <w:t>善后处理费用：处理事故的事务性费用、现场抢救费用、清理现场费用、</w:t>
      </w:r>
      <w:r>
        <w:rPr>
          <w:bCs/>
          <w:sz w:val="24"/>
          <w:szCs w:val="24"/>
        </w:rPr>
        <w:lastRenderedPageBreak/>
        <w:t>事故罚款和赔偿费用；</w:t>
      </w:r>
    </w:p>
    <w:p w:rsidR="0073700B" w:rsidRDefault="001A2FFC" w:rsidP="00F80BAC">
      <w:pPr>
        <w:spacing w:beforeLines="50" w:before="156" w:line="360" w:lineRule="auto"/>
        <w:ind w:firstLineChars="200" w:firstLine="480"/>
        <w:rPr>
          <w:bCs/>
          <w:sz w:val="24"/>
          <w:szCs w:val="24"/>
        </w:rPr>
      </w:pPr>
      <w:r>
        <w:rPr>
          <w:bCs/>
          <w:sz w:val="24"/>
          <w:szCs w:val="24"/>
        </w:rPr>
        <w:t>财产损失价值：固定资产损失价值、流动资产损失价值。</w:t>
      </w:r>
    </w:p>
    <w:p w:rsidR="0073700B" w:rsidRDefault="001A2FFC" w:rsidP="00F80BAC">
      <w:pPr>
        <w:spacing w:beforeLines="50" w:before="156" w:line="360" w:lineRule="auto"/>
        <w:ind w:firstLineChars="200" w:firstLine="480"/>
        <w:rPr>
          <w:bCs/>
          <w:sz w:val="24"/>
          <w:szCs w:val="24"/>
        </w:rPr>
      </w:pPr>
      <w:r>
        <w:rPr>
          <w:bCs/>
          <w:sz w:val="24"/>
          <w:szCs w:val="24"/>
        </w:rPr>
        <w:t>间接经济损失指因事故导致产值减少、资源破坏和受事故影响而造成其它损失的价值，其统计范围</w:t>
      </w:r>
      <w:r>
        <w:rPr>
          <w:rFonts w:hint="eastAsia"/>
          <w:bCs/>
          <w:sz w:val="24"/>
          <w:szCs w:val="24"/>
        </w:rPr>
        <w:t>为</w:t>
      </w:r>
      <w:r>
        <w:rPr>
          <w:bCs/>
          <w:sz w:val="24"/>
          <w:szCs w:val="24"/>
        </w:rPr>
        <w:t>：</w:t>
      </w:r>
    </w:p>
    <w:p w:rsidR="0073700B" w:rsidRDefault="001A2FFC" w:rsidP="00F80BAC">
      <w:pPr>
        <w:spacing w:beforeLines="50" w:before="156" w:line="360" w:lineRule="auto"/>
        <w:ind w:firstLineChars="200" w:firstLine="480"/>
        <w:rPr>
          <w:bCs/>
          <w:sz w:val="24"/>
          <w:szCs w:val="24"/>
        </w:rPr>
      </w:pPr>
      <w:r>
        <w:rPr>
          <w:bCs/>
          <w:sz w:val="24"/>
          <w:szCs w:val="24"/>
        </w:rPr>
        <w:t>停产、减产损失价值；</w:t>
      </w:r>
    </w:p>
    <w:p w:rsidR="0073700B" w:rsidRDefault="001A2FFC" w:rsidP="00F80BAC">
      <w:pPr>
        <w:spacing w:beforeLines="50" w:before="156" w:line="360" w:lineRule="auto"/>
        <w:ind w:firstLineChars="200" w:firstLine="480"/>
        <w:rPr>
          <w:bCs/>
          <w:sz w:val="24"/>
          <w:szCs w:val="24"/>
        </w:rPr>
      </w:pPr>
      <w:r>
        <w:rPr>
          <w:bCs/>
          <w:sz w:val="24"/>
          <w:szCs w:val="24"/>
        </w:rPr>
        <w:t>工作损失价值；</w:t>
      </w:r>
    </w:p>
    <w:p w:rsidR="0073700B" w:rsidRDefault="001A2FFC" w:rsidP="00F80BAC">
      <w:pPr>
        <w:spacing w:beforeLines="50" w:before="156" w:line="360" w:lineRule="auto"/>
        <w:ind w:firstLineChars="200" w:firstLine="480"/>
        <w:rPr>
          <w:bCs/>
          <w:sz w:val="24"/>
          <w:szCs w:val="24"/>
        </w:rPr>
      </w:pPr>
      <w:r>
        <w:rPr>
          <w:bCs/>
          <w:sz w:val="24"/>
          <w:szCs w:val="24"/>
        </w:rPr>
        <w:t>资源损失价值；</w:t>
      </w:r>
    </w:p>
    <w:p w:rsidR="0073700B" w:rsidRDefault="001A2FFC" w:rsidP="00F80BAC">
      <w:pPr>
        <w:spacing w:beforeLines="50" w:before="156" w:line="360" w:lineRule="auto"/>
        <w:ind w:firstLineChars="200" w:firstLine="480"/>
        <w:rPr>
          <w:bCs/>
          <w:sz w:val="24"/>
          <w:szCs w:val="24"/>
        </w:rPr>
      </w:pPr>
      <w:r>
        <w:rPr>
          <w:bCs/>
          <w:sz w:val="24"/>
          <w:szCs w:val="24"/>
        </w:rPr>
        <w:t>处理环境污染的费用；</w:t>
      </w:r>
    </w:p>
    <w:p w:rsidR="0073700B" w:rsidRDefault="001A2FFC" w:rsidP="00F80BAC">
      <w:pPr>
        <w:spacing w:beforeLines="50" w:before="156" w:line="360" w:lineRule="auto"/>
        <w:ind w:firstLineChars="200" w:firstLine="480"/>
        <w:rPr>
          <w:bCs/>
          <w:sz w:val="24"/>
          <w:szCs w:val="24"/>
        </w:rPr>
      </w:pPr>
      <w:r>
        <w:rPr>
          <w:bCs/>
          <w:sz w:val="24"/>
          <w:szCs w:val="24"/>
        </w:rPr>
        <w:t>补充新职工的培训费用；</w:t>
      </w:r>
    </w:p>
    <w:p w:rsidR="0073700B" w:rsidRDefault="001A2FFC" w:rsidP="00F80BAC">
      <w:pPr>
        <w:spacing w:beforeLines="50" w:before="156" w:line="360" w:lineRule="auto"/>
        <w:ind w:firstLineChars="200" w:firstLine="480"/>
        <w:rPr>
          <w:bCs/>
          <w:sz w:val="24"/>
          <w:szCs w:val="24"/>
        </w:rPr>
      </w:pPr>
      <w:r>
        <w:rPr>
          <w:bCs/>
          <w:sz w:val="24"/>
          <w:szCs w:val="24"/>
        </w:rPr>
        <w:t>其它损失费用。</w:t>
      </w:r>
    </w:p>
    <w:p w:rsidR="0073700B" w:rsidRDefault="001A2FFC" w:rsidP="00F80BAC">
      <w:pPr>
        <w:spacing w:beforeLines="50" w:before="156" w:line="360" w:lineRule="auto"/>
        <w:ind w:firstLineChars="200" w:firstLine="480"/>
        <w:rPr>
          <w:bCs/>
          <w:sz w:val="24"/>
          <w:szCs w:val="24"/>
        </w:rPr>
      </w:pPr>
      <w:r>
        <w:rPr>
          <w:bCs/>
          <w:sz w:val="24"/>
          <w:szCs w:val="24"/>
        </w:rPr>
        <w:t>本标准中</w:t>
      </w:r>
      <w:r>
        <w:rPr>
          <w:bCs/>
          <w:sz w:val="24"/>
          <w:szCs w:val="24"/>
        </w:rPr>
        <w:t>“</w:t>
      </w:r>
      <w:r>
        <w:rPr>
          <w:bCs/>
          <w:sz w:val="24"/>
          <w:szCs w:val="24"/>
        </w:rPr>
        <w:t>直接经济损失</w:t>
      </w:r>
      <w:r>
        <w:rPr>
          <w:bCs/>
          <w:sz w:val="24"/>
          <w:szCs w:val="24"/>
        </w:rPr>
        <w:t>”</w:t>
      </w:r>
      <w:r>
        <w:rPr>
          <w:bCs/>
          <w:sz w:val="24"/>
          <w:szCs w:val="24"/>
        </w:rPr>
        <w:t>统计范围和该标准保持一致，此外还考虑了人员伤亡、社会影响、环境影响和工期延误等后果。需注意，在</w:t>
      </w:r>
      <w:r>
        <w:rPr>
          <w:bCs/>
          <w:sz w:val="24"/>
          <w:szCs w:val="24"/>
        </w:rPr>
        <w:t>“</w:t>
      </w:r>
      <w:r>
        <w:rPr>
          <w:bCs/>
          <w:sz w:val="24"/>
          <w:szCs w:val="24"/>
        </w:rPr>
        <w:t>直接经济损失</w:t>
      </w:r>
      <w:r>
        <w:rPr>
          <w:bCs/>
          <w:sz w:val="24"/>
          <w:szCs w:val="24"/>
        </w:rPr>
        <w:t>”</w:t>
      </w:r>
      <w:r>
        <w:rPr>
          <w:bCs/>
          <w:sz w:val="24"/>
          <w:szCs w:val="24"/>
        </w:rPr>
        <w:t>中考虑了人员伤亡的赔偿等费用，更多侧重于企业的支出费用，而</w:t>
      </w:r>
      <w:r>
        <w:rPr>
          <w:bCs/>
          <w:sz w:val="24"/>
          <w:szCs w:val="24"/>
        </w:rPr>
        <w:t>“</w:t>
      </w:r>
      <w:r>
        <w:rPr>
          <w:bCs/>
          <w:sz w:val="24"/>
          <w:szCs w:val="24"/>
        </w:rPr>
        <w:t>人员伤亡</w:t>
      </w:r>
      <w:r>
        <w:rPr>
          <w:bCs/>
          <w:sz w:val="24"/>
          <w:szCs w:val="24"/>
        </w:rPr>
        <w:t>”</w:t>
      </w:r>
      <w:r>
        <w:rPr>
          <w:bCs/>
          <w:sz w:val="24"/>
          <w:szCs w:val="24"/>
        </w:rPr>
        <w:t>则是从社会管理和评价事故对社会和人类的影响的角度考虑的，应注意区分。</w:t>
      </w:r>
    </w:p>
    <w:p w:rsidR="0073700B" w:rsidRDefault="001A2FFC" w:rsidP="00F80BAC">
      <w:pPr>
        <w:spacing w:beforeLines="50" w:before="156" w:line="360" w:lineRule="auto"/>
        <w:ind w:firstLineChars="200" w:firstLine="480"/>
        <w:rPr>
          <w:bCs/>
          <w:sz w:val="24"/>
          <w:szCs w:val="20"/>
        </w:rPr>
      </w:pPr>
      <w:r>
        <w:rPr>
          <w:rFonts w:hint="eastAsia"/>
          <w:bCs/>
          <w:sz w:val="24"/>
          <w:szCs w:val="20"/>
        </w:rPr>
        <w:t>⑥</w:t>
      </w:r>
      <w:r>
        <w:rPr>
          <w:bCs/>
          <w:sz w:val="24"/>
          <w:szCs w:val="20"/>
        </w:rPr>
        <w:t>专项风险等级标准规定了较小风</w:t>
      </w:r>
      <w:r>
        <w:rPr>
          <w:bCs/>
          <w:sz w:val="24"/>
          <w:szCs w:val="20"/>
        </w:rPr>
        <w:t>险</w:t>
      </w:r>
      <w:r>
        <w:rPr>
          <w:bCs/>
          <w:sz w:val="24"/>
          <w:szCs w:val="20"/>
        </w:rPr>
        <w:t>(</w:t>
      </w:r>
      <w:r>
        <w:rPr>
          <w:rFonts w:ascii="宋体" w:hAnsi="宋体" w:cs="宋体" w:hint="eastAsia"/>
          <w:bCs/>
          <w:sz w:val="24"/>
          <w:szCs w:val="20"/>
        </w:rPr>
        <w:t>Ⅳ</w:t>
      </w:r>
      <w:r>
        <w:rPr>
          <w:bCs/>
          <w:sz w:val="24"/>
          <w:szCs w:val="20"/>
        </w:rPr>
        <w:t>级</w:t>
      </w:r>
      <w:r>
        <w:rPr>
          <w:bCs/>
          <w:sz w:val="24"/>
          <w:szCs w:val="20"/>
        </w:rPr>
        <w:t>)</w:t>
      </w:r>
      <w:r>
        <w:rPr>
          <w:bCs/>
          <w:sz w:val="24"/>
          <w:szCs w:val="20"/>
        </w:rPr>
        <w:t>、一般风险</w:t>
      </w:r>
      <w:r>
        <w:rPr>
          <w:bCs/>
          <w:sz w:val="24"/>
          <w:szCs w:val="20"/>
        </w:rPr>
        <w:t>(</w:t>
      </w:r>
      <w:r>
        <w:rPr>
          <w:rFonts w:ascii="宋体" w:hAnsi="宋体" w:cs="宋体" w:hint="eastAsia"/>
          <w:bCs/>
          <w:sz w:val="24"/>
          <w:szCs w:val="20"/>
        </w:rPr>
        <w:t>Ⅲ</w:t>
      </w:r>
      <w:r>
        <w:rPr>
          <w:bCs/>
          <w:sz w:val="24"/>
          <w:szCs w:val="20"/>
        </w:rPr>
        <w:t>级</w:t>
      </w:r>
      <w:r>
        <w:rPr>
          <w:bCs/>
          <w:sz w:val="24"/>
          <w:szCs w:val="20"/>
        </w:rPr>
        <w:t>)</w:t>
      </w:r>
      <w:r>
        <w:rPr>
          <w:bCs/>
          <w:sz w:val="24"/>
          <w:szCs w:val="20"/>
        </w:rPr>
        <w:t>、较大风险</w:t>
      </w:r>
      <w:r>
        <w:rPr>
          <w:bCs/>
          <w:sz w:val="24"/>
          <w:szCs w:val="20"/>
        </w:rPr>
        <w:t>(</w:t>
      </w:r>
      <w:r>
        <w:rPr>
          <w:rFonts w:ascii="宋体" w:hAnsi="宋体" w:cs="宋体" w:hint="eastAsia"/>
          <w:bCs/>
          <w:sz w:val="24"/>
          <w:szCs w:val="20"/>
        </w:rPr>
        <w:t>Ⅱ</w:t>
      </w:r>
      <w:r>
        <w:rPr>
          <w:bCs/>
          <w:sz w:val="24"/>
          <w:szCs w:val="20"/>
        </w:rPr>
        <w:t>级</w:t>
      </w:r>
      <w:r>
        <w:rPr>
          <w:bCs/>
          <w:sz w:val="24"/>
          <w:szCs w:val="20"/>
        </w:rPr>
        <w:t>)</w:t>
      </w:r>
      <w:r>
        <w:rPr>
          <w:bCs/>
          <w:sz w:val="24"/>
          <w:szCs w:val="20"/>
        </w:rPr>
        <w:t>、重大风险</w:t>
      </w:r>
      <w:r>
        <w:rPr>
          <w:bCs/>
          <w:sz w:val="24"/>
          <w:szCs w:val="20"/>
        </w:rPr>
        <w:t>(</w:t>
      </w:r>
      <w:r>
        <w:rPr>
          <w:rFonts w:ascii="宋体" w:hAnsi="宋体" w:cs="宋体" w:hint="eastAsia"/>
          <w:bCs/>
          <w:sz w:val="24"/>
          <w:szCs w:val="20"/>
        </w:rPr>
        <w:t>Ⅰ</w:t>
      </w:r>
      <w:r>
        <w:rPr>
          <w:bCs/>
          <w:sz w:val="24"/>
          <w:szCs w:val="20"/>
        </w:rPr>
        <w:t>级</w:t>
      </w:r>
      <w:r>
        <w:rPr>
          <w:bCs/>
          <w:sz w:val="24"/>
          <w:szCs w:val="20"/>
        </w:rPr>
        <w:t>)</w:t>
      </w:r>
      <w:r>
        <w:rPr>
          <w:bCs/>
          <w:sz w:val="24"/>
          <w:szCs w:val="20"/>
        </w:rPr>
        <w:t>四个风险等级，风险等级利用风险矩阵，由风险事件可能性和严重程度组成的矩阵表来综合判定。</w:t>
      </w:r>
    </w:p>
    <w:p w:rsidR="0073700B" w:rsidRDefault="001A2FFC" w:rsidP="00F80BAC">
      <w:pPr>
        <w:spacing w:beforeLines="50" w:before="156" w:line="360" w:lineRule="auto"/>
        <w:ind w:firstLineChars="200" w:firstLine="480"/>
        <w:rPr>
          <w:bCs/>
          <w:sz w:val="24"/>
          <w:szCs w:val="20"/>
        </w:rPr>
      </w:pPr>
      <w:r>
        <w:rPr>
          <w:rFonts w:hint="eastAsia"/>
          <w:bCs/>
          <w:sz w:val="24"/>
          <w:szCs w:val="20"/>
        </w:rPr>
        <w:t>⑦</w:t>
      </w:r>
      <w:r>
        <w:rPr>
          <w:bCs/>
          <w:sz w:val="24"/>
          <w:szCs w:val="20"/>
        </w:rPr>
        <w:t>风险源估测结果应分别按照一般和重大风险源进行汇总，以便查阅。</w:t>
      </w:r>
    </w:p>
    <w:p w:rsidR="0073700B" w:rsidRDefault="001A2FFC" w:rsidP="00F80BAC">
      <w:pPr>
        <w:spacing w:beforeLines="50" w:before="156" w:line="360" w:lineRule="auto"/>
        <w:ind w:firstLineChars="200" w:firstLine="480"/>
        <w:outlineLvl w:val="3"/>
        <w:rPr>
          <w:bCs/>
          <w:sz w:val="24"/>
          <w:szCs w:val="20"/>
        </w:rPr>
      </w:pPr>
      <w:r>
        <w:rPr>
          <w:rFonts w:hint="eastAsia"/>
          <w:bCs/>
          <w:sz w:val="24"/>
          <w:szCs w:val="20"/>
        </w:rPr>
        <w:t>（</w:t>
      </w:r>
      <w:r>
        <w:rPr>
          <w:rFonts w:hint="eastAsia"/>
          <w:bCs/>
          <w:sz w:val="24"/>
          <w:szCs w:val="20"/>
        </w:rPr>
        <w:t>5</w:t>
      </w:r>
      <w:r>
        <w:rPr>
          <w:rFonts w:hint="eastAsia"/>
          <w:bCs/>
          <w:sz w:val="24"/>
          <w:szCs w:val="20"/>
        </w:rPr>
        <w:t>）</w:t>
      </w:r>
      <w:r>
        <w:rPr>
          <w:bCs/>
          <w:sz w:val="24"/>
          <w:szCs w:val="20"/>
        </w:rPr>
        <w:t>一般风险源风险估测</w:t>
      </w:r>
    </w:p>
    <w:p w:rsidR="0073700B" w:rsidRDefault="001A2FFC" w:rsidP="00F80BAC">
      <w:pPr>
        <w:spacing w:beforeLines="50" w:before="156" w:line="360" w:lineRule="auto"/>
        <w:ind w:firstLineChars="200" w:firstLine="480"/>
        <w:rPr>
          <w:bCs/>
          <w:sz w:val="24"/>
        </w:rPr>
      </w:pPr>
      <w:r>
        <w:rPr>
          <w:rFonts w:hint="eastAsia"/>
          <w:bCs/>
          <w:sz w:val="24"/>
        </w:rPr>
        <w:t>①</w:t>
      </w:r>
      <w:r>
        <w:rPr>
          <w:bCs/>
          <w:sz w:val="24"/>
        </w:rPr>
        <w:t>一般风险源风险</w:t>
      </w:r>
      <w:r>
        <w:rPr>
          <w:bCs/>
          <w:color w:val="191919"/>
          <w:sz w:val="24"/>
        </w:rPr>
        <w:t>估测</w:t>
      </w:r>
      <w:r>
        <w:rPr>
          <w:bCs/>
          <w:sz w:val="24"/>
        </w:rPr>
        <w:t>，可采用定性方法（如检查表法），或半定量方法（如</w:t>
      </w:r>
      <w:r>
        <w:rPr>
          <w:bCs/>
          <w:sz w:val="24"/>
        </w:rPr>
        <w:t>LEC</w:t>
      </w:r>
      <w:r>
        <w:rPr>
          <w:bCs/>
          <w:sz w:val="24"/>
        </w:rPr>
        <w:t>法）等确定风险等级。</w:t>
      </w:r>
    </w:p>
    <w:p w:rsidR="0073700B" w:rsidRDefault="001A2FFC" w:rsidP="00F80BAC">
      <w:pPr>
        <w:spacing w:beforeLines="50" w:before="156" w:line="360" w:lineRule="auto"/>
        <w:ind w:firstLineChars="200" w:firstLine="480"/>
        <w:rPr>
          <w:bCs/>
          <w:sz w:val="24"/>
        </w:rPr>
      </w:pPr>
      <w:r>
        <w:rPr>
          <w:rFonts w:hint="eastAsia"/>
          <w:bCs/>
          <w:sz w:val="24"/>
        </w:rPr>
        <w:t>②</w:t>
      </w:r>
      <w:r>
        <w:rPr>
          <w:bCs/>
          <w:sz w:val="24"/>
        </w:rPr>
        <w:t>检查表法把检查</w:t>
      </w:r>
      <w:r>
        <w:rPr>
          <w:bCs/>
          <w:color w:val="191919"/>
          <w:sz w:val="24"/>
        </w:rPr>
        <w:t>对象</w:t>
      </w:r>
      <w:r>
        <w:rPr>
          <w:bCs/>
          <w:sz w:val="24"/>
        </w:rPr>
        <w:t>加以分解，将大系统分割成若干子系统，以提问或打分的形式，将检查项目列表逐项检查，即做一份安全检查和危险诊断的项目明细表、备忘录。安全检查表法可以直观地反映</w:t>
      </w:r>
      <w:r>
        <w:rPr>
          <w:bCs/>
          <w:sz w:val="24"/>
        </w:rPr>
        <w:t>出问题，可以作为评估者评估</w:t>
      </w:r>
      <w:r>
        <w:rPr>
          <w:bCs/>
          <w:sz w:val="24"/>
        </w:rPr>
        <w:lastRenderedPageBreak/>
        <w:t>时提出对策建议的重要依据，并且可以使对策建议更有针对性和可操作性，通风安全检查表示例如表</w:t>
      </w:r>
      <w:r>
        <w:rPr>
          <w:bCs/>
          <w:sz w:val="24"/>
        </w:rPr>
        <w:t>6-22</w:t>
      </w:r>
      <w:r>
        <w:rPr>
          <w:bCs/>
          <w:sz w:val="24"/>
        </w:rPr>
        <w:t>所示。</w:t>
      </w:r>
    </w:p>
    <w:p w:rsidR="0073700B" w:rsidRDefault="001A2FFC" w:rsidP="00F80BAC">
      <w:pPr>
        <w:pStyle w:val="a6"/>
        <w:spacing w:beforeLines="50" w:before="156"/>
        <w:rPr>
          <w:rFonts w:ascii="黑体" w:eastAsia="黑体" w:hAnsi="黑体"/>
          <w:b w:val="0"/>
          <w:bCs/>
        </w:rPr>
      </w:pPr>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22</w:t>
      </w:r>
      <w:r>
        <w:rPr>
          <w:rFonts w:ascii="黑体" w:eastAsia="黑体" w:hAnsi="黑体"/>
          <w:b w:val="0"/>
          <w:bCs/>
        </w:rPr>
        <w:fldChar w:fldCharType="end"/>
      </w:r>
      <w:r>
        <w:rPr>
          <w:rFonts w:ascii="黑体" w:eastAsia="黑体" w:hAnsi="黑体"/>
          <w:b w:val="0"/>
          <w:bCs/>
        </w:rPr>
        <w:t xml:space="preserve">  </w:t>
      </w:r>
      <w:r>
        <w:rPr>
          <w:rFonts w:ascii="黑体" w:eastAsia="黑体" w:hAnsi="黑体"/>
          <w:b w:val="0"/>
          <w:bCs/>
        </w:rPr>
        <w:t>隧道通风安全检查表</w:t>
      </w:r>
    </w:p>
    <w:tbl>
      <w:tblPr>
        <w:tblW w:w="8286"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452"/>
        <w:gridCol w:w="3029"/>
        <w:gridCol w:w="1378"/>
        <w:gridCol w:w="1427"/>
      </w:tblGrid>
      <w:tr w:rsidR="0073700B">
        <w:tc>
          <w:tcPr>
            <w:tcW w:w="2452" w:type="dxa"/>
            <w:shd w:val="clear" w:color="auto" w:fill="auto"/>
          </w:tcPr>
          <w:p w:rsidR="0073700B" w:rsidRDefault="001A2FFC">
            <w:pPr>
              <w:tabs>
                <w:tab w:val="left" w:pos="1507"/>
              </w:tabs>
              <w:jc w:val="center"/>
              <w:rPr>
                <w:bCs/>
              </w:rPr>
            </w:pPr>
            <w:r>
              <w:rPr>
                <w:bCs/>
              </w:rPr>
              <w:t>检查内容</w:t>
            </w:r>
          </w:p>
        </w:tc>
        <w:tc>
          <w:tcPr>
            <w:tcW w:w="3029" w:type="dxa"/>
            <w:shd w:val="clear" w:color="auto" w:fill="auto"/>
          </w:tcPr>
          <w:p w:rsidR="0073700B" w:rsidRDefault="001A2FFC">
            <w:pPr>
              <w:tabs>
                <w:tab w:val="left" w:pos="1507"/>
              </w:tabs>
              <w:jc w:val="center"/>
              <w:rPr>
                <w:bCs/>
              </w:rPr>
            </w:pPr>
            <w:r>
              <w:rPr>
                <w:bCs/>
              </w:rPr>
              <w:t>检查依据</w:t>
            </w:r>
          </w:p>
        </w:tc>
        <w:tc>
          <w:tcPr>
            <w:tcW w:w="1378" w:type="dxa"/>
            <w:shd w:val="clear" w:color="auto" w:fill="auto"/>
          </w:tcPr>
          <w:p w:rsidR="0073700B" w:rsidRDefault="001A2FFC">
            <w:pPr>
              <w:tabs>
                <w:tab w:val="left" w:pos="1507"/>
              </w:tabs>
              <w:jc w:val="center"/>
              <w:rPr>
                <w:bCs/>
              </w:rPr>
            </w:pPr>
            <w:r>
              <w:rPr>
                <w:bCs/>
              </w:rPr>
              <w:t>检查结果</w:t>
            </w:r>
          </w:p>
        </w:tc>
        <w:tc>
          <w:tcPr>
            <w:tcW w:w="1427" w:type="dxa"/>
            <w:shd w:val="clear" w:color="auto" w:fill="auto"/>
          </w:tcPr>
          <w:p w:rsidR="0073700B" w:rsidRDefault="001A2FFC">
            <w:pPr>
              <w:tabs>
                <w:tab w:val="left" w:pos="1507"/>
              </w:tabs>
              <w:jc w:val="center"/>
              <w:rPr>
                <w:bCs/>
              </w:rPr>
            </w:pPr>
            <w:r>
              <w:rPr>
                <w:bCs/>
              </w:rPr>
              <w:t>备注</w:t>
            </w:r>
          </w:p>
        </w:tc>
      </w:tr>
      <w:tr w:rsidR="0073700B">
        <w:trPr>
          <w:trHeight w:val="831"/>
        </w:trPr>
        <w:tc>
          <w:tcPr>
            <w:tcW w:w="2452" w:type="dxa"/>
            <w:shd w:val="clear" w:color="auto" w:fill="auto"/>
          </w:tcPr>
          <w:p w:rsidR="0073700B" w:rsidRDefault="001A2FFC">
            <w:pPr>
              <w:tabs>
                <w:tab w:val="left" w:pos="1507"/>
              </w:tabs>
              <w:jc w:val="left"/>
              <w:rPr>
                <w:bCs/>
              </w:rPr>
            </w:pPr>
            <w:r>
              <w:rPr>
                <w:bCs/>
              </w:rPr>
              <w:t>1.</w:t>
            </w:r>
            <w:r>
              <w:rPr>
                <w:bCs/>
              </w:rPr>
              <w:t>空气中有害物质容许浓度</w:t>
            </w:r>
          </w:p>
          <w:p w:rsidR="0073700B" w:rsidRDefault="001A2FFC">
            <w:pPr>
              <w:tabs>
                <w:tab w:val="left" w:pos="1507"/>
              </w:tabs>
              <w:rPr>
                <w:bCs/>
              </w:rPr>
            </w:pPr>
            <w:r>
              <w:rPr>
                <w:bCs/>
              </w:rPr>
              <w:t>2.</w:t>
            </w:r>
            <w:r>
              <w:rPr>
                <w:bCs/>
              </w:rPr>
              <w:t>通风设备</w:t>
            </w:r>
          </w:p>
          <w:p w:rsidR="0073700B" w:rsidRDefault="001A2FFC">
            <w:pPr>
              <w:tabs>
                <w:tab w:val="left" w:pos="1507"/>
              </w:tabs>
              <w:rPr>
                <w:bCs/>
              </w:rPr>
            </w:pPr>
            <w:r>
              <w:rPr>
                <w:bCs/>
              </w:rPr>
              <w:t>3.</w:t>
            </w:r>
            <w:r>
              <w:rPr>
                <w:bCs/>
              </w:rPr>
              <w:t>自动报警装置</w:t>
            </w:r>
          </w:p>
          <w:p w:rsidR="0073700B" w:rsidRDefault="001A2FFC">
            <w:pPr>
              <w:tabs>
                <w:tab w:val="left" w:pos="1507"/>
              </w:tabs>
              <w:rPr>
                <w:bCs/>
              </w:rPr>
            </w:pPr>
            <w:r>
              <w:rPr>
                <w:bCs/>
              </w:rPr>
              <w:t>4. ……</w:t>
            </w:r>
          </w:p>
          <w:p w:rsidR="0073700B" w:rsidRDefault="0073700B">
            <w:pPr>
              <w:tabs>
                <w:tab w:val="left" w:pos="1507"/>
              </w:tabs>
              <w:jc w:val="center"/>
              <w:rPr>
                <w:bCs/>
              </w:rPr>
            </w:pPr>
          </w:p>
          <w:p w:rsidR="0073700B" w:rsidRDefault="0073700B">
            <w:pPr>
              <w:tabs>
                <w:tab w:val="left" w:pos="1507"/>
              </w:tabs>
              <w:rPr>
                <w:bCs/>
              </w:rPr>
            </w:pPr>
          </w:p>
        </w:tc>
        <w:tc>
          <w:tcPr>
            <w:tcW w:w="3029" w:type="dxa"/>
            <w:shd w:val="clear" w:color="auto" w:fill="auto"/>
          </w:tcPr>
          <w:p w:rsidR="0073700B" w:rsidRDefault="001A2FFC">
            <w:pPr>
              <w:tabs>
                <w:tab w:val="left" w:pos="1507"/>
              </w:tabs>
              <w:jc w:val="left"/>
              <w:rPr>
                <w:bCs/>
              </w:rPr>
            </w:pPr>
            <w:r>
              <w:rPr>
                <w:bCs/>
              </w:rPr>
              <w:t>1.</w:t>
            </w:r>
            <w:r>
              <w:rPr>
                <w:bCs/>
              </w:rPr>
              <w:t>空气中有害物质容许浓度是否满足施工规范要求。</w:t>
            </w:r>
          </w:p>
          <w:p w:rsidR="0073700B" w:rsidRDefault="001A2FFC">
            <w:pPr>
              <w:tabs>
                <w:tab w:val="left" w:pos="1507"/>
              </w:tabs>
              <w:jc w:val="left"/>
              <w:rPr>
                <w:bCs/>
              </w:rPr>
            </w:pPr>
            <w:r>
              <w:rPr>
                <w:bCs/>
              </w:rPr>
              <w:t>2.</w:t>
            </w:r>
            <w:r>
              <w:rPr>
                <w:bCs/>
              </w:rPr>
              <w:t>通风设备数量是否足够，通风设备是否开启。</w:t>
            </w:r>
          </w:p>
          <w:p w:rsidR="0073700B" w:rsidRDefault="001A2FFC">
            <w:pPr>
              <w:tabs>
                <w:tab w:val="left" w:pos="1507"/>
              </w:tabs>
              <w:jc w:val="left"/>
              <w:rPr>
                <w:bCs/>
              </w:rPr>
            </w:pPr>
            <w:r>
              <w:rPr>
                <w:bCs/>
              </w:rPr>
              <w:t>3.</w:t>
            </w:r>
            <w:r>
              <w:rPr>
                <w:bCs/>
              </w:rPr>
              <w:t>自动报警装置指示灯是否完好，监测系统是否正常工作。</w:t>
            </w:r>
          </w:p>
          <w:p w:rsidR="0073700B" w:rsidRDefault="001A2FFC">
            <w:pPr>
              <w:tabs>
                <w:tab w:val="left" w:pos="1507"/>
              </w:tabs>
              <w:jc w:val="left"/>
              <w:rPr>
                <w:bCs/>
              </w:rPr>
            </w:pPr>
            <w:r>
              <w:rPr>
                <w:bCs/>
              </w:rPr>
              <w:t>4. ……</w:t>
            </w:r>
          </w:p>
        </w:tc>
        <w:tc>
          <w:tcPr>
            <w:tcW w:w="1378" w:type="dxa"/>
            <w:shd w:val="clear" w:color="auto" w:fill="auto"/>
          </w:tcPr>
          <w:p w:rsidR="0073700B" w:rsidRDefault="0073700B">
            <w:pPr>
              <w:tabs>
                <w:tab w:val="left" w:pos="1507"/>
              </w:tabs>
              <w:jc w:val="center"/>
              <w:rPr>
                <w:bCs/>
              </w:rPr>
            </w:pPr>
          </w:p>
        </w:tc>
        <w:tc>
          <w:tcPr>
            <w:tcW w:w="1427" w:type="dxa"/>
            <w:shd w:val="clear" w:color="auto" w:fill="auto"/>
          </w:tcPr>
          <w:p w:rsidR="0073700B" w:rsidRDefault="0073700B">
            <w:pPr>
              <w:tabs>
                <w:tab w:val="left" w:pos="1507"/>
              </w:tabs>
              <w:jc w:val="center"/>
              <w:rPr>
                <w:bCs/>
              </w:rPr>
            </w:pPr>
          </w:p>
        </w:tc>
      </w:tr>
    </w:tbl>
    <w:p w:rsidR="0073700B" w:rsidRDefault="001A2FFC" w:rsidP="00F80BAC">
      <w:pPr>
        <w:spacing w:beforeLines="50" w:before="156" w:line="360" w:lineRule="auto"/>
        <w:ind w:firstLineChars="200" w:firstLine="480"/>
        <w:rPr>
          <w:bCs/>
          <w:sz w:val="24"/>
        </w:rPr>
      </w:pPr>
      <w:r>
        <w:rPr>
          <w:rFonts w:hint="eastAsia"/>
          <w:bCs/>
          <w:sz w:val="24"/>
        </w:rPr>
        <w:t>③</w:t>
      </w:r>
      <w:r>
        <w:rPr>
          <w:bCs/>
          <w:sz w:val="24"/>
        </w:rPr>
        <w:t>LEC</w:t>
      </w:r>
      <w:r>
        <w:rPr>
          <w:bCs/>
          <w:sz w:val="24"/>
        </w:rPr>
        <w:t>法（</w:t>
      </w:r>
      <w:r>
        <w:rPr>
          <w:bCs/>
          <w:color w:val="191919"/>
          <w:sz w:val="24"/>
        </w:rPr>
        <w:t>作业条件</w:t>
      </w:r>
      <w:r>
        <w:rPr>
          <w:bCs/>
          <w:sz w:val="24"/>
        </w:rPr>
        <w:t>危险性评价法）</w:t>
      </w:r>
    </w:p>
    <w:p w:rsidR="0073700B" w:rsidRDefault="001A2FFC" w:rsidP="00F80BAC">
      <w:pPr>
        <w:spacing w:beforeLines="50" w:before="156" w:line="360" w:lineRule="auto"/>
        <w:ind w:firstLineChars="200" w:firstLine="480"/>
        <w:rPr>
          <w:bCs/>
          <w:sz w:val="24"/>
        </w:rPr>
      </w:pPr>
      <w:r>
        <w:rPr>
          <w:bCs/>
          <w:sz w:val="24"/>
        </w:rPr>
        <w:t>LEC</w:t>
      </w:r>
      <w:r>
        <w:rPr>
          <w:bCs/>
          <w:sz w:val="24"/>
        </w:rPr>
        <w:t>法是根据作业人员在具有潜在危险性环境中作业，以影响作业条件危险性的因素进行评价的</w:t>
      </w:r>
      <w:r>
        <w:rPr>
          <w:bCs/>
          <w:color w:val="191919"/>
          <w:sz w:val="24"/>
        </w:rPr>
        <w:t>方法</w:t>
      </w:r>
      <w:r>
        <w:rPr>
          <w:bCs/>
          <w:sz w:val="24"/>
        </w:rPr>
        <w:t>。作业条件危险性评价法的评价步骤如下：</w:t>
      </w:r>
    </w:p>
    <w:p w:rsidR="0073700B" w:rsidRDefault="001A2FFC" w:rsidP="00F80BAC">
      <w:pPr>
        <w:spacing w:beforeLines="50" w:before="156" w:line="360" w:lineRule="auto"/>
        <w:ind w:firstLineChars="200" w:firstLine="480"/>
        <w:rPr>
          <w:bCs/>
          <w:sz w:val="24"/>
        </w:rPr>
      </w:pPr>
      <w:r>
        <w:rPr>
          <w:bCs/>
          <w:color w:val="191919"/>
          <w:sz w:val="24"/>
        </w:rPr>
        <w:t>a</w:t>
      </w:r>
      <w:r>
        <w:rPr>
          <w:rFonts w:hint="eastAsia"/>
          <w:bCs/>
          <w:color w:val="191919"/>
          <w:sz w:val="24"/>
        </w:rPr>
        <w:t>）</w:t>
      </w:r>
      <w:r>
        <w:rPr>
          <w:bCs/>
          <w:sz w:val="24"/>
        </w:rPr>
        <w:t>组成</w:t>
      </w:r>
      <w:r>
        <w:rPr>
          <w:bCs/>
          <w:color w:val="191919"/>
          <w:sz w:val="24"/>
        </w:rPr>
        <w:t>专家</w:t>
      </w:r>
      <w:r>
        <w:rPr>
          <w:bCs/>
          <w:sz w:val="24"/>
        </w:rPr>
        <w:t>组。</w:t>
      </w:r>
    </w:p>
    <w:p w:rsidR="0073700B" w:rsidRDefault="001A2FFC" w:rsidP="00F80BAC">
      <w:pPr>
        <w:spacing w:beforeLines="50" w:before="156" w:line="360" w:lineRule="auto"/>
        <w:ind w:firstLineChars="200" w:firstLine="480"/>
        <w:rPr>
          <w:bCs/>
          <w:sz w:val="24"/>
        </w:rPr>
      </w:pPr>
      <w:r>
        <w:rPr>
          <w:bCs/>
          <w:color w:val="191919"/>
          <w:sz w:val="24"/>
        </w:rPr>
        <w:t>b</w:t>
      </w:r>
      <w:r>
        <w:rPr>
          <w:rFonts w:hint="eastAsia"/>
          <w:bCs/>
          <w:color w:val="191919"/>
          <w:sz w:val="24"/>
        </w:rPr>
        <w:t>）</w:t>
      </w:r>
      <w:r>
        <w:rPr>
          <w:bCs/>
          <w:sz w:val="24"/>
        </w:rPr>
        <w:t>对于一个具有潜在危险性的作业条件，确定事故类型，找出影响危险性的主要因素：</w:t>
      </w:r>
      <w:r>
        <w:rPr>
          <w:bCs/>
          <w:i/>
          <w:iCs/>
          <w:sz w:val="24"/>
        </w:rPr>
        <w:t>L</w:t>
      </w:r>
      <w:r>
        <w:rPr>
          <w:bCs/>
          <w:sz w:val="24"/>
        </w:rPr>
        <w:t>—</w:t>
      </w:r>
      <w:r>
        <w:rPr>
          <w:bCs/>
          <w:sz w:val="24"/>
        </w:rPr>
        <w:t>事故发生的可能性；</w:t>
      </w:r>
      <w:r>
        <w:rPr>
          <w:bCs/>
          <w:i/>
          <w:iCs/>
          <w:sz w:val="24"/>
        </w:rPr>
        <w:t>E</w:t>
      </w:r>
      <w:r>
        <w:rPr>
          <w:bCs/>
          <w:sz w:val="24"/>
        </w:rPr>
        <w:t>—</w:t>
      </w:r>
      <w:r>
        <w:rPr>
          <w:bCs/>
          <w:sz w:val="24"/>
        </w:rPr>
        <w:t>人员暴露于危险环境的频繁程度；</w:t>
      </w:r>
      <w:r>
        <w:rPr>
          <w:bCs/>
          <w:i/>
          <w:iCs/>
          <w:sz w:val="24"/>
        </w:rPr>
        <w:t>C</w:t>
      </w:r>
      <w:r>
        <w:rPr>
          <w:bCs/>
          <w:sz w:val="24"/>
        </w:rPr>
        <w:t>—</w:t>
      </w:r>
      <w:r>
        <w:rPr>
          <w:bCs/>
          <w:sz w:val="24"/>
        </w:rPr>
        <w:t>发生事故可能造成的后果。</w:t>
      </w:r>
      <w:r>
        <w:rPr>
          <w:bCs/>
          <w:sz w:val="24"/>
        </w:rPr>
        <w:t xml:space="preserve"> </w:t>
      </w:r>
    </w:p>
    <w:p w:rsidR="0073700B" w:rsidRDefault="001A2FFC" w:rsidP="00F80BAC">
      <w:pPr>
        <w:spacing w:beforeLines="50" w:before="156" w:line="360" w:lineRule="auto"/>
        <w:ind w:firstLineChars="200" w:firstLine="480"/>
        <w:jc w:val="left"/>
        <w:rPr>
          <w:bCs/>
          <w:sz w:val="24"/>
        </w:rPr>
      </w:pPr>
      <w:r>
        <w:rPr>
          <w:bCs/>
          <w:color w:val="191919"/>
          <w:sz w:val="24"/>
        </w:rPr>
        <w:t>c</w:t>
      </w:r>
      <w:r>
        <w:rPr>
          <w:rFonts w:hint="eastAsia"/>
          <w:bCs/>
          <w:color w:val="191919"/>
          <w:sz w:val="24"/>
        </w:rPr>
        <w:t>）</w:t>
      </w:r>
      <w:r>
        <w:rPr>
          <w:bCs/>
          <w:sz w:val="24"/>
        </w:rPr>
        <w:t>由专家组</w:t>
      </w:r>
      <w:r>
        <w:rPr>
          <w:bCs/>
          <w:color w:val="191919"/>
          <w:sz w:val="24"/>
        </w:rPr>
        <w:t>成员</w:t>
      </w:r>
      <w:r>
        <w:rPr>
          <w:bCs/>
          <w:sz w:val="24"/>
        </w:rPr>
        <w:t>按规定标准对</w:t>
      </w:r>
      <w:r>
        <w:rPr>
          <w:bCs/>
          <w:sz w:val="24"/>
        </w:rPr>
        <w:t xml:space="preserve"> </w:t>
      </w:r>
      <w:r>
        <w:rPr>
          <w:bCs/>
          <w:i/>
          <w:iCs/>
          <w:sz w:val="24"/>
        </w:rPr>
        <w:t>L</w:t>
      </w:r>
      <w:r>
        <w:rPr>
          <w:bCs/>
          <w:sz w:val="24"/>
        </w:rPr>
        <w:t>、</w:t>
      </w:r>
      <w:r>
        <w:rPr>
          <w:bCs/>
          <w:i/>
          <w:iCs/>
          <w:sz w:val="24"/>
        </w:rPr>
        <w:t>E</w:t>
      </w:r>
      <w:r>
        <w:rPr>
          <w:bCs/>
          <w:sz w:val="24"/>
        </w:rPr>
        <w:t>、</w:t>
      </w:r>
      <w:r>
        <w:rPr>
          <w:bCs/>
          <w:i/>
          <w:iCs/>
          <w:sz w:val="24"/>
        </w:rPr>
        <w:t>C</w:t>
      </w:r>
      <w:r>
        <w:rPr>
          <w:bCs/>
          <w:sz w:val="24"/>
        </w:rPr>
        <w:t xml:space="preserve"> </w:t>
      </w:r>
      <w:r>
        <w:rPr>
          <w:bCs/>
          <w:sz w:val="24"/>
        </w:rPr>
        <w:t>分别评分，取分值集的平均值作为</w:t>
      </w:r>
      <w:r>
        <w:rPr>
          <w:bCs/>
          <w:sz w:val="24"/>
        </w:rPr>
        <w:t xml:space="preserve"> </w:t>
      </w:r>
      <w:r>
        <w:rPr>
          <w:bCs/>
          <w:i/>
          <w:iCs/>
          <w:sz w:val="24"/>
        </w:rPr>
        <w:t>L</w:t>
      </w:r>
      <w:r>
        <w:rPr>
          <w:bCs/>
          <w:sz w:val="24"/>
        </w:rPr>
        <w:t>、</w:t>
      </w:r>
      <w:r>
        <w:rPr>
          <w:bCs/>
          <w:i/>
          <w:iCs/>
          <w:sz w:val="24"/>
        </w:rPr>
        <w:t>E</w:t>
      </w:r>
      <w:r>
        <w:rPr>
          <w:bCs/>
          <w:sz w:val="24"/>
        </w:rPr>
        <w:t>、</w:t>
      </w:r>
      <w:r>
        <w:rPr>
          <w:bCs/>
          <w:i/>
          <w:iCs/>
          <w:sz w:val="24"/>
        </w:rPr>
        <w:t xml:space="preserve">C </w:t>
      </w:r>
      <w:r>
        <w:rPr>
          <w:bCs/>
          <w:sz w:val="24"/>
        </w:rPr>
        <w:t>的计算分值。用计算的危险性分值（</w:t>
      </w:r>
      <w:r>
        <w:rPr>
          <w:bCs/>
          <w:i/>
          <w:iCs/>
          <w:sz w:val="24"/>
        </w:rPr>
        <w:t>D</w:t>
      </w:r>
      <w:r>
        <w:rPr>
          <w:bCs/>
          <w:sz w:val="24"/>
        </w:rPr>
        <w:t>）评价作业条件的危险性等级。其计算公式为：</w:t>
      </w:r>
    </w:p>
    <w:p w:rsidR="0073700B" w:rsidRDefault="001A2FFC" w:rsidP="00F80BAC">
      <w:pPr>
        <w:spacing w:beforeLines="50" w:before="156" w:line="360" w:lineRule="auto"/>
        <w:ind w:firstLineChars="200" w:firstLine="480"/>
        <w:jc w:val="right"/>
        <w:rPr>
          <w:bCs/>
          <w:iCs/>
          <w:sz w:val="24"/>
        </w:rPr>
      </w:pPr>
      <w:r>
        <w:rPr>
          <w:bCs/>
          <w:i/>
          <w:position w:val="-6"/>
          <w:sz w:val="24"/>
        </w:rPr>
        <w:object w:dxaOrig="1365" w:dyaOrig="262">
          <v:shape id="_x0000_i1039" type="#_x0000_t75" style="width:68.35pt;height:13.05pt" o:ole="">
            <v:imagedata r:id="rId32" o:title=""/>
          </v:shape>
          <o:OLEObject Type="Embed" ProgID="Equation.DSMT4" ShapeID="_x0000_i1039" DrawAspect="Content" ObjectID="_1645534672" r:id="rId33"/>
        </w:object>
      </w:r>
      <w:r>
        <w:rPr>
          <w:bCs/>
          <w:i/>
          <w:sz w:val="24"/>
        </w:rPr>
        <w:t xml:space="preserve">                        </w:t>
      </w:r>
      <w:r>
        <w:rPr>
          <w:bCs/>
          <w:iCs/>
          <w:sz w:val="24"/>
        </w:rPr>
        <w:t>(1)</w:t>
      </w:r>
    </w:p>
    <w:p w:rsidR="0073700B" w:rsidRDefault="001A2FFC" w:rsidP="00F80BAC">
      <w:pPr>
        <w:tabs>
          <w:tab w:val="left" w:pos="1507"/>
        </w:tabs>
        <w:spacing w:beforeLines="50" w:before="156" w:line="360" w:lineRule="auto"/>
        <w:rPr>
          <w:bCs/>
          <w:sz w:val="24"/>
          <w:szCs w:val="24"/>
        </w:rPr>
      </w:pPr>
      <w:r>
        <w:rPr>
          <w:bCs/>
          <w:sz w:val="24"/>
        </w:rPr>
        <w:t>式中：</w:t>
      </w:r>
      <w:r>
        <w:rPr>
          <w:bCs/>
          <w:i/>
          <w:iCs/>
          <w:sz w:val="24"/>
        </w:rPr>
        <w:t>L</w:t>
      </w:r>
      <w:r>
        <w:rPr>
          <w:bCs/>
          <w:sz w:val="24"/>
        </w:rPr>
        <w:t>—</w:t>
      </w:r>
      <w:r>
        <w:rPr>
          <w:bCs/>
          <w:sz w:val="24"/>
        </w:rPr>
        <w:t>事故发生的可能性大小，</w:t>
      </w:r>
      <w:proofErr w:type="gramStart"/>
      <w:r>
        <w:rPr>
          <w:bCs/>
          <w:sz w:val="24"/>
          <w:szCs w:val="24"/>
        </w:rPr>
        <w:t>取值见</w:t>
      </w:r>
      <w:proofErr w:type="gramEnd"/>
      <w:r>
        <w:fldChar w:fldCharType="begin"/>
      </w:r>
      <w:r>
        <w:instrText xml:space="preserve"> REF _Ref535833260 \h  \* MERGEFORMAT </w:instrText>
      </w:r>
      <w:r>
        <w:fldChar w:fldCharType="separate"/>
      </w:r>
      <w:r>
        <w:rPr>
          <w:bCs/>
          <w:sz w:val="24"/>
          <w:szCs w:val="24"/>
        </w:rPr>
        <w:t>表</w:t>
      </w:r>
      <w:r>
        <w:rPr>
          <w:bCs/>
          <w:sz w:val="24"/>
          <w:szCs w:val="24"/>
        </w:rPr>
        <w:t>6</w:t>
      </w:r>
      <w:r>
        <w:rPr>
          <w:bCs/>
          <w:sz w:val="24"/>
          <w:szCs w:val="24"/>
        </w:rPr>
        <w:noBreakHyphen/>
        <w:t>23</w:t>
      </w:r>
      <w:r>
        <w:rPr>
          <w:bCs/>
          <w:sz w:val="24"/>
          <w:szCs w:val="24"/>
        </w:rPr>
        <w:fldChar w:fldCharType="end"/>
      </w:r>
      <w:r>
        <w:rPr>
          <w:bCs/>
          <w:sz w:val="24"/>
          <w:szCs w:val="24"/>
        </w:rPr>
        <w:t>；</w:t>
      </w:r>
      <w:r>
        <w:rPr>
          <w:bCs/>
          <w:sz w:val="24"/>
          <w:szCs w:val="24"/>
        </w:rPr>
        <w:t xml:space="preserve"> </w:t>
      </w:r>
    </w:p>
    <w:p w:rsidR="0073700B" w:rsidRDefault="001A2FFC" w:rsidP="00F80BAC">
      <w:pPr>
        <w:tabs>
          <w:tab w:val="left" w:pos="1507"/>
        </w:tabs>
        <w:spacing w:beforeLines="50" w:before="156" w:line="360" w:lineRule="auto"/>
        <w:ind w:firstLineChars="300" w:firstLine="720"/>
        <w:rPr>
          <w:bCs/>
          <w:sz w:val="24"/>
          <w:szCs w:val="24"/>
        </w:rPr>
      </w:pPr>
      <w:r>
        <w:rPr>
          <w:bCs/>
          <w:i/>
          <w:iCs/>
          <w:sz w:val="24"/>
          <w:szCs w:val="24"/>
        </w:rPr>
        <w:t>E</w:t>
      </w:r>
      <w:proofErr w:type="gramStart"/>
      <w:r>
        <w:rPr>
          <w:bCs/>
          <w:sz w:val="24"/>
          <w:szCs w:val="24"/>
        </w:rPr>
        <w:t>—</w:t>
      </w:r>
      <w:r>
        <w:rPr>
          <w:bCs/>
          <w:sz w:val="24"/>
          <w:szCs w:val="24"/>
        </w:rPr>
        <w:t>人员</w:t>
      </w:r>
      <w:proofErr w:type="gramEnd"/>
      <w:r>
        <w:rPr>
          <w:bCs/>
          <w:sz w:val="24"/>
          <w:szCs w:val="24"/>
        </w:rPr>
        <w:t>暴露于危险环境的频繁程度，</w:t>
      </w:r>
      <w:proofErr w:type="gramStart"/>
      <w:r>
        <w:rPr>
          <w:bCs/>
          <w:sz w:val="24"/>
          <w:szCs w:val="24"/>
        </w:rPr>
        <w:t>取值见</w:t>
      </w:r>
      <w:proofErr w:type="gramEnd"/>
      <w:r>
        <w:fldChar w:fldCharType="begin"/>
      </w:r>
      <w:r>
        <w:instrText xml:space="preserve"> REF _Ref535833271 \h  \* MERGEFORMAT </w:instrText>
      </w:r>
      <w:r>
        <w:fldChar w:fldCharType="separate"/>
      </w:r>
      <w:r>
        <w:rPr>
          <w:bCs/>
          <w:sz w:val="24"/>
          <w:szCs w:val="24"/>
        </w:rPr>
        <w:t>表</w:t>
      </w:r>
      <w:r>
        <w:rPr>
          <w:bCs/>
          <w:sz w:val="24"/>
          <w:szCs w:val="24"/>
        </w:rPr>
        <w:t>6</w:t>
      </w:r>
      <w:r>
        <w:rPr>
          <w:bCs/>
          <w:sz w:val="24"/>
          <w:szCs w:val="24"/>
        </w:rPr>
        <w:noBreakHyphen/>
        <w:t>24</w:t>
      </w:r>
      <w:r>
        <w:rPr>
          <w:bCs/>
          <w:sz w:val="24"/>
          <w:szCs w:val="24"/>
        </w:rPr>
        <w:fldChar w:fldCharType="end"/>
      </w:r>
      <w:r>
        <w:rPr>
          <w:bCs/>
          <w:sz w:val="24"/>
          <w:szCs w:val="24"/>
        </w:rPr>
        <w:t>；</w:t>
      </w:r>
    </w:p>
    <w:p w:rsidR="0073700B" w:rsidRDefault="001A2FFC" w:rsidP="00F80BAC">
      <w:pPr>
        <w:tabs>
          <w:tab w:val="left" w:pos="1507"/>
        </w:tabs>
        <w:spacing w:beforeLines="50" w:before="156" w:line="360" w:lineRule="auto"/>
        <w:ind w:firstLineChars="300" w:firstLine="720"/>
        <w:rPr>
          <w:bCs/>
          <w:sz w:val="24"/>
          <w:szCs w:val="24"/>
        </w:rPr>
      </w:pPr>
      <w:r>
        <w:rPr>
          <w:bCs/>
          <w:i/>
          <w:iCs/>
          <w:sz w:val="24"/>
          <w:szCs w:val="24"/>
        </w:rPr>
        <w:t>C</w:t>
      </w:r>
      <w:proofErr w:type="gramStart"/>
      <w:r>
        <w:rPr>
          <w:bCs/>
          <w:sz w:val="24"/>
          <w:szCs w:val="24"/>
        </w:rPr>
        <w:t>—</w:t>
      </w:r>
      <w:r>
        <w:rPr>
          <w:bCs/>
          <w:sz w:val="24"/>
          <w:szCs w:val="24"/>
        </w:rPr>
        <w:t>发生</w:t>
      </w:r>
      <w:proofErr w:type="gramEnd"/>
      <w:r>
        <w:rPr>
          <w:bCs/>
          <w:sz w:val="24"/>
          <w:szCs w:val="24"/>
        </w:rPr>
        <w:t>事故可能造成的后果，</w:t>
      </w:r>
      <w:proofErr w:type="gramStart"/>
      <w:r>
        <w:rPr>
          <w:bCs/>
          <w:sz w:val="24"/>
          <w:szCs w:val="24"/>
        </w:rPr>
        <w:t>取值见</w:t>
      </w:r>
      <w:proofErr w:type="gramEnd"/>
      <w:r>
        <w:fldChar w:fldCharType="begin"/>
      </w:r>
      <w:r>
        <w:instrText xml:space="preserve"> REF _Ref535833280 \h  \* MERGEFORMAT </w:instrText>
      </w:r>
      <w:r>
        <w:fldChar w:fldCharType="separate"/>
      </w:r>
      <w:r>
        <w:rPr>
          <w:bCs/>
          <w:sz w:val="24"/>
          <w:szCs w:val="24"/>
        </w:rPr>
        <w:t>表</w:t>
      </w:r>
      <w:r>
        <w:rPr>
          <w:bCs/>
          <w:sz w:val="24"/>
          <w:szCs w:val="24"/>
        </w:rPr>
        <w:t>6</w:t>
      </w:r>
      <w:r>
        <w:rPr>
          <w:bCs/>
          <w:sz w:val="24"/>
          <w:szCs w:val="24"/>
        </w:rPr>
        <w:noBreakHyphen/>
        <w:t>25</w:t>
      </w:r>
      <w:r>
        <w:rPr>
          <w:bCs/>
          <w:sz w:val="24"/>
          <w:szCs w:val="24"/>
        </w:rPr>
        <w:fldChar w:fldCharType="end"/>
      </w:r>
      <w:r>
        <w:rPr>
          <w:bCs/>
          <w:sz w:val="24"/>
          <w:szCs w:val="24"/>
        </w:rPr>
        <w:t>；</w:t>
      </w:r>
      <w:r>
        <w:rPr>
          <w:bCs/>
          <w:sz w:val="24"/>
          <w:szCs w:val="24"/>
        </w:rPr>
        <w:t xml:space="preserve"> </w:t>
      </w:r>
    </w:p>
    <w:p w:rsidR="0073700B" w:rsidRDefault="001A2FFC" w:rsidP="00F80BAC">
      <w:pPr>
        <w:tabs>
          <w:tab w:val="left" w:pos="1507"/>
        </w:tabs>
        <w:spacing w:beforeLines="50" w:before="156" w:line="360" w:lineRule="auto"/>
        <w:ind w:firstLineChars="300" w:firstLine="720"/>
        <w:rPr>
          <w:bCs/>
          <w:sz w:val="24"/>
          <w:szCs w:val="24"/>
        </w:rPr>
      </w:pPr>
      <w:r>
        <w:rPr>
          <w:bCs/>
          <w:i/>
          <w:iCs/>
          <w:sz w:val="24"/>
          <w:szCs w:val="24"/>
        </w:rPr>
        <w:t>D</w:t>
      </w:r>
      <w:r>
        <w:rPr>
          <w:bCs/>
          <w:sz w:val="24"/>
          <w:szCs w:val="24"/>
        </w:rPr>
        <w:t>—</w:t>
      </w:r>
      <w:r>
        <w:rPr>
          <w:bCs/>
          <w:sz w:val="24"/>
          <w:szCs w:val="24"/>
        </w:rPr>
        <w:t>危险性分值，确定危险等</w:t>
      </w:r>
      <w:r>
        <w:rPr>
          <w:bCs/>
          <w:sz w:val="24"/>
          <w:szCs w:val="24"/>
        </w:rPr>
        <w:t>级的划分标准见</w:t>
      </w:r>
      <w:r>
        <w:fldChar w:fldCharType="begin"/>
      </w:r>
      <w:r>
        <w:instrText xml:space="preserve"> REF _Ref535833299 \h  \* MERGEFORMAT </w:instrText>
      </w:r>
      <w:r>
        <w:fldChar w:fldCharType="separate"/>
      </w:r>
      <w:r>
        <w:rPr>
          <w:bCs/>
          <w:sz w:val="24"/>
          <w:szCs w:val="24"/>
        </w:rPr>
        <w:t>表</w:t>
      </w:r>
      <w:r>
        <w:rPr>
          <w:bCs/>
          <w:sz w:val="24"/>
          <w:szCs w:val="24"/>
        </w:rPr>
        <w:t>6</w:t>
      </w:r>
      <w:r>
        <w:rPr>
          <w:bCs/>
          <w:sz w:val="24"/>
          <w:szCs w:val="24"/>
        </w:rPr>
        <w:noBreakHyphen/>
        <w:t>26</w:t>
      </w:r>
      <w:r>
        <w:rPr>
          <w:bCs/>
          <w:sz w:val="24"/>
          <w:szCs w:val="24"/>
        </w:rPr>
        <w:fldChar w:fldCharType="end"/>
      </w:r>
      <w:r>
        <w:rPr>
          <w:bCs/>
          <w:sz w:val="24"/>
          <w:szCs w:val="24"/>
        </w:rPr>
        <w:t>。</w:t>
      </w:r>
    </w:p>
    <w:p w:rsidR="0073700B" w:rsidRDefault="0073700B" w:rsidP="00F80BAC">
      <w:pPr>
        <w:pStyle w:val="a6"/>
        <w:spacing w:beforeLines="50" w:before="156"/>
        <w:rPr>
          <w:rFonts w:ascii="黑体" w:eastAsia="黑体" w:hAnsi="黑体"/>
          <w:b w:val="0"/>
          <w:bCs/>
        </w:rPr>
      </w:pPr>
      <w:bookmarkStart w:id="56" w:name="_Ref535833260"/>
    </w:p>
    <w:p w:rsidR="0073700B" w:rsidRDefault="001A2FFC" w:rsidP="00F80BAC">
      <w:pPr>
        <w:pStyle w:val="a6"/>
        <w:spacing w:beforeLines="50" w:before="156"/>
        <w:rPr>
          <w:rFonts w:ascii="黑体" w:eastAsia="黑体" w:hAnsi="黑体"/>
          <w:b w:val="0"/>
          <w:bCs/>
        </w:rPr>
      </w:pPr>
      <w:r>
        <w:rPr>
          <w:rFonts w:ascii="黑体" w:eastAsia="黑体" w:hAnsi="黑体"/>
          <w:b w:val="0"/>
          <w:bCs/>
        </w:rPr>
        <w:lastRenderedPageBreak/>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23</w:t>
      </w:r>
      <w:r>
        <w:rPr>
          <w:rFonts w:ascii="黑体" w:eastAsia="黑体" w:hAnsi="黑体"/>
          <w:b w:val="0"/>
          <w:bCs/>
        </w:rPr>
        <w:fldChar w:fldCharType="end"/>
      </w:r>
      <w:bookmarkEnd w:id="56"/>
      <w:r>
        <w:rPr>
          <w:rFonts w:ascii="黑体" w:eastAsia="黑体" w:hAnsi="黑体"/>
          <w:b w:val="0"/>
          <w:bCs/>
        </w:rPr>
        <w:t xml:space="preserve">  </w:t>
      </w:r>
      <w:r>
        <w:rPr>
          <w:rFonts w:ascii="黑体" w:eastAsia="黑体" w:hAnsi="黑体"/>
          <w:b w:val="0"/>
          <w:bCs/>
        </w:rPr>
        <w:t>事故发生的可能性分值</w:t>
      </w:r>
      <w:r>
        <w:rPr>
          <w:rFonts w:ascii="黑体" w:eastAsia="黑体" w:hAnsi="黑体"/>
          <w:b w:val="0"/>
          <w:bCs/>
          <w:i/>
          <w:iCs/>
        </w:rPr>
        <w:t>L</w:t>
      </w:r>
    </w:p>
    <w:tbl>
      <w:tblPr>
        <w:tblW w:w="90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09"/>
        <w:gridCol w:w="1060"/>
        <w:gridCol w:w="845"/>
        <w:gridCol w:w="1267"/>
        <w:gridCol w:w="1238"/>
        <w:gridCol w:w="1240"/>
        <w:gridCol w:w="1104"/>
        <w:gridCol w:w="1100"/>
      </w:tblGrid>
      <w:tr w:rsidR="0073700B">
        <w:trPr>
          <w:jc w:val="center"/>
        </w:trPr>
        <w:tc>
          <w:tcPr>
            <w:tcW w:w="1209" w:type="dxa"/>
            <w:tcBorders>
              <w:top w:val="single" w:sz="8" w:space="0" w:color="auto"/>
              <w:bottom w:val="single" w:sz="8" w:space="0" w:color="auto"/>
            </w:tcBorders>
            <w:shd w:val="clear" w:color="auto" w:fill="auto"/>
            <w:vAlign w:val="center"/>
          </w:tcPr>
          <w:p w:rsidR="0073700B" w:rsidRDefault="001A2FFC">
            <w:pPr>
              <w:tabs>
                <w:tab w:val="left" w:pos="1507"/>
              </w:tabs>
              <w:ind w:firstLineChars="100" w:firstLine="210"/>
              <w:jc w:val="center"/>
              <w:rPr>
                <w:bCs/>
              </w:rPr>
            </w:pPr>
            <w:r>
              <w:rPr>
                <w:bCs/>
              </w:rPr>
              <w:t>分数值</w:t>
            </w:r>
          </w:p>
        </w:tc>
        <w:tc>
          <w:tcPr>
            <w:tcW w:w="1060"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10</w:t>
            </w:r>
          </w:p>
        </w:tc>
        <w:tc>
          <w:tcPr>
            <w:tcW w:w="845"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6</w:t>
            </w:r>
          </w:p>
        </w:tc>
        <w:tc>
          <w:tcPr>
            <w:tcW w:w="1267"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3</w:t>
            </w:r>
          </w:p>
        </w:tc>
        <w:tc>
          <w:tcPr>
            <w:tcW w:w="1238"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1</w:t>
            </w:r>
          </w:p>
        </w:tc>
        <w:tc>
          <w:tcPr>
            <w:tcW w:w="1240"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0.5</w:t>
            </w:r>
          </w:p>
        </w:tc>
        <w:tc>
          <w:tcPr>
            <w:tcW w:w="1104"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0.2</w:t>
            </w:r>
          </w:p>
        </w:tc>
        <w:tc>
          <w:tcPr>
            <w:tcW w:w="1100"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0.1</w:t>
            </w:r>
          </w:p>
        </w:tc>
      </w:tr>
      <w:tr w:rsidR="0073700B">
        <w:trPr>
          <w:jc w:val="center"/>
        </w:trPr>
        <w:tc>
          <w:tcPr>
            <w:tcW w:w="1209" w:type="dxa"/>
            <w:tcBorders>
              <w:top w:val="single" w:sz="8" w:space="0" w:color="auto"/>
            </w:tcBorders>
            <w:shd w:val="clear" w:color="auto" w:fill="auto"/>
            <w:vAlign w:val="center"/>
          </w:tcPr>
          <w:p w:rsidR="0073700B" w:rsidRDefault="001A2FFC">
            <w:pPr>
              <w:tabs>
                <w:tab w:val="left" w:pos="1507"/>
              </w:tabs>
              <w:jc w:val="center"/>
              <w:rPr>
                <w:bCs/>
              </w:rPr>
            </w:pPr>
            <w:r>
              <w:rPr>
                <w:bCs/>
              </w:rPr>
              <w:t>事故发生的可能性</w:t>
            </w:r>
          </w:p>
        </w:tc>
        <w:tc>
          <w:tcPr>
            <w:tcW w:w="1060" w:type="dxa"/>
            <w:tcBorders>
              <w:top w:val="single" w:sz="8" w:space="0" w:color="auto"/>
            </w:tcBorders>
            <w:shd w:val="clear" w:color="auto" w:fill="auto"/>
            <w:vAlign w:val="center"/>
          </w:tcPr>
          <w:p w:rsidR="0073700B" w:rsidRDefault="001A2FFC">
            <w:pPr>
              <w:tabs>
                <w:tab w:val="left" w:pos="1507"/>
              </w:tabs>
              <w:jc w:val="center"/>
              <w:rPr>
                <w:bCs/>
              </w:rPr>
            </w:pPr>
            <w:r>
              <w:rPr>
                <w:bCs/>
              </w:rPr>
              <w:t>完全会被预料到</w:t>
            </w:r>
          </w:p>
        </w:tc>
        <w:tc>
          <w:tcPr>
            <w:tcW w:w="845" w:type="dxa"/>
            <w:tcBorders>
              <w:top w:val="single" w:sz="8" w:space="0" w:color="auto"/>
            </w:tcBorders>
            <w:shd w:val="clear" w:color="auto" w:fill="auto"/>
            <w:vAlign w:val="center"/>
          </w:tcPr>
          <w:p w:rsidR="0073700B" w:rsidRDefault="001A2FFC">
            <w:pPr>
              <w:tabs>
                <w:tab w:val="left" w:pos="1507"/>
              </w:tabs>
              <w:jc w:val="center"/>
              <w:rPr>
                <w:bCs/>
              </w:rPr>
            </w:pPr>
            <w:r>
              <w:rPr>
                <w:bCs/>
              </w:rPr>
              <w:t>相当可能</w:t>
            </w:r>
          </w:p>
        </w:tc>
        <w:tc>
          <w:tcPr>
            <w:tcW w:w="1267" w:type="dxa"/>
            <w:tcBorders>
              <w:top w:val="single" w:sz="8" w:space="0" w:color="auto"/>
            </w:tcBorders>
            <w:shd w:val="clear" w:color="auto" w:fill="auto"/>
            <w:vAlign w:val="center"/>
          </w:tcPr>
          <w:p w:rsidR="0073700B" w:rsidRDefault="001A2FFC">
            <w:pPr>
              <w:tabs>
                <w:tab w:val="left" w:pos="1507"/>
              </w:tabs>
              <w:jc w:val="center"/>
              <w:rPr>
                <w:bCs/>
              </w:rPr>
            </w:pPr>
            <w:r>
              <w:rPr>
                <w:bCs/>
              </w:rPr>
              <w:t>可能，但不经常</w:t>
            </w:r>
          </w:p>
        </w:tc>
        <w:tc>
          <w:tcPr>
            <w:tcW w:w="1238" w:type="dxa"/>
            <w:tcBorders>
              <w:top w:val="single" w:sz="8" w:space="0" w:color="auto"/>
            </w:tcBorders>
            <w:shd w:val="clear" w:color="auto" w:fill="auto"/>
            <w:vAlign w:val="center"/>
          </w:tcPr>
          <w:p w:rsidR="0073700B" w:rsidRDefault="001A2FFC">
            <w:pPr>
              <w:tabs>
                <w:tab w:val="left" w:pos="1507"/>
              </w:tabs>
              <w:jc w:val="center"/>
              <w:rPr>
                <w:bCs/>
              </w:rPr>
            </w:pPr>
            <w:r>
              <w:rPr>
                <w:bCs/>
              </w:rPr>
              <w:t>完全意外，可能小</w:t>
            </w:r>
          </w:p>
        </w:tc>
        <w:tc>
          <w:tcPr>
            <w:tcW w:w="1240" w:type="dxa"/>
            <w:tcBorders>
              <w:top w:val="single" w:sz="8" w:space="0" w:color="auto"/>
            </w:tcBorders>
            <w:shd w:val="clear" w:color="auto" w:fill="auto"/>
            <w:vAlign w:val="center"/>
          </w:tcPr>
          <w:p w:rsidR="0073700B" w:rsidRDefault="001A2FFC">
            <w:pPr>
              <w:tabs>
                <w:tab w:val="left" w:pos="1507"/>
              </w:tabs>
              <w:jc w:val="center"/>
              <w:rPr>
                <w:bCs/>
              </w:rPr>
            </w:pPr>
            <w:r>
              <w:rPr>
                <w:bCs/>
              </w:rPr>
              <w:t>可以设想，不太可能</w:t>
            </w:r>
          </w:p>
        </w:tc>
        <w:tc>
          <w:tcPr>
            <w:tcW w:w="1104" w:type="dxa"/>
            <w:tcBorders>
              <w:top w:val="single" w:sz="8" w:space="0" w:color="auto"/>
            </w:tcBorders>
            <w:shd w:val="clear" w:color="auto" w:fill="auto"/>
            <w:vAlign w:val="center"/>
          </w:tcPr>
          <w:p w:rsidR="0073700B" w:rsidRDefault="001A2FFC">
            <w:pPr>
              <w:tabs>
                <w:tab w:val="left" w:pos="1507"/>
              </w:tabs>
              <w:jc w:val="center"/>
              <w:rPr>
                <w:bCs/>
              </w:rPr>
            </w:pPr>
            <w:r>
              <w:rPr>
                <w:bCs/>
              </w:rPr>
              <w:t>极不可能</w:t>
            </w:r>
          </w:p>
        </w:tc>
        <w:tc>
          <w:tcPr>
            <w:tcW w:w="1100" w:type="dxa"/>
            <w:tcBorders>
              <w:top w:val="single" w:sz="8" w:space="0" w:color="auto"/>
            </w:tcBorders>
            <w:shd w:val="clear" w:color="auto" w:fill="auto"/>
            <w:vAlign w:val="center"/>
          </w:tcPr>
          <w:p w:rsidR="0073700B" w:rsidRDefault="001A2FFC">
            <w:pPr>
              <w:tabs>
                <w:tab w:val="left" w:pos="1507"/>
              </w:tabs>
              <w:jc w:val="center"/>
              <w:rPr>
                <w:bCs/>
              </w:rPr>
            </w:pPr>
            <w:r>
              <w:rPr>
                <w:bCs/>
              </w:rPr>
              <w:t>实际上不可能</w:t>
            </w:r>
          </w:p>
        </w:tc>
      </w:tr>
    </w:tbl>
    <w:p w:rsidR="0073700B" w:rsidRDefault="001A2FFC" w:rsidP="00F80BAC">
      <w:pPr>
        <w:pStyle w:val="a6"/>
        <w:spacing w:beforeLines="50" w:before="156"/>
        <w:rPr>
          <w:rFonts w:ascii="黑体" w:eastAsia="黑体" w:hAnsi="黑体"/>
          <w:b w:val="0"/>
          <w:bCs/>
        </w:rPr>
      </w:pPr>
      <w:bookmarkStart w:id="57" w:name="_Ref535833271"/>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24</w:t>
      </w:r>
      <w:r>
        <w:rPr>
          <w:rFonts w:ascii="黑体" w:eastAsia="黑体" w:hAnsi="黑体"/>
          <w:b w:val="0"/>
          <w:bCs/>
        </w:rPr>
        <w:fldChar w:fldCharType="end"/>
      </w:r>
      <w:bookmarkEnd w:id="57"/>
      <w:r>
        <w:rPr>
          <w:rFonts w:ascii="黑体" w:eastAsia="黑体" w:hAnsi="黑体"/>
          <w:b w:val="0"/>
          <w:bCs/>
        </w:rPr>
        <w:t xml:space="preserve">  </w:t>
      </w:r>
      <w:r>
        <w:rPr>
          <w:rFonts w:ascii="黑体" w:eastAsia="黑体" w:hAnsi="黑体"/>
          <w:b w:val="0"/>
          <w:bCs/>
        </w:rPr>
        <w:t>暴露于危险环境的频繁程度分值</w:t>
      </w:r>
      <w:r>
        <w:rPr>
          <w:rFonts w:ascii="黑体" w:eastAsia="黑体" w:hAnsi="黑体"/>
          <w:b w:val="0"/>
          <w:bCs/>
          <w:i/>
          <w:iCs/>
        </w:rPr>
        <w:t>E</w:t>
      </w:r>
    </w:p>
    <w:tbl>
      <w:tblPr>
        <w:tblW w:w="90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14"/>
        <w:gridCol w:w="1082"/>
        <w:gridCol w:w="1557"/>
        <w:gridCol w:w="1378"/>
        <w:gridCol w:w="1104"/>
        <w:gridCol w:w="1102"/>
        <w:gridCol w:w="1126"/>
      </w:tblGrid>
      <w:tr w:rsidR="0073700B">
        <w:trPr>
          <w:jc w:val="center"/>
        </w:trPr>
        <w:tc>
          <w:tcPr>
            <w:tcW w:w="1714" w:type="dxa"/>
            <w:tcBorders>
              <w:top w:val="single" w:sz="8" w:space="0" w:color="auto"/>
              <w:bottom w:val="single" w:sz="8" w:space="0" w:color="auto"/>
            </w:tcBorders>
            <w:shd w:val="clear" w:color="auto" w:fill="auto"/>
            <w:vAlign w:val="center"/>
          </w:tcPr>
          <w:p w:rsidR="0073700B" w:rsidRDefault="001A2FFC">
            <w:pPr>
              <w:tabs>
                <w:tab w:val="left" w:pos="1507"/>
              </w:tabs>
              <w:ind w:firstLineChars="100" w:firstLine="210"/>
              <w:jc w:val="center"/>
              <w:rPr>
                <w:bCs/>
              </w:rPr>
            </w:pPr>
            <w:r>
              <w:rPr>
                <w:bCs/>
              </w:rPr>
              <w:t>分数值</w:t>
            </w:r>
          </w:p>
        </w:tc>
        <w:tc>
          <w:tcPr>
            <w:tcW w:w="1082"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10</w:t>
            </w:r>
          </w:p>
        </w:tc>
        <w:tc>
          <w:tcPr>
            <w:tcW w:w="1557"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6</w:t>
            </w:r>
          </w:p>
        </w:tc>
        <w:tc>
          <w:tcPr>
            <w:tcW w:w="1378"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3</w:t>
            </w:r>
          </w:p>
        </w:tc>
        <w:tc>
          <w:tcPr>
            <w:tcW w:w="1104"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2</w:t>
            </w:r>
          </w:p>
        </w:tc>
        <w:tc>
          <w:tcPr>
            <w:tcW w:w="1102"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1</w:t>
            </w:r>
          </w:p>
        </w:tc>
        <w:tc>
          <w:tcPr>
            <w:tcW w:w="1126"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0.5</w:t>
            </w:r>
          </w:p>
        </w:tc>
      </w:tr>
      <w:tr w:rsidR="0073700B">
        <w:trPr>
          <w:jc w:val="center"/>
        </w:trPr>
        <w:tc>
          <w:tcPr>
            <w:tcW w:w="1714" w:type="dxa"/>
            <w:tcBorders>
              <w:top w:val="single" w:sz="8" w:space="0" w:color="auto"/>
            </w:tcBorders>
            <w:shd w:val="clear" w:color="auto" w:fill="auto"/>
            <w:vAlign w:val="center"/>
          </w:tcPr>
          <w:p w:rsidR="0073700B" w:rsidRDefault="001A2FFC">
            <w:pPr>
              <w:tabs>
                <w:tab w:val="left" w:pos="1507"/>
              </w:tabs>
              <w:jc w:val="center"/>
              <w:rPr>
                <w:bCs/>
              </w:rPr>
            </w:pPr>
            <w:r>
              <w:rPr>
                <w:bCs/>
              </w:rPr>
              <w:t>暴露于危险环境的频繁程度</w:t>
            </w:r>
          </w:p>
        </w:tc>
        <w:tc>
          <w:tcPr>
            <w:tcW w:w="1082" w:type="dxa"/>
            <w:tcBorders>
              <w:top w:val="single" w:sz="8" w:space="0" w:color="auto"/>
            </w:tcBorders>
            <w:shd w:val="clear" w:color="auto" w:fill="auto"/>
            <w:vAlign w:val="center"/>
          </w:tcPr>
          <w:p w:rsidR="0073700B" w:rsidRDefault="001A2FFC">
            <w:pPr>
              <w:tabs>
                <w:tab w:val="left" w:pos="1507"/>
              </w:tabs>
              <w:jc w:val="center"/>
              <w:rPr>
                <w:bCs/>
              </w:rPr>
            </w:pPr>
            <w:r>
              <w:rPr>
                <w:bCs/>
              </w:rPr>
              <w:t>连续暴露</w:t>
            </w:r>
          </w:p>
        </w:tc>
        <w:tc>
          <w:tcPr>
            <w:tcW w:w="1557" w:type="dxa"/>
            <w:tcBorders>
              <w:top w:val="single" w:sz="8" w:space="0" w:color="auto"/>
            </w:tcBorders>
            <w:shd w:val="clear" w:color="auto" w:fill="auto"/>
            <w:vAlign w:val="center"/>
          </w:tcPr>
          <w:p w:rsidR="0073700B" w:rsidRDefault="001A2FFC">
            <w:pPr>
              <w:tabs>
                <w:tab w:val="left" w:pos="1507"/>
              </w:tabs>
              <w:jc w:val="center"/>
              <w:rPr>
                <w:bCs/>
              </w:rPr>
            </w:pPr>
            <w:r>
              <w:rPr>
                <w:bCs/>
              </w:rPr>
              <w:t>每天工作时间内暴露</w:t>
            </w:r>
          </w:p>
        </w:tc>
        <w:tc>
          <w:tcPr>
            <w:tcW w:w="1378" w:type="dxa"/>
            <w:tcBorders>
              <w:top w:val="single" w:sz="8" w:space="0" w:color="auto"/>
            </w:tcBorders>
            <w:shd w:val="clear" w:color="auto" w:fill="auto"/>
            <w:vAlign w:val="center"/>
          </w:tcPr>
          <w:p w:rsidR="0073700B" w:rsidRDefault="001A2FFC">
            <w:pPr>
              <w:tabs>
                <w:tab w:val="left" w:pos="1507"/>
              </w:tabs>
              <w:jc w:val="center"/>
              <w:rPr>
                <w:bCs/>
              </w:rPr>
            </w:pPr>
            <w:r>
              <w:rPr>
                <w:bCs/>
              </w:rPr>
              <w:t>每周一次或偶然暴露</w:t>
            </w:r>
          </w:p>
        </w:tc>
        <w:tc>
          <w:tcPr>
            <w:tcW w:w="1104" w:type="dxa"/>
            <w:tcBorders>
              <w:top w:val="single" w:sz="8" w:space="0" w:color="auto"/>
            </w:tcBorders>
            <w:shd w:val="clear" w:color="auto" w:fill="auto"/>
            <w:vAlign w:val="center"/>
          </w:tcPr>
          <w:p w:rsidR="0073700B" w:rsidRDefault="001A2FFC">
            <w:pPr>
              <w:tabs>
                <w:tab w:val="left" w:pos="1507"/>
              </w:tabs>
              <w:jc w:val="center"/>
              <w:rPr>
                <w:bCs/>
              </w:rPr>
            </w:pPr>
            <w:r>
              <w:rPr>
                <w:bCs/>
              </w:rPr>
              <w:t>每月暴露一次</w:t>
            </w:r>
          </w:p>
        </w:tc>
        <w:tc>
          <w:tcPr>
            <w:tcW w:w="1102" w:type="dxa"/>
            <w:tcBorders>
              <w:top w:val="single" w:sz="8" w:space="0" w:color="auto"/>
            </w:tcBorders>
            <w:shd w:val="clear" w:color="auto" w:fill="auto"/>
            <w:vAlign w:val="center"/>
          </w:tcPr>
          <w:p w:rsidR="0073700B" w:rsidRDefault="001A2FFC">
            <w:pPr>
              <w:tabs>
                <w:tab w:val="left" w:pos="1507"/>
              </w:tabs>
              <w:jc w:val="center"/>
              <w:rPr>
                <w:bCs/>
              </w:rPr>
            </w:pPr>
            <w:r>
              <w:rPr>
                <w:bCs/>
              </w:rPr>
              <w:t>每年暴露几次</w:t>
            </w:r>
          </w:p>
        </w:tc>
        <w:tc>
          <w:tcPr>
            <w:tcW w:w="1126" w:type="dxa"/>
            <w:tcBorders>
              <w:top w:val="single" w:sz="8" w:space="0" w:color="auto"/>
            </w:tcBorders>
            <w:shd w:val="clear" w:color="auto" w:fill="auto"/>
            <w:vAlign w:val="center"/>
          </w:tcPr>
          <w:p w:rsidR="0073700B" w:rsidRDefault="001A2FFC">
            <w:pPr>
              <w:tabs>
                <w:tab w:val="left" w:pos="1507"/>
              </w:tabs>
              <w:jc w:val="center"/>
              <w:rPr>
                <w:bCs/>
              </w:rPr>
            </w:pPr>
            <w:r>
              <w:rPr>
                <w:bCs/>
              </w:rPr>
              <w:t>非常罕见暴露</w:t>
            </w:r>
          </w:p>
        </w:tc>
      </w:tr>
    </w:tbl>
    <w:p w:rsidR="0073700B" w:rsidRDefault="001A2FFC" w:rsidP="00F80BAC">
      <w:pPr>
        <w:pStyle w:val="a6"/>
        <w:spacing w:beforeLines="50" w:before="156"/>
        <w:rPr>
          <w:rFonts w:ascii="黑体" w:eastAsia="黑体" w:hAnsi="黑体"/>
          <w:b w:val="0"/>
          <w:bCs/>
        </w:rPr>
      </w:pPr>
      <w:bookmarkStart w:id="58" w:name="_Ref535833280"/>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25</w:t>
      </w:r>
      <w:r>
        <w:rPr>
          <w:rFonts w:ascii="黑体" w:eastAsia="黑体" w:hAnsi="黑体"/>
          <w:b w:val="0"/>
          <w:bCs/>
        </w:rPr>
        <w:fldChar w:fldCharType="end"/>
      </w:r>
      <w:bookmarkEnd w:id="58"/>
      <w:r>
        <w:rPr>
          <w:rFonts w:ascii="黑体" w:eastAsia="黑体" w:hAnsi="黑体"/>
          <w:b w:val="0"/>
          <w:bCs/>
        </w:rPr>
        <w:t xml:space="preserve">  </w:t>
      </w:r>
      <w:r>
        <w:rPr>
          <w:rFonts w:ascii="黑体" w:eastAsia="黑体" w:hAnsi="黑体"/>
          <w:b w:val="0"/>
          <w:bCs/>
        </w:rPr>
        <w:t>事故造成的后果分值</w:t>
      </w:r>
      <w:r>
        <w:rPr>
          <w:rFonts w:ascii="黑体" w:eastAsia="黑体" w:hAnsi="黑体"/>
          <w:b w:val="0"/>
          <w:bCs/>
        </w:rPr>
        <w:t xml:space="preserve"> </w:t>
      </w:r>
      <w:r>
        <w:rPr>
          <w:rFonts w:ascii="黑体" w:eastAsia="黑体" w:hAnsi="黑体"/>
          <w:b w:val="0"/>
          <w:bCs/>
          <w:i/>
          <w:iCs/>
        </w:rPr>
        <w:t>C</w:t>
      </w:r>
    </w:p>
    <w:tbl>
      <w:tblPr>
        <w:tblW w:w="90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14"/>
        <w:gridCol w:w="1082"/>
        <w:gridCol w:w="1557"/>
        <w:gridCol w:w="1378"/>
        <w:gridCol w:w="1104"/>
        <w:gridCol w:w="1102"/>
        <w:gridCol w:w="1126"/>
      </w:tblGrid>
      <w:tr w:rsidR="0073700B">
        <w:trPr>
          <w:jc w:val="center"/>
        </w:trPr>
        <w:tc>
          <w:tcPr>
            <w:tcW w:w="1714" w:type="dxa"/>
            <w:tcBorders>
              <w:top w:val="single" w:sz="8" w:space="0" w:color="auto"/>
              <w:bottom w:val="single" w:sz="8" w:space="0" w:color="auto"/>
            </w:tcBorders>
            <w:shd w:val="clear" w:color="auto" w:fill="auto"/>
            <w:vAlign w:val="center"/>
          </w:tcPr>
          <w:p w:rsidR="0073700B" w:rsidRDefault="001A2FFC">
            <w:pPr>
              <w:tabs>
                <w:tab w:val="left" w:pos="1507"/>
              </w:tabs>
              <w:ind w:firstLineChars="100" w:firstLine="210"/>
              <w:jc w:val="center"/>
              <w:rPr>
                <w:bCs/>
              </w:rPr>
            </w:pPr>
            <w:r>
              <w:rPr>
                <w:bCs/>
              </w:rPr>
              <w:t>分数值</w:t>
            </w:r>
          </w:p>
        </w:tc>
        <w:tc>
          <w:tcPr>
            <w:tcW w:w="1082"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100</w:t>
            </w:r>
          </w:p>
        </w:tc>
        <w:tc>
          <w:tcPr>
            <w:tcW w:w="1557"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40</w:t>
            </w:r>
          </w:p>
        </w:tc>
        <w:tc>
          <w:tcPr>
            <w:tcW w:w="1378"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15</w:t>
            </w:r>
          </w:p>
        </w:tc>
        <w:tc>
          <w:tcPr>
            <w:tcW w:w="1104"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7</w:t>
            </w:r>
          </w:p>
        </w:tc>
        <w:tc>
          <w:tcPr>
            <w:tcW w:w="1102"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3</w:t>
            </w:r>
          </w:p>
        </w:tc>
        <w:tc>
          <w:tcPr>
            <w:tcW w:w="1126" w:type="dxa"/>
            <w:tcBorders>
              <w:top w:val="single" w:sz="8" w:space="0" w:color="auto"/>
              <w:bottom w:val="single" w:sz="8" w:space="0" w:color="auto"/>
            </w:tcBorders>
            <w:shd w:val="clear" w:color="auto" w:fill="auto"/>
            <w:vAlign w:val="center"/>
          </w:tcPr>
          <w:p w:rsidR="0073700B" w:rsidRDefault="001A2FFC">
            <w:pPr>
              <w:tabs>
                <w:tab w:val="left" w:pos="1507"/>
              </w:tabs>
              <w:jc w:val="center"/>
              <w:rPr>
                <w:bCs/>
              </w:rPr>
            </w:pPr>
            <w:r>
              <w:rPr>
                <w:bCs/>
              </w:rPr>
              <w:t>1</w:t>
            </w:r>
          </w:p>
        </w:tc>
      </w:tr>
      <w:tr w:rsidR="0073700B">
        <w:trPr>
          <w:jc w:val="center"/>
        </w:trPr>
        <w:tc>
          <w:tcPr>
            <w:tcW w:w="1714" w:type="dxa"/>
            <w:tcBorders>
              <w:top w:val="single" w:sz="8" w:space="0" w:color="auto"/>
            </w:tcBorders>
            <w:shd w:val="clear" w:color="auto" w:fill="auto"/>
            <w:vAlign w:val="center"/>
          </w:tcPr>
          <w:p w:rsidR="0073700B" w:rsidRDefault="001A2FFC">
            <w:pPr>
              <w:tabs>
                <w:tab w:val="left" w:pos="1507"/>
              </w:tabs>
              <w:jc w:val="center"/>
              <w:rPr>
                <w:bCs/>
              </w:rPr>
            </w:pPr>
            <w:r>
              <w:rPr>
                <w:bCs/>
              </w:rPr>
              <w:t>事故造成的后果</w:t>
            </w:r>
          </w:p>
        </w:tc>
        <w:tc>
          <w:tcPr>
            <w:tcW w:w="1082" w:type="dxa"/>
            <w:tcBorders>
              <w:top w:val="single" w:sz="8" w:space="0" w:color="auto"/>
            </w:tcBorders>
            <w:shd w:val="clear" w:color="auto" w:fill="auto"/>
            <w:vAlign w:val="center"/>
          </w:tcPr>
          <w:p w:rsidR="0073700B" w:rsidRDefault="001A2FFC">
            <w:pPr>
              <w:tabs>
                <w:tab w:val="left" w:pos="1507"/>
              </w:tabs>
              <w:jc w:val="center"/>
              <w:rPr>
                <w:bCs/>
              </w:rPr>
            </w:pPr>
            <w:r>
              <w:rPr>
                <w:bCs/>
              </w:rPr>
              <w:t>10</w:t>
            </w:r>
            <w:r>
              <w:rPr>
                <w:bCs/>
              </w:rPr>
              <w:t>人以上死亡</w:t>
            </w:r>
          </w:p>
        </w:tc>
        <w:tc>
          <w:tcPr>
            <w:tcW w:w="1557" w:type="dxa"/>
            <w:tcBorders>
              <w:top w:val="single" w:sz="8" w:space="0" w:color="auto"/>
            </w:tcBorders>
            <w:shd w:val="clear" w:color="auto" w:fill="auto"/>
            <w:vAlign w:val="center"/>
          </w:tcPr>
          <w:p w:rsidR="0073700B" w:rsidRDefault="001A2FFC">
            <w:pPr>
              <w:tabs>
                <w:tab w:val="left" w:pos="1507"/>
              </w:tabs>
              <w:jc w:val="center"/>
              <w:rPr>
                <w:bCs/>
              </w:rPr>
            </w:pPr>
            <w:r>
              <w:rPr>
                <w:bCs/>
              </w:rPr>
              <w:t>3</w:t>
            </w:r>
            <w:r>
              <w:rPr>
                <w:bCs/>
              </w:rPr>
              <w:t>人以上</w:t>
            </w:r>
            <w:r>
              <w:rPr>
                <w:bCs/>
              </w:rPr>
              <w:t>9</w:t>
            </w:r>
            <w:r>
              <w:rPr>
                <w:bCs/>
              </w:rPr>
              <w:t>人以下死亡</w:t>
            </w:r>
          </w:p>
        </w:tc>
        <w:tc>
          <w:tcPr>
            <w:tcW w:w="1378" w:type="dxa"/>
            <w:tcBorders>
              <w:top w:val="single" w:sz="8" w:space="0" w:color="auto"/>
            </w:tcBorders>
            <w:shd w:val="clear" w:color="auto" w:fill="auto"/>
            <w:vAlign w:val="center"/>
          </w:tcPr>
          <w:p w:rsidR="0073700B" w:rsidRDefault="001A2FFC">
            <w:pPr>
              <w:tabs>
                <w:tab w:val="left" w:pos="1507"/>
              </w:tabs>
              <w:jc w:val="center"/>
              <w:rPr>
                <w:bCs/>
              </w:rPr>
            </w:pPr>
            <w:r>
              <w:rPr>
                <w:bCs/>
              </w:rPr>
              <w:t>1</w:t>
            </w:r>
            <w:r>
              <w:rPr>
                <w:bCs/>
              </w:rPr>
              <w:t>人死亡</w:t>
            </w:r>
          </w:p>
        </w:tc>
        <w:tc>
          <w:tcPr>
            <w:tcW w:w="1104" w:type="dxa"/>
            <w:tcBorders>
              <w:top w:val="single" w:sz="8" w:space="0" w:color="auto"/>
            </w:tcBorders>
            <w:shd w:val="clear" w:color="auto" w:fill="auto"/>
            <w:vAlign w:val="center"/>
          </w:tcPr>
          <w:p w:rsidR="0073700B" w:rsidRDefault="001A2FFC">
            <w:pPr>
              <w:tabs>
                <w:tab w:val="left" w:pos="1507"/>
              </w:tabs>
              <w:jc w:val="center"/>
              <w:rPr>
                <w:bCs/>
              </w:rPr>
            </w:pPr>
            <w:r>
              <w:rPr>
                <w:bCs/>
              </w:rPr>
              <w:t>严重伤残</w:t>
            </w:r>
          </w:p>
        </w:tc>
        <w:tc>
          <w:tcPr>
            <w:tcW w:w="1102" w:type="dxa"/>
            <w:tcBorders>
              <w:top w:val="single" w:sz="8" w:space="0" w:color="auto"/>
            </w:tcBorders>
            <w:shd w:val="clear" w:color="auto" w:fill="auto"/>
            <w:vAlign w:val="center"/>
          </w:tcPr>
          <w:p w:rsidR="0073700B" w:rsidRDefault="001A2FFC">
            <w:pPr>
              <w:tabs>
                <w:tab w:val="left" w:pos="1507"/>
              </w:tabs>
              <w:jc w:val="center"/>
              <w:rPr>
                <w:bCs/>
              </w:rPr>
            </w:pPr>
            <w:r>
              <w:rPr>
                <w:bCs/>
              </w:rPr>
              <w:t>有伤残</w:t>
            </w:r>
          </w:p>
        </w:tc>
        <w:tc>
          <w:tcPr>
            <w:tcW w:w="1126" w:type="dxa"/>
            <w:tcBorders>
              <w:top w:val="single" w:sz="8" w:space="0" w:color="auto"/>
            </w:tcBorders>
            <w:shd w:val="clear" w:color="auto" w:fill="auto"/>
            <w:vAlign w:val="center"/>
          </w:tcPr>
          <w:p w:rsidR="0073700B" w:rsidRDefault="001A2FFC">
            <w:pPr>
              <w:tabs>
                <w:tab w:val="left" w:pos="1507"/>
              </w:tabs>
              <w:jc w:val="center"/>
              <w:rPr>
                <w:bCs/>
              </w:rPr>
            </w:pPr>
            <w:r>
              <w:rPr>
                <w:bCs/>
              </w:rPr>
              <w:t>轻伤，需救护</w:t>
            </w:r>
          </w:p>
        </w:tc>
      </w:tr>
    </w:tbl>
    <w:p w:rsidR="0073700B" w:rsidRDefault="001A2FFC" w:rsidP="00F80BAC">
      <w:pPr>
        <w:pStyle w:val="a6"/>
        <w:spacing w:beforeLines="50" w:before="156"/>
        <w:rPr>
          <w:rFonts w:ascii="黑体" w:eastAsia="黑体" w:hAnsi="黑体"/>
          <w:b w:val="0"/>
          <w:bCs/>
        </w:rPr>
      </w:pPr>
      <w:bookmarkStart w:id="59" w:name="_Ref535833299"/>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26</w:t>
      </w:r>
      <w:r>
        <w:rPr>
          <w:rFonts w:ascii="黑体" w:eastAsia="黑体" w:hAnsi="黑体"/>
          <w:b w:val="0"/>
          <w:bCs/>
        </w:rPr>
        <w:fldChar w:fldCharType="end"/>
      </w:r>
      <w:bookmarkEnd w:id="59"/>
      <w:r>
        <w:rPr>
          <w:rFonts w:ascii="黑体" w:eastAsia="黑体" w:hAnsi="黑体"/>
          <w:b w:val="0"/>
          <w:bCs/>
        </w:rPr>
        <w:t xml:space="preserve">  </w:t>
      </w:r>
      <w:r>
        <w:rPr>
          <w:rFonts w:ascii="黑体" w:eastAsia="黑体" w:hAnsi="黑体"/>
          <w:b w:val="0"/>
          <w:bCs/>
        </w:rPr>
        <w:t>危险性等级划分标准</w:t>
      </w:r>
    </w:p>
    <w:tbl>
      <w:tblPr>
        <w:tblW w:w="90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16"/>
        <w:gridCol w:w="1533"/>
        <w:gridCol w:w="1517"/>
        <w:gridCol w:w="1378"/>
        <w:gridCol w:w="1492"/>
        <w:gridCol w:w="1427"/>
      </w:tblGrid>
      <w:tr w:rsidR="0073700B">
        <w:trPr>
          <w:jc w:val="center"/>
        </w:trPr>
        <w:tc>
          <w:tcPr>
            <w:tcW w:w="1716" w:type="dxa"/>
            <w:tcBorders>
              <w:top w:val="single" w:sz="8" w:space="0" w:color="auto"/>
              <w:bottom w:val="single" w:sz="8" w:space="0" w:color="auto"/>
            </w:tcBorders>
            <w:shd w:val="clear" w:color="auto" w:fill="auto"/>
          </w:tcPr>
          <w:p w:rsidR="0073700B" w:rsidRDefault="001A2FFC">
            <w:pPr>
              <w:tabs>
                <w:tab w:val="left" w:pos="1507"/>
              </w:tabs>
              <w:ind w:firstLineChars="100" w:firstLine="210"/>
              <w:jc w:val="center"/>
              <w:rPr>
                <w:bCs/>
              </w:rPr>
            </w:pPr>
            <w:r>
              <w:rPr>
                <w:bCs/>
              </w:rPr>
              <w:t>危险性分值</w:t>
            </w:r>
            <w:r>
              <w:rPr>
                <w:bCs/>
                <w:i/>
                <w:iCs/>
              </w:rPr>
              <w:t>D</w:t>
            </w:r>
          </w:p>
        </w:tc>
        <w:tc>
          <w:tcPr>
            <w:tcW w:w="1533" w:type="dxa"/>
            <w:tcBorders>
              <w:top w:val="single" w:sz="8" w:space="0" w:color="auto"/>
              <w:bottom w:val="single" w:sz="8" w:space="0" w:color="auto"/>
            </w:tcBorders>
            <w:shd w:val="clear" w:color="auto" w:fill="auto"/>
          </w:tcPr>
          <w:p w:rsidR="0073700B" w:rsidRDefault="001A2FFC">
            <w:pPr>
              <w:tabs>
                <w:tab w:val="left" w:pos="1507"/>
              </w:tabs>
              <w:jc w:val="center"/>
              <w:rPr>
                <w:bCs/>
              </w:rPr>
            </w:pPr>
            <w:r>
              <w:rPr>
                <w:bCs/>
              </w:rPr>
              <w:t>≥320</w:t>
            </w:r>
          </w:p>
        </w:tc>
        <w:tc>
          <w:tcPr>
            <w:tcW w:w="1517" w:type="dxa"/>
            <w:tcBorders>
              <w:top w:val="single" w:sz="8" w:space="0" w:color="auto"/>
              <w:bottom w:val="single" w:sz="8" w:space="0" w:color="auto"/>
            </w:tcBorders>
            <w:shd w:val="clear" w:color="auto" w:fill="auto"/>
          </w:tcPr>
          <w:p w:rsidR="0073700B" w:rsidRDefault="001A2FFC">
            <w:pPr>
              <w:tabs>
                <w:tab w:val="left" w:pos="1507"/>
              </w:tabs>
              <w:jc w:val="center"/>
              <w:rPr>
                <w:bCs/>
              </w:rPr>
            </w:pPr>
            <w:r>
              <w:rPr>
                <w:bCs/>
              </w:rPr>
              <w:t>≥160</w:t>
            </w:r>
            <w:r>
              <w:rPr>
                <w:bCs/>
              </w:rPr>
              <w:t>～</w:t>
            </w:r>
            <w:r>
              <w:rPr>
                <w:bCs/>
              </w:rPr>
              <w:t>320</w:t>
            </w:r>
          </w:p>
        </w:tc>
        <w:tc>
          <w:tcPr>
            <w:tcW w:w="1378" w:type="dxa"/>
            <w:tcBorders>
              <w:top w:val="single" w:sz="8" w:space="0" w:color="auto"/>
              <w:bottom w:val="single" w:sz="8" w:space="0" w:color="auto"/>
            </w:tcBorders>
            <w:shd w:val="clear" w:color="auto" w:fill="auto"/>
          </w:tcPr>
          <w:p w:rsidR="0073700B" w:rsidRDefault="001A2FFC">
            <w:pPr>
              <w:tabs>
                <w:tab w:val="left" w:pos="1507"/>
              </w:tabs>
              <w:jc w:val="center"/>
              <w:rPr>
                <w:bCs/>
              </w:rPr>
            </w:pPr>
            <w:r>
              <w:rPr>
                <w:bCs/>
              </w:rPr>
              <w:t>≥70</w:t>
            </w:r>
            <w:r>
              <w:rPr>
                <w:bCs/>
              </w:rPr>
              <w:t>～</w:t>
            </w:r>
            <w:r>
              <w:rPr>
                <w:bCs/>
              </w:rPr>
              <w:t>160</w:t>
            </w:r>
          </w:p>
        </w:tc>
        <w:tc>
          <w:tcPr>
            <w:tcW w:w="1492" w:type="dxa"/>
            <w:tcBorders>
              <w:top w:val="single" w:sz="8" w:space="0" w:color="auto"/>
              <w:bottom w:val="single" w:sz="8" w:space="0" w:color="auto"/>
            </w:tcBorders>
            <w:shd w:val="clear" w:color="auto" w:fill="auto"/>
          </w:tcPr>
          <w:p w:rsidR="0073700B" w:rsidRDefault="001A2FFC">
            <w:pPr>
              <w:tabs>
                <w:tab w:val="left" w:pos="1507"/>
              </w:tabs>
              <w:jc w:val="center"/>
              <w:rPr>
                <w:bCs/>
              </w:rPr>
            </w:pPr>
            <w:r>
              <w:rPr>
                <w:bCs/>
              </w:rPr>
              <w:t>≥20</w:t>
            </w:r>
            <w:r>
              <w:rPr>
                <w:bCs/>
              </w:rPr>
              <w:t>～</w:t>
            </w:r>
            <w:r>
              <w:rPr>
                <w:bCs/>
              </w:rPr>
              <w:t>70</w:t>
            </w:r>
          </w:p>
        </w:tc>
        <w:tc>
          <w:tcPr>
            <w:tcW w:w="1427" w:type="dxa"/>
            <w:tcBorders>
              <w:top w:val="single" w:sz="8" w:space="0" w:color="auto"/>
              <w:bottom w:val="single" w:sz="8" w:space="0" w:color="auto"/>
            </w:tcBorders>
            <w:shd w:val="clear" w:color="auto" w:fill="auto"/>
          </w:tcPr>
          <w:p w:rsidR="0073700B" w:rsidRDefault="001A2FFC">
            <w:pPr>
              <w:tabs>
                <w:tab w:val="left" w:pos="1507"/>
              </w:tabs>
              <w:jc w:val="center"/>
              <w:rPr>
                <w:bCs/>
              </w:rPr>
            </w:pPr>
            <w:r>
              <w:rPr>
                <w:bCs/>
              </w:rPr>
              <w:t>&lt;20</w:t>
            </w:r>
          </w:p>
        </w:tc>
      </w:tr>
      <w:tr w:rsidR="0073700B">
        <w:trPr>
          <w:jc w:val="center"/>
        </w:trPr>
        <w:tc>
          <w:tcPr>
            <w:tcW w:w="1716" w:type="dxa"/>
            <w:tcBorders>
              <w:top w:val="single" w:sz="8" w:space="0" w:color="auto"/>
            </w:tcBorders>
            <w:shd w:val="clear" w:color="auto" w:fill="auto"/>
          </w:tcPr>
          <w:p w:rsidR="0073700B" w:rsidRDefault="001A2FFC">
            <w:pPr>
              <w:tabs>
                <w:tab w:val="left" w:pos="1507"/>
              </w:tabs>
              <w:jc w:val="center"/>
              <w:rPr>
                <w:bCs/>
              </w:rPr>
            </w:pPr>
            <w:r>
              <w:rPr>
                <w:bCs/>
              </w:rPr>
              <w:t>危险程度</w:t>
            </w:r>
          </w:p>
        </w:tc>
        <w:tc>
          <w:tcPr>
            <w:tcW w:w="1533" w:type="dxa"/>
            <w:tcBorders>
              <w:top w:val="single" w:sz="8" w:space="0" w:color="auto"/>
            </w:tcBorders>
            <w:shd w:val="clear" w:color="auto" w:fill="auto"/>
          </w:tcPr>
          <w:p w:rsidR="0073700B" w:rsidRDefault="001A2FFC">
            <w:pPr>
              <w:tabs>
                <w:tab w:val="left" w:pos="1507"/>
              </w:tabs>
              <w:jc w:val="center"/>
              <w:rPr>
                <w:bCs/>
              </w:rPr>
            </w:pPr>
            <w:r>
              <w:rPr>
                <w:bCs/>
              </w:rPr>
              <w:t>极度危险，</w:t>
            </w:r>
          </w:p>
          <w:p w:rsidR="0073700B" w:rsidRDefault="001A2FFC">
            <w:pPr>
              <w:tabs>
                <w:tab w:val="left" w:pos="1507"/>
              </w:tabs>
              <w:jc w:val="center"/>
              <w:rPr>
                <w:bCs/>
              </w:rPr>
            </w:pPr>
            <w:r>
              <w:rPr>
                <w:bCs/>
              </w:rPr>
              <w:t>不能继续作业</w:t>
            </w:r>
          </w:p>
        </w:tc>
        <w:tc>
          <w:tcPr>
            <w:tcW w:w="1517" w:type="dxa"/>
            <w:tcBorders>
              <w:top w:val="single" w:sz="8" w:space="0" w:color="auto"/>
            </w:tcBorders>
            <w:shd w:val="clear" w:color="auto" w:fill="auto"/>
          </w:tcPr>
          <w:p w:rsidR="0073700B" w:rsidRDefault="001A2FFC">
            <w:pPr>
              <w:tabs>
                <w:tab w:val="left" w:pos="1507"/>
              </w:tabs>
              <w:jc w:val="center"/>
              <w:rPr>
                <w:bCs/>
              </w:rPr>
            </w:pPr>
            <w:r>
              <w:rPr>
                <w:bCs/>
              </w:rPr>
              <w:t>高度危险，</w:t>
            </w:r>
          </w:p>
          <w:p w:rsidR="0073700B" w:rsidRDefault="001A2FFC">
            <w:pPr>
              <w:tabs>
                <w:tab w:val="left" w:pos="1507"/>
              </w:tabs>
              <w:jc w:val="center"/>
              <w:rPr>
                <w:bCs/>
              </w:rPr>
            </w:pPr>
            <w:r>
              <w:rPr>
                <w:bCs/>
              </w:rPr>
              <w:t>需要整改</w:t>
            </w:r>
          </w:p>
        </w:tc>
        <w:tc>
          <w:tcPr>
            <w:tcW w:w="1378" w:type="dxa"/>
            <w:tcBorders>
              <w:top w:val="single" w:sz="8" w:space="0" w:color="auto"/>
            </w:tcBorders>
            <w:shd w:val="clear" w:color="auto" w:fill="auto"/>
          </w:tcPr>
          <w:p w:rsidR="0073700B" w:rsidRDefault="001A2FFC">
            <w:pPr>
              <w:tabs>
                <w:tab w:val="left" w:pos="1507"/>
              </w:tabs>
              <w:jc w:val="center"/>
              <w:rPr>
                <w:bCs/>
              </w:rPr>
            </w:pPr>
            <w:r>
              <w:rPr>
                <w:bCs/>
              </w:rPr>
              <w:t>显著危险，需要整改</w:t>
            </w:r>
          </w:p>
        </w:tc>
        <w:tc>
          <w:tcPr>
            <w:tcW w:w="1492" w:type="dxa"/>
            <w:tcBorders>
              <w:top w:val="single" w:sz="8" w:space="0" w:color="auto"/>
            </w:tcBorders>
            <w:shd w:val="clear" w:color="auto" w:fill="auto"/>
          </w:tcPr>
          <w:p w:rsidR="0073700B" w:rsidRDefault="001A2FFC">
            <w:pPr>
              <w:tabs>
                <w:tab w:val="left" w:pos="1507"/>
              </w:tabs>
              <w:jc w:val="center"/>
              <w:rPr>
                <w:bCs/>
              </w:rPr>
            </w:pPr>
            <w:r>
              <w:rPr>
                <w:bCs/>
              </w:rPr>
              <w:t>比较危险，</w:t>
            </w:r>
          </w:p>
          <w:p w:rsidR="0073700B" w:rsidRDefault="001A2FFC">
            <w:pPr>
              <w:tabs>
                <w:tab w:val="left" w:pos="1507"/>
              </w:tabs>
              <w:jc w:val="center"/>
              <w:rPr>
                <w:bCs/>
              </w:rPr>
            </w:pPr>
            <w:r>
              <w:rPr>
                <w:bCs/>
              </w:rPr>
              <w:t>需要注意</w:t>
            </w:r>
          </w:p>
        </w:tc>
        <w:tc>
          <w:tcPr>
            <w:tcW w:w="1427" w:type="dxa"/>
            <w:tcBorders>
              <w:top w:val="single" w:sz="8" w:space="0" w:color="auto"/>
            </w:tcBorders>
            <w:shd w:val="clear" w:color="auto" w:fill="auto"/>
          </w:tcPr>
          <w:p w:rsidR="0073700B" w:rsidRDefault="001A2FFC">
            <w:pPr>
              <w:tabs>
                <w:tab w:val="left" w:pos="1507"/>
              </w:tabs>
              <w:jc w:val="center"/>
              <w:rPr>
                <w:bCs/>
              </w:rPr>
            </w:pPr>
            <w:r>
              <w:rPr>
                <w:bCs/>
              </w:rPr>
              <w:t>稍有危险，</w:t>
            </w:r>
          </w:p>
          <w:p w:rsidR="0073700B" w:rsidRDefault="001A2FFC">
            <w:pPr>
              <w:tabs>
                <w:tab w:val="left" w:pos="1507"/>
              </w:tabs>
              <w:jc w:val="center"/>
              <w:rPr>
                <w:bCs/>
              </w:rPr>
            </w:pPr>
            <w:r>
              <w:rPr>
                <w:bCs/>
              </w:rPr>
              <w:t>可以接受</w:t>
            </w:r>
          </w:p>
        </w:tc>
      </w:tr>
      <w:tr w:rsidR="0073700B">
        <w:trPr>
          <w:jc w:val="center"/>
        </w:trPr>
        <w:tc>
          <w:tcPr>
            <w:tcW w:w="1716" w:type="dxa"/>
            <w:shd w:val="clear" w:color="auto" w:fill="auto"/>
          </w:tcPr>
          <w:p w:rsidR="0073700B" w:rsidRDefault="001A2FFC">
            <w:pPr>
              <w:tabs>
                <w:tab w:val="left" w:pos="1507"/>
              </w:tabs>
              <w:jc w:val="center"/>
              <w:rPr>
                <w:bCs/>
              </w:rPr>
            </w:pPr>
            <w:r>
              <w:rPr>
                <w:bCs/>
              </w:rPr>
              <w:t>危险等级</w:t>
            </w:r>
          </w:p>
        </w:tc>
        <w:tc>
          <w:tcPr>
            <w:tcW w:w="1533" w:type="dxa"/>
            <w:shd w:val="clear" w:color="auto" w:fill="auto"/>
          </w:tcPr>
          <w:p w:rsidR="0073700B" w:rsidRDefault="001A2FFC">
            <w:pPr>
              <w:tabs>
                <w:tab w:val="left" w:pos="1507"/>
              </w:tabs>
              <w:jc w:val="center"/>
              <w:rPr>
                <w:bCs/>
              </w:rPr>
            </w:pPr>
            <w:r>
              <w:rPr>
                <w:bCs/>
              </w:rPr>
              <w:t>1</w:t>
            </w:r>
          </w:p>
        </w:tc>
        <w:tc>
          <w:tcPr>
            <w:tcW w:w="1517" w:type="dxa"/>
            <w:shd w:val="clear" w:color="auto" w:fill="auto"/>
          </w:tcPr>
          <w:p w:rsidR="0073700B" w:rsidRDefault="001A2FFC">
            <w:pPr>
              <w:tabs>
                <w:tab w:val="left" w:pos="1507"/>
              </w:tabs>
              <w:jc w:val="center"/>
              <w:rPr>
                <w:bCs/>
              </w:rPr>
            </w:pPr>
            <w:r>
              <w:rPr>
                <w:bCs/>
              </w:rPr>
              <w:t>2</w:t>
            </w:r>
          </w:p>
        </w:tc>
        <w:tc>
          <w:tcPr>
            <w:tcW w:w="1378" w:type="dxa"/>
            <w:shd w:val="clear" w:color="auto" w:fill="auto"/>
          </w:tcPr>
          <w:p w:rsidR="0073700B" w:rsidRDefault="001A2FFC">
            <w:pPr>
              <w:tabs>
                <w:tab w:val="left" w:pos="1507"/>
              </w:tabs>
              <w:jc w:val="center"/>
              <w:rPr>
                <w:bCs/>
              </w:rPr>
            </w:pPr>
            <w:r>
              <w:rPr>
                <w:bCs/>
              </w:rPr>
              <w:t>3</w:t>
            </w:r>
          </w:p>
        </w:tc>
        <w:tc>
          <w:tcPr>
            <w:tcW w:w="1492" w:type="dxa"/>
            <w:shd w:val="clear" w:color="auto" w:fill="auto"/>
          </w:tcPr>
          <w:p w:rsidR="0073700B" w:rsidRDefault="001A2FFC">
            <w:pPr>
              <w:tabs>
                <w:tab w:val="left" w:pos="1507"/>
              </w:tabs>
              <w:jc w:val="center"/>
              <w:rPr>
                <w:bCs/>
              </w:rPr>
            </w:pPr>
            <w:r>
              <w:rPr>
                <w:bCs/>
              </w:rPr>
              <w:t>4</w:t>
            </w:r>
          </w:p>
        </w:tc>
        <w:tc>
          <w:tcPr>
            <w:tcW w:w="1427" w:type="dxa"/>
            <w:shd w:val="clear" w:color="auto" w:fill="auto"/>
          </w:tcPr>
          <w:p w:rsidR="0073700B" w:rsidRDefault="001A2FFC">
            <w:pPr>
              <w:tabs>
                <w:tab w:val="left" w:pos="1507"/>
              </w:tabs>
              <w:jc w:val="center"/>
              <w:rPr>
                <w:bCs/>
              </w:rPr>
            </w:pPr>
            <w:r>
              <w:rPr>
                <w:bCs/>
              </w:rPr>
              <w:t>5</w:t>
            </w:r>
          </w:p>
        </w:tc>
      </w:tr>
    </w:tbl>
    <w:p w:rsidR="0073700B" w:rsidRDefault="001A2FFC" w:rsidP="00F80BAC">
      <w:pPr>
        <w:spacing w:beforeLines="50" w:before="156" w:line="360" w:lineRule="auto"/>
        <w:ind w:firstLineChars="200" w:firstLine="480"/>
        <w:rPr>
          <w:bCs/>
          <w:sz w:val="24"/>
        </w:rPr>
      </w:pPr>
      <w:r>
        <w:rPr>
          <w:bCs/>
          <w:sz w:val="24"/>
        </w:rPr>
        <w:t>一般情况下，事故发生的可能性越大，风险越大；暴露于危险环境的频繁程度越大，风险越大；事故产生的后果越大，风险越大。运用作业条件危险评价分析法进行分析时，对于风险分值高于</w:t>
      </w:r>
      <w:r>
        <w:rPr>
          <w:bCs/>
          <w:sz w:val="24"/>
        </w:rPr>
        <w:t>70</w:t>
      </w:r>
      <w:r>
        <w:rPr>
          <w:bCs/>
          <w:sz w:val="24"/>
        </w:rPr>
        <w:t>分及以上的，列为重大风险源并进行风险估测。</w:t>
      </w:r>
    </w:p>
    <w:p w:rsidR="0073700B" w:rsidRDefault="001A2FFC">
      <w:pPr>
        <w:spacing w:before="50" w:line="360" w:lineRule="auto"/>
        <w:ind w:firstLineChars="200" w:firstLine="480"/>
        <w:rPr>
          <w:bCs/>
          <w:sz w:val="24"/>
        </w:rPr>
      </w:pPr>
      <w:r>
        <w:rPr>
          <w:rFonts w:hint="eastAsia"/>
          <w:bCs/>
          <w:sz w:val="24"/>
        </w:rPr>
        <w:t>④</w:t>
      </w:r>
      <w:r>
        <w:rPr>
          <w:bCs/>
          <w:sz w:val="24"/>
        </w:rPr>
        <w:t>以列表方式汇总一般风险源风险等级。</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6</w:t>
      </w:r>
      <w:r>
        <w:rPr>
          <w:rFonts w:hint="eastAsia"/>
          <w:bCs/>
          <w:sz w:val="24"/>
          <w:szCs w:val="20"/>
        </w:rPr>
        <w:t>）</w:t>
      </w:r>
      <w:r>
        <w:rPr>
          <w:bCs/>
          <w:sz w:val="24"/>
          <w:szCs w:val="20"/>
        </w:rPr>
        <w:t>重大风险源风险估测</w:t>
      </w:r>
    </w:p>
    <w:p w:rsidR="0073700B" w:rsidRDefault="001A2FFC">
      <w:pPr>
        <w:spacing w:line="360" w:lineRule="auto"/>
        <w:ind w:firstLineChars="200" w:firstLine="480"/>
        <w:rPr>
          <w:bCs/>
          <w:sz w:val="24"/>
        </w:rPr>
      </w:pPr>
      <w:r>
        <w:rPr>
          <w:rFonts w:hint="eastAsia"/>
          <w:bCs/>
          <w:sz w:val="24"/>
        </w:rPr>
        <w:t>①</w:t>
      </w:r>
      <w:r>
        <w:rPr>
          <w:bCs/>
          <w:sz w:val="24"/>
        </w:rPr>
        <w:t>一般要求</w:t>
      </w:r>
    </w:p>
    <w:p w:rsidR="0073700B" w:rsidRDefault="001A2FFC" w:rsidP="00F80BAC">
      <w:pPr>
        <w:spacing w:beforeLines="50" w:before="156" w:line="360" w:lineRule="auto"/>
        <w:ind w:firstLineChars="200" w:firstLine="480"/>
        <w:rPr>
          <w:bCs/>
          <w:sz w:val="24"/>
        </w:rPr>
      </w:pPr>
      <w:r>
        <w:rPr>
          <w:rFonts w:hint="eastAsia"/>
          <w:bCs/>
          <w:sz w:val="24"/>
        </w:rPr>
        <w:t>a</w:t>
      </w:r>
      <w:r>
        <w:rPr>
          <w:rFonts w:hint="eastAsia"/>
          <w:bCs/>
          <w:sz w:val="24"/>
        </w:rPr>
        <w:t>）</w:t>
      </w:r>
      <w:r>
        <w:rPr>
          <w:bCs/>
          <w:sz w:val="24"/>
        </w:rPr>
        <w:t>重大风险源风险估测应分为施工前重大风险源估测和施工过程重大风险源估测，两者分别与施工前、施工过程专项风险评估对应，主要考虑到施工前、施工过程获取评估信息手段、评估指标体系、评估方法的变化等因素。通常来讲，施工过程可获</w:t>
      </w:r>
      <w:r>
        <w:rPr>
          <w:bCs/>
          <w:sz w:val="24"/>
        </w:rPr>
        <w:t>取的指标信息、评估方法更为多样，评估指标体系更为复杂，指标更加准确、可靠。</w:t>
      </w:r>
    </w:p>
    <w:p w:rsidR="0073700B" w:rsidRDefault="001A2FFC" w:rsidP="00F80BAC">
      <w:pPr>
        <w:spacing w:beforeLines="50" w:before="156" w:line="360" w:lineRule="auto"/>
        <w:ind w:firstLineChars="200" w:firstLine="480"/>
        <w:rPr>
          <w:bCs/>
          <w:sz w:val="24"/>
        </w:rPr>
      </w:pPr>
      <w:r>
        <w:rPr>
          <w:rFonts w:hint="eastAsia"/>
          <w:bCs/>
          <w:sz w:val="24"/>
        </w:rPr>
        <w:t>b</w:t>
      </w:r>
      <w:r>
        <w:rPr>
          <w:rFonts w:hint="eastAsia"/>
          <w:bCs/>
          <w:sz w:val="24"/>
        </w:rPr>
        <w:t>）</w:t>
      </w:r>
      <w:r>
        <w:rPr>
          <w:bCs/>
          <w:sz w:val="24"/>
        </w:rPr>
        <w:t>重大风险源往往在一个工程中常多处存在，为了找出风险控制的重点，应进行定量风险估测，即先确定风险事件可能性和严重程度，再基于风险矩阵</w:t>
      </w:r>
      <w:r>
        <w:rPr>
          <w:bCs/>
          <w:sz w:val="24"/>
        </w:rPr>
        <w:lastRenderedPageBreak/>
        <w:t>法确定该风险事件的风险等级。</w:t>
      </w:r>
    </w:p>
    <w:p w:rsidR="0073700B" w:rsidRDefault="001A2FFC">
      <w:pPr>
        <w:spacing w:line="360" w:lineRule="auto"/>
        <w:ind w:firstLineChars="200" w:firstLine="480"/>
        <w:rPr>
          <w:bCs/>
          <w:sz w:val="24"/>
        </w:rPr>
      </w:pPr>
      <w:r>
        <w:rPr>
          <w:rFonts w:hint="eastAsia"/>
          <w:bCs/>
          <w:sz w:val="24"/>
        </w:rPr>
        <w:t>②</w:t>
      </w:r>
      <w:r>
        <w:rPr>
          <w:bCs/>
          <w:sz w:val="24"/>
        </w:rPr>
        <w:t>施工前重大风险源估测</w:t>
      </w:r>
    </w:p>
    <w:p w:rsidR="0073700B" w:rsidRDefault="001A2FFC" w:rsidP="00F80BAC">
      <w:pPr>
        <w:spacing w:beforeLines="50" w:before="156" w:line="360" w:lineRule="auto"/>
        <w:ind w:firstLineChars="200" w:firstLine="480"/>
        <w:rPr>
          <w:bCs/>
          <w:sz w:val="24"/>
        </w:rPr>
      </w:pPr>
      <w:r>
        <w:rPr>
          <w:rFonts w:hint="eastAsia"/>
          <w:bCs/>
          <w:sz w:val="24"/>
        </w:rPr>
        <w:t>a</w:t>
      </w:r>
      <w:r>
        <w:rPr>
          <w:rFonts w:hint="eastAsia"/>
          <w:bCs/>
          <w:sz w:val="24"/>
        </w:rPr>
        <w:t>）</w:t>
      </w:r>
      <w:r>
        <w:rPr>
          <w:bCs/>
          <w:sz w:val="24"/>
        </w:rPr>
        <w:t>本标准中风险事件可能性是根据施工前风险事件可能性评估指标体系，结合工程实际情况对评估指标赋值，再将分值进行加乘运算求得综合评分，参照各施工前风险事件可能性等级标准得出风险等级。</w:t>
      </w:r>
    </w:p>
    <w:p w:rsidR="0073700B" w:rsidRDefault="001A2FFC" w:rsidP="00F80BAC">
      <w:pPr>
        <w:spacing w:beforeLines="50" w:before="156" w:line="360" w:lineRule="auto"/>
        <w:ind w:firstLineChars="200" w:firstLine="480"/>
        <w:rPr>
          <w:bCs/>
          <w:sz w:val="24"/>
        </w:rPr>
      </w:pPr>
      <w:r>
        <w:rPr>
          <w:bCs/>
          <w:color w:val="000000"/>
          <w:sz w:val="24"/>
          <w:szCs w:val="24"/>
        </w:rPr>
        <w:t>根据国内外</w:t>
      </w:r>
      <w:r>
        <w:rPr>
          <w:bCs/>
          <w:color w:val="000000"/>
          <w:sz w:val="24"/>
          <w:szCs w:val="24"/>
        </w:rPr>
        <w:t>969</w:t>
      </w:r>
      <w:r>
        <w:rPr>
          <w:bCs/>
          <w:color w:val="000000"/>
          <w:sz w:val="24"/>
          <w:szCs w:val="24"/>
        </w:rPr>
        <w:t>条隧道的各类灾害或潜在灾害统计结果，塌方、岩爆、瓦斯爆炸、大变形以及涌水突泥是隧道施工中频繁发生的。如</w:t>
      </w:r>
      <w:r>
        <w:fldChar w:fldCharType="begin"/>
      </w:r>
      <w:r>
        <w:instrText xml:space="preserve"> REF _Ref29194142 \h  \* MERGEFORMAT </w:instrText>
      </w:r>
      <w:r>
        <w:fldChar w:fldCharType="separate"/>
      </w:r>
      <w:r>
        <w:rPr>
          <w:sz w:val="24"/>
          <w:szCs w:val="24"/>
        </w:rPr>
        <w:t>图</w:t>
      </w:r>
      <w:r>
        <w:rPr>
          <w:sz w:val="24"/>
          <w:szCs w:val="24"/>
        </w:rPr>
        <w:t>6</w:t>
      </w:r>
      <w:r>
        <w:rPr>
          <w:sz w:val="24"/>
          <w:szCs w:val="24"/>
        </w:rPr>
        <w:noBreakHyphen/>
        <w:t>7</w:t>
      </w:r>
      <w:r>
        <w:rPr>
          <w:sz w:val="24"/>
          <w:szCs w:val="24"/>
        </w:rPr>
        <w:fldChar w:fldCharType="end"/>
      </w:r>
      <w:r>
        <w:rPr>
          <w:bCs/>
          <w:color w:val="000000"/>
          <w:sz w:val="24"/>
          <w:szCs w:val="24"/>
        </w:rPr>
        <w:t>和</w:t>
      </w:r>
      <w:r>
        <w:fldChar w:fldCharType="begin"/>
      </w:r>
      <w:r>
        <w:instrText xml:space="preserve"> REF _Ref29194153 \h  \* MERGEFORMAT </w:instrText>
      </w:r>
      <w:r>
        <w:fldChar w:fldCharType="separate"/>
      </w:r>
      <w:r>
        <w:rPr>
          <w:sz w:val="24"/>
          <w:szCs w:val="24"/>
        </w:rPr>
        <w:t>图</w:t>
      </w:r>
      <w:r>
        <w:rPr>
          <w:sz w:val="24"/>
          <w:szCs w:val="24"/>
        </w:rPr>
        <w:t>6</w:t>
      </w:r>
      <w:r>
        <w:rPr>
          <w:sz w:val="24"/>
          <w:szCs w:val="24"/>
        </w:rPr>
        <w:noBreakHyphen/>
        <w:t>8</w:t>
      </w:r>
      <w:r>
        <w:rPr>
          <w:sz w:val="24"/>
          <w:szCs w:val="24"/>
        </w:rPr>
        <w:fldChar w:fldCharType="end"/>
      </w:r>
      <w:r>
        <w:rPr>
          <w:bCs/>
          <w:color w:val="000000"/>
          <w:sz w:val="24"/>
          <w:szCs w:val="24"/>
        </w:rPr>
        <w:t>所示</w:t>
      </w:r>
      <w:r>
        <w:rPr>
          <w:bCs/>
          <w:color w:val="000000"/>
          <w:sz w:val="24"/>
        </w:rPr>
        <w:t>，统计数据中共有隧道大变形灾害事件</w:t>
      </w:r>
      <w:r>
        <w:rPr>
          <w:bCs/>
          <w:color w:val="000000"/>
          <w:sz w:val="24"/>
        </w:rPr>
        <w:t>265</w:t>
      </w:r>
      <w:r>
        <w:rPr>
          <w:bCs/>
          <w:color w:val="000000"/>
          <w:sz w:val="24"/>
        </w:rPr>
        <w:t>起，占总数的</w:t>
      </w:r>
      <w:r>
        <w:rPr>
          <w:bCs/>
          <w:color w:val="000000"/>
          <w:sz w:val="24"/>
        </w:rPr>
        <w:t>27.4%</w:t>
      </w:r>
      <w:r>
        <w:rPr>
          <w:bCs/>
          <w:color w:val="000000"/>
          <w:sz w:val="24"/>
        </w:rPr>
        <w:t>；塌方事件</w:t>
      </w:r>
      <w:r>
        <w:rPr>
          <w:bCs/>
          <w:color w:val="000000"/>
          <w:sz w:val="24"/>
        </w:rPr>
        <w:t>483</w:t>
      </w:r>
      <w:r>
        <w:rPr>
          <w:bCs/>
          <w:color w:val="000000"/>
          <w:sz w:val="24"/>
        </w:rPr>
        <w:t>起，占总数的</w:t>
      </w:r>
      <w:r>
        <w:rPr>
          <w:bCs/>
          <w:color w:val="000000"/>
          <w:sz w:val="24"/>
        </w:rPr>
        <w:t>49.9%</w:t>
      </w:r>
      <w:r>
        <w:rPr>
          <w:bCs/>
          <w:color w:val="000000"/>
          <w:sz w:val="24"/>
        </w:rPr>
        <w:t>；瓦斯爆炸事件</w:t>
      </w:r>
      <w:r>
        <w:rPr>
          <w:bCs/>
          <w:color w:val="000000"/>
          <w:sz w:val="24"/>
        </w:rPr>
        <w:t>47</w:t>
      </w:r>
      <w:r>
        <w:rPr>
          <w:bCs/>
          <w:color w:val="000000"/>
          <w:sz w:val="24"/>
        </w:rPr>
        <w:t>起，占总数的</w:t>
      </w:r>
      <w:r>
        <w:rPr>
          <w:bCs/>
          <w:color w:val="000000"/>
          <w:sz w:val="24"/>
        </w:rPr>
        <w:t>4.9%</w:t>
      </w:r>
      <w:r>
        <w:rPr>
          <w:bCs/>
          <w:color w:val="000000"/>
          <w:sz w:val="24"/>
        </w:rPr>
        <w:t>；岩爆事件</w:t>
      </w:r>
      <w:r>
        <w:rPr>
          <w:bCs/>
          <w:color w:val="000000"/>
          <w:sz w:val="24"/>
        </w:rPr>
        <w:t>92</w:t>
      </w:r>
      <w:r>
        <w:rPr>
          <w:bCs/>
          <w:color w:val="000000"/>
          <w:sz w:val="24"/>
        </w:rPr>
        <w:t>起，占</w:t>
      </w:r>
      <w:r>
        <w:rPr>
          <w:bCs/>
          <w:color w:val="000000"/>
          <w:sz w:val="24"/>
          <w:szCs w:val="24"/>
        </w:rPr>
        <w:t>总数</w:t>
      </w:r>
      <w:r>
        <w:rPr>
          <w:bCs/>
          <w:color w:val="000000"/>
          <w:sz w:val="24"/>
        </w:rPr>
        <w:t>的</w:t>
      </w:r>
      <w:r>
        <w:rPr>
          <w:bCs/>
          <w:color w:val="000000"/>
          <w:sz w:val="24"/>
        </w:rPr>
        <w:t>9.5%</w:t>
      </w:r>
      <w:r>
        <w:rPr>
          <w:bCs/>
          <w:color w:val="000000"/>
          <w:sz w:val="24"/>
        </w:rPr>
        <w:t>；涌水突泥事件</w:t>
      </w:r>
      <w:r>
        <w:rPr>
          <w:bCs/>
          <w:color w:val="000000"/>
          <w:sz w:val="24"/>
        </w:rPr>
        <w:t>81</w:t>
      </w:r>
      <w:r>
        <w:rPr>
          <w:bCs/>
          <w:color w:val="000000"/>
          <w:sz w:val="24"/>
        </w:rPr>
        <w:t>起，占总</w:t>
      </w:r>
      <w:r>
        <w:rPr>
          <w:bCs/>
          <w:color w:val="000000"/>
          <w:sz w:val="24"/>
          <w:szCs w:val="24"/>
        </w:rPr>
        <w:t>数</w:t>
      </w:r>
      <w:r>
        <w:rPr>
          <w:bCs/>
          <w:color w:val="000000"/>
          <w:sz w:val="24"/>
        </w:rPr>
        <w:t>的</w:t>
      </w:r>
      <w:r>
        <w:rPr>
          <w:bCs/>
          <w:color w:val="000000"/>
          <w:sz w:val="24"/>
        </w:rPr>
        <w:t>8.4%</w:t>
      </w:r>
      <w:r>
        <w:rPr>
          <w:bCs/>
          <w:color w:val="000000"/>
          <w:sz w:val="24"/>
        </w:rPr>
        <w:t>。</w:t>
      </w:r>
      <w:r>
        <w:rPr>
          <w:bCs/>
          <w:sz w:val="24"/>
        </w:rPr>
        <w:t>此外隧道洞口段施工往往作为隧道工程的主要控制工程段，其结构及地层通常具有稳定性差、受力复杂、施工技术难度高和支护工程量大等特点，因此隧道洞口段易发生失稳坍塌、滑坡等灾害，处置不当将严重影响工程作业人员的生命财产安全和施工进度。故本标准主要考虑洞口失稳、坍塌、涌水突泥、大变形、瓦斯爆炸和岩爆等</w:t>
      </w:r>
      <w:r>
        <w:rPr>
          <w:bCs/>
          <w:sz w:val="24"/>
        </w:rPr>
        <w:t>6</w:t>
      </w:r>
      <w:r>
        <w:rPr>
          <w:bCs/>
          <w:sz w:val="24"/>
        </w:rPr>
        <w:t>种风险事件类型，并建立相应的风险事件可能性评估指标体系。</w:t>
      </w:r>
    </w:p>
    <w:p w:rsidR="0073700B" w:rsidRDefault="001A2FFC" w:rsidP="00F80BAC">
      <w:pPr>
        <w:spacing w:beforeLines="50" w:before="156" w:line="360" w:lineRule="auto"/>
        <w:ind w:firstLineChars="200" w:firstLine="480"/>
        <w:rPr>
          <w:bCs/>
          <w:sz w:val="24"/>
        </w:rPr>
      </w:pPr>
      <w:r>
        <w:rPr>
          <w:bCs/>
          <w:sz w:val="24"/>
        </w:rPr>
        <w:t>在评估过程中，可根据工程实际情况对现有评估指标进行适当增减，其它风险事件可借鉴参考建立相应的风险事件可能性评估指标体系。对于施工前专项风险评估指标体系中指标分值</w:t>
      </w:r>
      <w:r>
        <w:rPr>
          <w:bCs/>
          <w:sz w:val="24"/>
        </w:rPr>
        <w:t>范围的确定，宜采用固定指标、重点考虑各指标的相互影响进行分值范围的确定。</w:t>
      </w:r>
    </w:p>
    <w:p w:rsidR="0073700B" w:rsidRDefault="0073700B" w:rsidP="00F80BAC">
      <w:pPr>
        <w:spacing w:beforeLines="50" w:before="156" w:line="360" w:lineRule="auto"/>
        <w:ind w:firstLineChars="200" w:firstLine="480"/>
        <w:rPr>
          <w:bCs/>
          <w:sz w:val="24"/>
        </w:rPr>
      </w:pPr>
    </w:p>
    <w:p w:rsidR="0073700B" w:rsidRDefault="001A2FFC">
      <w:pPr>
        <w:pStyle w:val="af8"/>
        <w:ind w:firstLineChars="0" w:firstLine="0"/>
        <w:jc w:val="center"/>
        <w:rPr>
          <w:rFonts w:ascii="Times New Roman" w:hAnsi="Times New Roman"/>
          <w:bCs/>
          <w:color w:val="000000"/>
        </w:rPr>
      </w:pPr>
      <w:r>
        <w:rPr>
          <w:rFonts w:ascii="Times New Roman" w:eastAsia="黑体" w:hAnsi="Times New Roman"/>
          <w:noProof/>
          <w:sz w:val="18"/>
        </w:rPr>
        <w:lastRenderedPageBreak/>
        <w:drawing>
          <wp:inline distT="0" distB="0" distL="0" distR="0">
            <wp:extent cx="3059430" cy="2446655"/>
            <wp:effectExtent l="0" t="0" r="0" b="0"/>
            <wp:docPr id="4" name="图片 4" descr="Gra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raph2"/>
                    <pic:cNvPicPr>
                      <a:picLocks noChangeAspect="1" noChangeArrowheads="1"/>
                    </pic:cNvPicPr>
                  </pic:nvPicPr>
                  <pic:blipFill>
                    <a:blip r:embed="rId34" cstate="print">
                      <a:extLst>
                        <a:ext uri="{28A0092B-C50C-407E-A947-70E740481C1C}">
                          <a14:useLocalDpi xmlns:a14="http://schemas.microsoft.com/office/drawing/2010/main" val="0"/>
                        </a:ext>
                      </a:extLst>
                    </a:blip>
                    <a:srcRect l="16844" r="4002" b="16695"/>
                    <a:stretch>
                      <a:fillRect/>
                    </a:stretch>
                  </pic:blipFill>
                  <pic:spPr>
                    <a:xfrm>
                      <a:off x="0" y="0"/>
                      <a:ext cx="3060000" cy="2446995"/>
                    </a:xfrm>
                    <a:prstGeom prst="rect">
                      <a:avLst/>
                    </a:prstGeom>
                    <a:noFill/>
                    <a:ln>
                      <a:noFill/>
                    </a:ln>
                  </pic:spPr>
                </pic:pic>
              </a:graphicData>
            </a:graphic>
          </wp:inline>
        </w:drawing>
      </w:r>
    </w:p>
    <w:p w:rsidR="0073700B" w:rsidRDefault="001A2FFC">
      <w:pPr>
        <w:pStyle w:val="a6"/>
        <w:rPr>
          <w:rFonts w:ascii="黑体" w:eastAsia="黑体" w:hAnsi="黑体"/>
          <w:b w:val="0"/>
          <w:bCs/>
          <w:color w:val="000000"/>
        </w:rPr>
      </w:pPr>
      <w:bookmarkStart w:id="60" w:name="_Ref29194142"/>
      <w:bookmarkStart w:id="61" w:name="_Ref535911306"/>
      <w:r>
        <w:rPr>
          <w:rFonts w:ascii="黑体" w:eastAsia="黑体" w:hAnsi="黑体"/>
          <w:b w:val="0"/>
          <w:bCs/>
        </w:rPr>
        <w:t>图</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图</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7</w:t>
      </w:r>
      <w:r>
        <w:rPr>
          <w:rFonts w:ascii="黑体" w:eastAsia="黑体" w:hAnsi="黑体"/>
          <w:b w:val="0"/>
          <w:bCs/>
        </w:rPr>
        <w:fldChar w:fldCharType="end"/>
      </w:r>
      <w:bookmarkEnd w:id="60"/>
      <w:r>
        <w:rPr>
          <w:rFonts w:ascii="黑体" w:eastAsia="黑体" w:hAnsi="黑体"/>
          <w:b w:val="0"/>
          <w:bCs/>
        </w:rPr>
        <w:t xml:space="preserve">  </w:t>
      </w:r>
      <w:r>
        <w:rPr>
          <w:rFonts w:ascii="黑体" w:eastAsia="黑体" w:hAnsi="黑体"/>
          <w:b w:val="0"/>
          <w:bCs/>
          <w:color w:val="000000"/>
        </w:rPr>
        <w:t>隧道各类事故发生比例</w:t>
      </w:r>
      <w:bookmarkEnd w:id="61"/>
    </w:p>
    <w:p w:rsidR="0073700B" w:rsidRDefault="001A2FFC">
      <w:pPr>
        <w:pStyle w:val="af8"/>
        <w:ind w:firstLineChars="0" w:firstLine="0"/>
        <w:jc w:val="center"/>
        <w:rPr>
          <w:rFonts w:ascii="Times New Roman" w:hAnsi="Times New Roman"/>
          <w:bCs/>
          <w:color w:val="000000"/>
        </w:rPr>
      </w:pPr>
      <w:r>
        <w:rPr>
          <w:rFonts w:ascii="Times New Roman" w:eastAsia="黑体" w:hAnsi="Times New Roman"/>
          <w:noProof/>
          <w:sz w:val="18"/>
          <w:szCs w:val="20"/>
        </w:rPr>
        <w:drawing>
          <wp:inline distT="0" distB="0" distL="0" distR="0">
            <wp:extent cx="2879725" cy="2246630"/>
            <wp:effectExtent l="0" t="0" r="0" b="1270"/>
            <wp:docPr id="1" name="图片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raph1"/>
                    <pic:cNvPicPr>
                      <a:picLocks noChangeAspect="1" noChangeArrowheads="1"/>
                    </pic:cNvPicPr>
                  </pic:nvPicPr>
                  <pic:blipFill>
                    <a:blip r:embed="rId35" cstate="print">
                      <a:extLst>
                        <a:ext uri="{28A0092B-C50C-407E-A947-70E740481C1C}">
                          <a14:useLocalDpi xmlns:a14="http://schemas.microsoft.com/office/drawing/2010/main" val="0"/>
                        </a:ext>
                      </a:extLst>
                    </a:blip>
                    <a:srcRect l="7500" t="9221" r="12791" b="10332"/>
                    <a:stretch>
                      <a:fillRect/>
                    </a:stretch>
                  </pic:blipFill>
                  <pic:spPr>
                    <a:xfrm>
                      <a:off x="0" y="0"/>
                      <a:ext cx="2880000" cy="2247195"/>
                    </a:xfrm>
                    <a:prstGeom prst="rect">
                      <a:avLst/>
                    </a:prstGeom>
                    <a:noFill/>
                    <a:ln>
                      <a:noFill/>
                    </a:ln>
                  </pic:spPr>
                </pic:pic>
              </a:graphicData>
            </a:graphic>
          </wp:inline>
        </w:drawing>
      </w:r>
    </w:p>
    <w:p w:rsidR="0073700B" w:rsidRDefault="001A2FFC">
      <w:pPr>
        <w:pStyle w:val="a6"/>
        <w:rPr>
          <w:rFonts w:ascii="黑体" w:eastAsia="黑体" w:hAnsi="黑体"/>
          <w:b w:val="0"/>
          <w:bCs/>
          <w:color w:val="000000"/>
        </w:rPr>
      </w:pPr>
      <w:bookmarkStart w:id="62" w:name="_Ref29194153"/>
      <w:r>
        <w:rPr>
          <w:rFonts w:ascii="黑体" w:eastAsia="黑体" w:hAnsi="黑体"/>
          <w:b w:val="0"/>
          <w:bCs/>
          <w:szCs w:val="32"/>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8</w:t>
      </w:r>
      <w:r>
        <w:rPr>
          <w:rFonts w:ascii="黑体" w:eastAsia="黑体" w:hAnsi="黑体"/>
          <w:b w:val="0"/>
          <w:bCs/>
          <w:szCs w:val="32"/>
        </w:rPr>
        <w:fldChar w:fldCharType="end"/>
      </w:r>
      <w:bookmarkEnd w:id="62"/>
      <w:r>
        <w:rPr>
          <w:rFonts w:ascii="黑体" w:eastAsia="黑体" w:hAnsi="黑体"/>
          <w:b w:val="0"/>
          <w:bCs/>
          <w:szCs w:val="32"/>
        </w:rPr>
        <w:t xml:space="preserve">  </w:t>
      </w:r>
      <w:r>
        <w:rPr>
          <w:rFonts w:ascii="黑体" w:eastAsia="黑体" w:hAnsi="黑体"/>
          <w:b w:val="0"/>
          <w:bCs/>
          <w:color w:val="000000"/>
        </w:rPr>
        <w:t>隧道发生各类灾害的数量</w:t>
      </w:r>
    </w:p>
    <w:p w:rsidR="0073700B" w:rsidRDefault="001A2FFC" w:rsidP="00F80BAC">
      <w:pPr>
        <w:spacing w:beforeLines="50" w:before="156" w:line="360" w:lineRule="auto"/>
        <w:ind w:firstLineChars="200" w:firstLine="480"/>
        <w:rPr>
          <w:bCs/>
          <w:sz w:val="24"/>
        </w:rPr>
      </w:pPr>
      <w:r>
        <w:rPr>
          <w:rFonts w:hint="eastAsia"/>
          <w:bCs/>
          <w:sz w:val="24"/>
        </w:rPr>
        <w:t>b</w:t>
      </w:r>
      <w:r>
        <w:rPr>
          <w:rFonts w:hint="eastAsia"/>
          <w:bCs/>
          <w:sz w:val="24"/>
        </w:rPr>
        <w:t>）</w:t>
      </w:r>
      <w:r>
        <w:rPr>
          <w:bCs/>
          <w:sz w:val="24"/>
        </w:rPr>
        <w:t>连拱隧道指两洞拱部衬砌结构通过中柱相连接的隧道结构，是一种常用于复杂特殊地形的结构型式。与分离式隧道相比，连拱隧道施工更为复杂，且不同开挖顺序对隧道结构及围岩的影响难以把握，施工风险</w:t>
      </w:r>
      <w:r>
        <w:rPr>
          <w:bCs/>
          <w:sz w:val="24"/>
        </w:rPr>
        <w:t>较大。</w:t>
      </w:r>
    </w:p>
    <w:p w:rsidR="0073700B" w:rsidRDefault="001A2FFC" w:rsidP="00F80BAC">
      <w:pPr>
        <w:spacing w:beforeLines="50" w:before="156" w:line="360" w:lineRule="auto"/>
        <w:ind w:firstLineChars="200" w:firstLine="480"/>
        <w:rPr>
          <w:bCs/>
          <w:sz w:val="24"/>
        </w:rPr>
      </w:pPr>
      <w:r>
        <w:rPr>
          <w:bCs/>
          <w:sz w:val="24"/>
        </w:rPr>
        <w:t>小净距隧道指上下行双洞洞壁净距较小，不能按独立双洞考虑的隧道结构。当前，我国在小净距隧道设计、施工以及其关键技术等方面的研究尚未成熟，理论研究尚未形成体系，施工风险较大。故需考虑这两种隧道类型对各风险事件可能性造成的影响，在本标准中作为修正值体现。</w:t>
      </w:r>
    </w:p>
    <w:p w:rsidR="0073700B" w:rsidRDefault="001A2FFC" w:rsidP="00F80BAC">
      <w:pPr>
        <w:spacing w:beforeLines="50" w:before="156" w:line="360" w:lineRule="auto"/>
        <w:ind w:firstLineChars="200" w:firstLine="480"/>
        <w:rPr>
          <w:bCs/>
          <w:sz w:val="24"/>
        </w:rPr>
      </w:pPr>
      <w:r>
        <w:rPr>
          <w:bCs/>
          <w:sz w:val="24"/>
        </w:rPr>
        <w:t>资料完整性是指地质、水文、气象、勘察设计等相关资料的完整性。从评估角度来看，资料完整性可理解为隧道现有资料对于本标准评估指标的满足程</w:t>
      </w:r>
      <w:r>
        <w:rPr>
          <w:bCs/>
          <w:sz w:val="24"/>
        </w:rPr>
        <w:lastRenderedPageBreak/>
        <w:t>度，即评估小组根据隧道现有资料能否得出较为准确的分值，若不能，则评估小组需凭主观经验估算赋值，这对评估结果的影响较大，故引入资料完整性作为修正指标。</w:t>
      </w:r>
    </w:p>
    <w:p w:rsidR="0073700B" w:rsidRDefault="001A2FFC" w:rsidP="00F80BAC">
      <w:pPr>
        <w:spacing w:beforeLines="50" w:before="156" w:line="360" w:lineRule="auto"/>
        <w:ind w:firstLineChars="200" w:firstLine="480"/>
        <w:rPr>
          <w:bCs/>
          <w:sz w:val="24"/>
        </w:rPr>
      </w:pPr>
      <w:r>
        <w:rPr>
          <w:rFonts w:hint="eastAsia"/>
          <w:bCs/>
          <w:sz w:val="24"/>
        </w:rPr>
        <w:t>c</w:t>
      </w:r>
      <w:r>
        <w:rPr>
          <w:rFonts w:hint="eastAsia"/>
          <w:bCs/>
          <w:sz w:val="24"/>
        </w:rPr>
        <w:t>）</w:t>
      </w:r>
      <w:r>
        <w:rPr>
          <w:bCs/>
          <w:sz w:val="24"/>
        </w:rPr>
        <w:t>降水通常会增加洞口施工难度，增大失稳风险，故将年均降水量作为地形地质条件的修正系数；将隧道开挖跨度与被洞口偏压角度修正过的洞口浅埋段长度分值相加，再与降水量、地质条件对应的系数、隧道类型和资料完整性修正系数相乘得到被评价施工区</w:t>
      </w:r>
      <w:r>
        <w:rPr>
          <w:bCs/>
          <w:sz w:val="24"/>
        </w:rPr>
        <w:t>段发生洞口失稳事故的可能性等级。</w:t>
      </w:r>
    </w:p>
    <w:p w:rsidR="0073700B" w:rsidRDefault="001A2FFC" w:rsidP="00F80BAC">
      <w:pPr>
        <w:spacing w:beforeLines="50" w:before="156" w:line="360" w:lineRule="auto"/>
        <w:ind w:firstLineChars="200" w:firstLine="480"/>
        <w:rPr>
          <w:bCs/>
          <w:sz w:val="24"/>
        </w:rPr>
      </w:pPr>
      <w:r>
        <w:rPr>
          <w:bCs/>
          <w:sz w:val="24"/>
        </w:rPr>
        <w:t>施工前各风险事件等级区间划分方法如下：通过对每个指标分值进行随机抽样</w:t>
      </w:r>
      <w:r>
        <w:rPr>
          <w:bCs/>
          <w:sz w:val="24"/>
        </w:rPr>
        <w:t>10</w:t>
      </w:r>
      <w:r>
        <w:rPr>
          <w:bCs/>
          <w:sz w:val="24"/>
          <w:vertAlign w:val="superscript"/>
        </w:rPr>
        <w:t>6</w:t>
      </w:r>
      <w:r>
        <w:rPr>
          <w:bCs/>
          <w:sz w:val="24"/>
        </w:rPr>
        <w:t>次，代入各风险事件可能性计算公式，并画出分值的累计频率曲线，结合坍塌和涌水风险事件的工程案例试算（坍塌、涌水风险事件案例较多，且现行指南有相对应的评估指标体系，因此以坍塌和涌水风险事件试算结果为主要参考依据，通过对比现行指南和本标准的评估分值情况，结合累计频率曲线确定合适的累计频率占比，来划分其余风险事件的分级区间，试算结果和分级区间确定说明见</w:t>
      </w:r>
      <w:r>
        <w:rPr>
          <w:bCs/>
          <w:sz w:val="24"/>
        </w:rPr>
        <w:t>6.6.2.4</w:t>
      </w:r>
      <w:r>
        <w:rPr>
          <w:bCs/>
          <w:sz w:val="24"/>
        </w:rPr>
        <w:t>和</w:t>
      </w:r>
      <w:r>
        <w:rPr>
          <w:bCs/>
          <w:sz w:val="24"/>
        </w:rPr>
        <w:t>6.6.2.5</w:t>
      </w:r>
      <w:r>
        <w:rPr>
          <w:bCs/>
          <w:sz w:val="24"/>
        </w:rPr>
        <w:t>）。</w:t>
      </w:r>
    </w:p>
    <w:p w:rsidR="0073700B" w:rsidRDefault="001A2FFC" w:rsidP="00F80BAC">
      <w:pPr>
        <w:spacing w:beforeLines="50" w:before="156" w:line="360" w:lineRule="auto"/>
        <w:ind w:firstLineChars="200" w:firstLine="420"/>
        <w:rPr>
          <w:bCs/>
          <w:sz w:val="24"/>
        </w:rPr>
      </w:pPr>
      <w:r>
        <w:fldChar w:fldCharType="begin"/>
      </w:r>
      <w:r>
        <w:instrText xml:space="preserve"> REF _Ref29</w:instrText>
      </w:r>
      <w:r>
        <w:instrText xml:space="preserve">240292 \h  \* MERGEFORMAT </w:instrText>
      </w:r>
      <w:r>
        <w:fldChar w:fldCharType="separate"/>
      </w:r>
      <w:r>
        <w:rPr>
          <w:sz w:val="24"/>
          <w:szCs w:val="28"/>
        </w:rPr>
        <w:t>图</w:t>
      </w:r>
      <w:r>
        <w:rPr>
          <w:sz w:val="24"/>
          <w:szCs w:val="28"/>
        </w:rPr>
        <w:t>6</w:t>
      </w:r>
      <w:r>
        <w:rPr>
          <w:sz w:val="24"/>
          <w:szCs w:val="28"/>
        </w:rPr>
        <w:noBreakHyphen/>
        <w:t>9</w:t>
      </w:r>
      <w:r>
        <w:rPr>
          <w:sz w:val="24"/>
          <w:szCs w:val="28"/>
        </w:rPr>
        <w:fldChar w:fldCharType="end"/>
      </w:r>
      <w:r>
        <w:rPr>
          <w:bCs/>
          <w:sz w:val="24"/>
        </w:rPr>
        <w:t>为隧道施工前洞口失稳风险事件可能性评估分值累计频率曲线，分级区间取累计频率曲线占比分别为</w:t>
      </w:r>
      <w:r>
        <w:rPr>
          <w:bCs/>
          <w:sz w:val="24"/>
        </w:rPr>
        <w:t>&lt;3%</w:t>
      </w:r>
      <w:r>
        <w:rPr>
          <w:bCs/>
          <w:sz w:val="24"/>
        </w:rPr>
        <w:t>、</w:t>
      </w:r>
      <w:r>
        <w:rPr>
          <w:bCs/>
          <w:sz w:val="24"/>
        </w:rPr>
        <w:t>3~20%</w:t>
      </w:r>
      <w:r>
        <w:rPr>
          <w:bCs/>
          <w:sz w:val="24"/>
        </w:rPr>
        <w:t>、</w:t>
      </w:r>
      <w:r>
        <w:rPr>
          <w:bCs/>
          <w:sz w:val="24"/>
        </w:rPr>
        <w:t>20~50%</w:t>
      </w:r>
      <w:r>
        <w:rPr>
          <w:bCs/>
          <w:sz w:val="24"/>
        </w:rPr>
        <w:t>、</w:t>
      </w:r>
      <w:r>
        <w:rPr>
          <w:bCs/>
          <w:sz w:val="24"/>
        </w:rPr>
        <w:t>50~80%</w:t>
      </w:r>
      <w:r>
        <w:rPr>
          <w:bCs/>
          <w:sz w:val="24"/>
        </w:rPr>
        <w:t>、</w:t>
      </w:r>
      <w:r>
        <w:rPr>
          <w:bCs/>
          <w:sz w:val="24"/>
        </w:rPr>
        <w:t>&gt;80%</w:t>
      </w:r>
      <w:r>
        <w:rPr>
          <w:bCs/>
          <w:sz w:val="24"/>
        </w:rPr>
        <w:t>作为洞口失稳的五个等级区间。</w:t>
      </w:r>
    </w:p>
    <w:p w:rsidR="0073700B" w:rsidRDefault="001A2FFC">
      <w:pPr>
        <w:spacing w:line="360" w:lineRule="auto"/>
        <w:jc w:val="center"/>
        <w:rPr>
          <w:bCs/>
          <w:sz w:val="24"/>
        </w:rPr>
      </w:pPr>
      <w:r>
        <w:rPr>
          <w:noProof/>
        </w:rPr>
        <w:drawing>
          <wp:inline distT="0" distB="0" distL="0" distR="0">
            <wp:extent cx="3079750" cy="251968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080371" cy="2520000"/>
                    </a:xfrm>
                    <a:prstGeom prst="rect">
                      <a:avLst/>
                    </a:prstGeom>
                    <a:noFill/>
                    <a:ln>
                      <a:noFill/>
                    </a:ln>
                  </pic:spPr>
                </pic:pic>
              </a:graphicData>
            </a:graphic>
          </wp:inline>
        </w:drawing>
      </w:r>
    </w:p>
    <w:p w:rsidR="0073700B" w:rsidRDefault="001A2FFC">
      <w:pPr>
        <w:pStyle w:val="a6"/>
        <w:rPr>
          <w:rFonts w:ascii="黑体" w:eastAsia="黑体" w:hAnsi="黑体"/>
          <w:b w:val="0"/>
          <w:bCs/>
        </w:rPr>
      </w:pPr>
      <w:bookmarkStart w:id="63" w:name="_Ref29240292"/>
      <w:r>
        <w:rPr>
          <w:rFonts w:ascii="黑体" w:eastAsia="黑体" w:hAnsi="黑体"/>
          <w:b w:val="0"/>
          <w:bCs/>
        </w:rPr>
        <w:t>图</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图</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9</w:t>
      </w:r>
      <w:r>
        <w:rPr>
          <w:rFonts w:ascii="黑体" w:eastAsia="黑体" w:hAnsi="黑体"/>
          <w:b w:val="0"/>
          <w:bCs/>
        </w:rPr>
        <w:fldChar w:fldCharType="end"/>
      </w:r>
      <w:bookmarkEnd w:id="63"/>
      <w:r>
        <w:rPr>
          <w:rFonts w:ascii="黑体" w:eastAsia="黑体" w:hAnsi="黑体"/>
          <w:b w:val="0"/>
          <w:bCs/>
        </w:rPr>
        <w:t xml:space="preserve">  </w:t>
      </w:r>
      <w:bookmarkStart w:id="64" w:name="_Hlk29144814"/>
      <w:r>
        <w:rPr>
          <w:rFonts w:ascii="黑体" w:eastAsia="黑体" w:hAnsi="黑体"/>
          <w:b w:val="0"/>
          <w:bCs/>
        </w:rPr>
        <w:t>隧道施工前洞口失稳风险事件可能性评估分值累</w:t>
      </w:r>
      <w:r>
        <w:rPr>
          <w:rFonts w:ascii="黑体" w:eastAsia="黑体" w:hAnsi="黑体"/>
          <w:b w:val="0"/>
          <w:bCs/>
        </w:rPr>
        <w:t>计频率曲线</w:t>
      </w:r>
      <w:bookmarkEnd w:id="64"/>
    </w:p>
    <w:p w:rsidR="0073700B" w:rsidRDefault="001A2FFC" w:rsidP="00F80BAC">
      <w:pPr>
        <w:spacing w:beforeLines="50" w:before="156" w:line="360" w:lineRule="auto"/>
        <w:ind w:firstLineChars="200" w:firstLine="480"/>
        <w:rPr>
          <w:bCs/>
          <w:sz w:val="24"/>
        </w:rPr>
      </w:pPr>
      <w:r>
        <w:rPr>
          <w:rFonts w:hint="eastAsia"/>
          <w:bCs/>
          <w:sz w:val="24"/>
        </w:rPr>
        <w:t>d</w:t>
      </w:r>
      <w:r>
        <w:rPr>
          <w:rFonts w:hint="eastAsia"/>
          <w:bCs/>
          <w:sz w:val="24"/>
        </w:rPr>
        <w:t>）</w:t>
      </w:r>
      <w:r>
        <w:rPr>
          <w:bCs/>
          <w:sz w:val="24"/>
        </w:rPr>
        <w:t>将断层破碎带宽度、优势结构面倾角、预测涌水量作为隧道围岩级别的</w:t>
      </w:r>
      <w:r>
        <w:rPr>
          <w:bCs/>
          <w:sz w:val="24"/>
        </w:rPr>
        <w:lastRenderedPageBreak/>
        <w:t>系数来处理，主要考虑到三者往往表现为对围岩强度的削减作用；围岩级别、</w:t>
      </w:r>
      <w:r>
        <w:rPr>
          <w:bCs/>
          <w:sz w:val="24"/>
          <w:szCs w:val="28"/>
        </w:rPr>
        <w:t>浅埋隧道偏压角度</w:t>
      </w:r>
      <w:r>
        <w:rPr>
          <w:bCs/>
          <w:sz w:val="24"/>
        </w:rPr>
        <w:t>、隧道开挖跨度是引发坍塌事故的重要因素，将三者进行加和，与修正系数相乘得到被评价施工区段发生坍塌事故的可能性等级。</w:t>
      </w:r>
    </w:p>
    <w:p w:rsidR="0073700B" w:rsidRDefault="001A2FFC" w:rsidP="00F80BAC">
      <w:pPr>
        <w:spacing w:beforeLines="50" w:before="156" w:line="360" w:lineRule="auto"/>
        <w:ind w:firstLineChars="200" w:firstLine="480"/>
        <w:rPr>
          <w:bCs/>
          <w:sz w:val="24"/>
        </w:rPr>
      </w:pPr>
      <w:r>
        <w:rPr>
          <w:bCs/>
          <w:sz w:val="24"/>
        </w:rPr>
        <w:t>坍塌风险事件案例试算结果见</w:t>
      </w:r>
      <w:bookmarkStart w:id="65" w:name="_Hlk29240352"/>
      <w:r>
        <w:rPr>
          <w:bCs/>
          <w:sz w:val="32"/>
          <w:szCs w:val="28"/>
        </w:rPr>
        <w:fldChar w:fldCharType="begin"/>
      </w:r>
      <w:r>
        <w:rPr>
          <w:bCs/>
          <w:sz w:val="32"/>
          <w:szCs w:val="28"/>
        </w:rPr>
        <w:instrText xml:space="preserve"> REF _Ref29240335 \h  \* MERGEFORMAT </w:instrText>
      </w:r>
      <w:r>
        <w:rPr>
          <w:bCs/>
          <w:sz w:val="32"/>
          <w:szCs w:val="28"/>
        </w:rPr>
      </w:r>
      <w:r>
        <w:rPr>
          <w:bCs/>
          <w:sz w:val="32"/>
          <w:szCs w:val="28"/>
        </w:rPr>
        <w:fldChar w:fldCharType="separate"/>
      </w:r>
      <w:r>
        <w:rPr>
          <w:sz w:val="24"/>
          <w:szCs w:val="24"/>
        </w:rPr>
        <w:t>表</w:t>
      </w:r>
      <w:r>
        <w:rPr>
          <w:sz w:val="24"/>
          <w:szCs w:val="24"/>
        </w:rPr>
        <w:t>6</w:t>
      </w:r>
      <w:r>
        <w:rPr>
          <w:sz w:val="24"/>
          <w:szCs w:val="24"/>
        </w:rPr>
        <w:noBreakHyphen/>
        <w:t>27</w:t>
      </w:r>
      <w:r>
        <w:rPr>
          <w:bCs/>
          <w:sz w:val="32"/>
          <w:szCs w:val="28"/>
        </w:rPr>
        <w:fldChar w:fldCharType="end"/>
      </w:r>
      <w:bookmarkEnd w:id="65"/>
      <w:r>
        <w:rPr>
          <w:bCs/>
          <w:sz w:val="24"/>
        </w:rPr>
        <w:t>和</w:t>
      </w:r>
      <w:r>
        <w:fldChar w:fldCharType="begin"/>
      </w:r>
      <w:r>
        <w:instrText xml:space="preserve"> REF _Ref29240542 \h  \* MERGEFORMAT </w:instrText>
      </w:r>
      <w:r>
        <w:fldChar w:fldCharType="separate"/>
      </w:r>
      <w:r>
        <w:rPr>
          <w:sz w:val="24"/>
          <w:szCs w:val="24"/>
        </w:rPr>
        <w:t>图</w:t>
      </w:r>
      <w:r>
        <w:rPr>
          <w:sz w:val="24"/>
          <w:szCs w:val="24"/>
        </w:rPr>
        <w:t>6</w:t>
      </w:r>
      <w:r>
        <w:rPr>
          <w:sz w:val="24"/>
          <w:szCs w:val="24"/>
        </w:rPr>
        <w:noBreakHyphen/>
        <w:t>10</w:t>
      </w:r>
      <w:r>
        <w:rPr>
          <w:sz w:val="24"/>
          <w:szCs w:val="24"/>
        </w:rPr>
        <w:fldChar w:fldCharType="end"/>
      </w:r>
      <w:r>
        <w:rPr>
          <w:bCs/>
          <w:sz w:val="24"/>
        </w:rPr>
        <w:t>，现行指南最高等级为</w:t>
      </w:r>
      <w:r>
        <w:rPr>
          <w:rFonts w:ascii="宋体" w:hAnsi="宋体" w:cs="宋体" w:hint="eastAsia"/>
          <w:bCs/>
          <w:sz w:val="24"/>
        </w:rPr>
        <w:t>Ⅳ</w:t>
      </w:r>
      <w:r>
        <w:rPr>
          <w:bCs/>
          <w:sz w:val="24"/>
        </w:rPr>
        <w:t>级。由</w:t>
      </w:r>
      <w:r>
        <w:fldChar w:fldCharType="begin"/>
      </w:r>
      <w:r>
        <w:instrText xml:space="preserve"> REF _Ref29240335 \h  \* MERGEFORMAT </w:instrText>
      </w:r>
      <w:r>
        <w:fldChar w:fldCharType="separate"/>
      </w:r>
      <w:r>
        <w:rPr>
          <w:sz w:val="24"/>
          <w:szCs w:val="24"/>
        </w:rPr>
        <w:t>表</w:t>
      </w:r>
      <w:r>
        <w:rPr>
          <w:sz w:val="24"/>
          <w:szCs w:val="24"/>
        </w:rPr>
        <w:t>6</w:t>
      </w:r>
      <w:r>
        <w:rPr>
          <w:sz w:val="24"/>
          <w:szCs w:val="24"/>
        </w:rPr>
        <w:noBreakHyphen/>
        <w:t>27</w:t>
      </w:r>
      <w:r>
        <w:rPr>
          <w:sz w:val="24"/>
          <w:szCs w:val="24"/>
        </w:rPr>
        <w:fldChar w:fldCharType="end"/>
      </w:r>
      <w:r>
        <w:rPr>
          <w:bCs/>
          <w:sz w:val="24"/>
        </w:rPr>
        <w:t>和</w:t>
      </w:r>
      <w:r>
        <w:fldChar w:fldCharType="begin"/>
      </w:r>
      <w:r>
        <w:instrText xml:space="preserve"> REF _Ref29240542 \h  \* MERGEFORMAT </w:instrText>
      </w:r>
      <w:r>
        <w:fldChar w:fldCharType="separate"/>
      </w:r>
      <w:r>
        <w:rPr>
          <w:sz w:val="24"/>
          <w:szCs w:val="24"/>
        </w:rPr>
        <w:t>图</w:t>
      </w:r>
      <w:r>
        <w:rPr>
          <w:sz w:val="24"/>
          <w:szCs w:val="24"/>
        </w:rPr>
        <w:t>6</w:t>
      </w:r>
      <w:r>
        <w:rPr>
          <w:sz w:val="24"/>
          <w:szCs w:val="24"/>
        </w:rPr>
        <w:noBreakHyphen/>
        <w:t>10</w:t>
      </w:r>
      <w:r>
        <w:rPr>
          <w:sz w:val="24"/>
          <w:szCs w:val="24"/>
        </w:rPr>
        <w:fldChar w:fldCharType="end"/>
      </w:r>
      <w:r>
        <w:rPr>
          <w:bCs/>
          <w:sz w:val="24"/>
        </w:rPr>
        <w:t>易知，现行指南</w:t>
      </w:r>
      <w:r>
        <w:rPr>
          <w:rFonts w:ascii="宋体" w:hAnsi="宋体" w:cs="宋体" w:hint="eastAsia"/>
          <w:bCs/>
          <w:sz w:val="24"/>
        </w:rPr>
        <w:t>Ⅰ</w:t>
      </w:r>
      <w:r>
        <w:rPr>
          <w:bCs/>
          <w:sz w:val="24"/>
        </w:rPr>
        <w:t>级和</w:t>
      </w:r>
      <w:r>
        <w:rPr>
          <w:rFonts w:ascii="宋体" w:hAnsi="宋体" w:cs="宋体" w:hint="eastAsia"/>
          <w:bCs/>
          <w:sz w:val="24"/>
        </w:rPr>
        <w:t>Ⅱ</w:t>
      </w:r>
      <w:r>
        <w:rPr>
          <w:bCs/>
          <w:sz w:val="24"/>
        </w:rPr>
        <w:t>级的分界点约为</w:t>
      </w:r>
      <w:r>
        <w:rPr>
          <w:bCs/>
          <w:sz w:val="24"/>
        </w:rPr>
        <w:t>25</w:t>
      </w:r>
      <w:r>
        <w:rPr>
          <w:bCs/>
          <w:sz w:val="24"/>
        </w:rPr>
        <w:t>分，对应本标准坍塌风险事件可能性评估分值累计频率约为</w:t>
      </w:r>
      <w:r>
        <w:rPr>
          <w:bCs/>
          <w:sz w:val="24"/>
        </w:rPr>
        <w:t>20%</w:t>
      </w:r>
      <w:r>
        <w:rPr>
          <w:bCs/>
          <w:sz w:val="24"/>
        </w:rPr>
        <w:t>，现行指南</w:t>
      </w:r>
      <w:bookmarkStart w:id="66" w:name="_Hlk29196099"/>
      <w:r>
        <w:rPr>
          <w:rFonts w:ascii="宋体" w:hAnsi="宋体" w:cs="宋体" w:hint="eastAsia"/>
          <w:bCs/>
          <w:sz w:val="24"/>
        </w:rPr>
        <w:t>Ⅱ</w:t>
      </w:r>
      <w:r>
        <w:rPr>
          <w:bCs/>
          <w:sz w:val="24"/>
        </w:rPr>
        <w:t>级和</w:t>
      </w:r>
      <w:r>
        <w:rPr>
          <w:rFonts w:ascii="宋体" w:hAnsi="宋体" w:cs="宋体" w:hint="eastAsia"/>
          <w:bCs/>
          <w:sz w:val="24"/>
        </w:rPr>
        <w:t>Ⅲ</w:t>
      </w:r>
      <w:r>
        <w:rPr>
          <w:bCs/>
          <w:sz w:val="24"/>
        </w:rPr>
        <w:t>级的分界点约在</w:t>
      </w:r>
      <w:r>
        <w:rPr>
          <w:bCs/>
          <w:sz w:val="24"/>
        </w:rPr>
        <w:t>30~35</w:t>
      </w:r>
      <w:r>
        <w:rPr>
          <w:bCs/>
          <w:sz w:val="24"/>
        </w:rPr>
        <w:t>分之间</w:t>
      </w:r>
      <w:bookmarkEnd w:id="66"/>
      <w:r>
        <w:rPr>
          <w:bCs/>
          <w:sz w:val="24"/>
        </w:rPr>
        <w:t>，</w:t>
      </w:r>
      <w:bookmarkStart w:id="67" w:name="_Hlk29196218"/>
      <w:r>
        <w:rPr>
          <w:bCs/>
          <w:sz w:val="24"/>
        </w:rPr>
        <w:t>对应本标准累计频率</w:t>
      </w:r>
      <w:r>
        <w:rPr>
          <w:bCs/>
          <w:sz w:val="24"/>
        </w:rPr>
        <w:t>约为</w:t>
      </w:r>
      <w:r>
        <w:rPr>
          <w:bCs/>
          <w:sz w:val="24"/>
        </w:rPr>
        <w:t>50%</w:t>
      </w:r>
      <w:bookmarkEnd w:id="67"/>
      <w:r>
        <w:rPr>
          <w:bCs/>
          <w:sz w:val="24"/>
        </w:rPr>
        <w:t>；现行指南</w:t>
      </w:r>
      <w:r>
        <w:rPr>
          <w:rFonts w:ascii="宋体" w:hAnsi="宋体" w:cs="宋体" w:hint="eastAsia"/>
          <w:bCs/>
          <w:sz w:val="24"/>
        </w:rPr>
        <w:t>Ⅲ</w:t>
      </w:r>
      <w:r>
        <w:rPr>
          <w:bCs/>
          <w:sz w:val="24"/>
        </w:rPr>
        <w:t>级和</w:t>
      </w:r>
      <w:r>
        <w:rPr>
          <w:rFonts w:ascii="宋体" w:hAnsi="宋体" w:cs="宋体" w:hint="eastAsia"/>
          <w:bCs/>
          <w:sz w:val="24"/>
        </w:rPr>
        <w:t>Ⅳ</w:t>
      </w:r>
      <w:r>
        <w:rPr>
          <w:bCs/>
          <w:sz w:val="24"/>
        </w:rPr>
        <w:t>级的分界点在</w:t>
      </w:r>
      <w:r>
        <w:rPr>
          <w:bCs/>
          <w:sz w:val="24"/>
        </w:rPr>
        <w:t>45</w:t>
      </w:r>
      <w:r>
        <w:rPr>
          <w:bCs/>
          <w:sz w:val="24"/>
        </w:rPr>
        <w:t>分以上，对应本标准累计频率约为</w:t>
      </w:r>
      <w:r>
        <w:rPr>
          <w:bCs/>
          <w:sz w:val="24"/>
        </w:rPr>
        <w:t>80%</w:t>
      </w:r>
      <w:r>
        <w:rPr>
          <w:bCs/>
          <w:sz w:val="24"/>
        </w:rPr>
        <w:t>。此外，考虑到各分级区间长度相差不宜太大，取累计频率曲线占比分别为</w:t>
      </w:r>
      <w:r>
        <w:rPr>
          <w:bCs/>
          <w:sz w:val="24"/>
        </w:rPr>
        <w:t>&lt;3%</w:t>
      </w:r>
      <w:r>
        <w:rPr>
          <w:bCs/>
          <w:sz w:val="24"/>
        </w:rPr>
        <w:t>、</w:t>
      </w:r>
      <w:r>
        <w:rPr>
          <w:bCs/>
          <w:sz w:val="24"/>
        </w:rPr>
        <w:t>3~20%</w:t>
      </w:r>
      <w:r>
        <w:rPr>
          <w:bCs/>
          <w:sz w:val="24"/>
        </w:rPr>
        <w:t>、</w:t>
      </w:r>
      <w:r>
        <w:rPr>
          <w:bCs/>
          <w:sz w:val="24"/>
        </w:rPr>
        <w:t>20~50%</w:t>
      </w:r>
      <w:r>
        <w:rPr>
          <w:bCs/>
          <w:sz w:val="24"/>
        </w:rPr>
        <w:t>、</w:t>
      </w:r>
      <w:r>
        <w:rPr>
          <w:bCs/>
          <w:sz w:val="24"/>
        </w:rPr>
        <w:t>50~80%</w:t>
      </w:r>
      <w:r>
        <w:rPr>
          <w:bCs/>
          <w:sz w:val="24"/>
        </w:rPr>
        <w:t>、</w:t>
      </w:r>
      <w:r>
        <w:rPr>
          <w:bCs/>
          <w:sz w:val="24"/>
        </w:rPr>
        <w:t>&gt;80%</w:t>
      </w:r>
      <w:r>
        <w:rPr>
          <w:bCs/>
          <w:sz w:val="24"/>
        </w:rPr>
        <w:t>作为</w:t>
      </w:r>
      <w:bookmarkStart w:id="68" w:name="_Hlk29198579"/>
      <w:r>
        <w:rPr>
          <w:bCs/>
          <w:sz w:val="24"/>
        </w:rPr>
        <w:t>坍塌的五个等级区间</w:t>
      </w:r>
      <w:bookmarkEnd w:id="68"/>
      <w:r>
        <w:rPr>
          <w:bCs/>
          <w:sz w:val="24"/>
        </w:rPr>
        <w:t>。</w:t>
      </w:r>
    </w:p>
    <w:p w:rsidR="0073700B" w:rsidRDefault="001A2FFC">
      <w:pPr>
        <w:pStyle w:val="a6"/>
        <w:rPr>
          <w:rFonts w:ascii="黑体" w:eastAsia="黑体" w:hAnsi="黑体"/>
        </w:rPr>
      </w:pPr>
      <w:bookmarkStart w:id="69" w:name="_Ref29240335"/>
      <w:r>
        <w:rPr>
          <w:rFonts w:ascii="黑体" w:eastAsia="黑体" w:hAnsi="黑体"/>
        </w:rPr>
        <w:t>表</w:t>
      </w:r>
      <w:r>
        <w:rPr>
          <w:rFonts w:ascii="黑体" w:eastAsia="黑体" w:hAnsi="黑体"/>
        </w:rPr>
        <w:fldChar w:fldCharType="begin"/>
      </w:r>
      <w:r>
        <w:rPr>
          <w:rFonts w:ascii="黑体" w:eastAsia="黑体" w:hAnsi="黑体"/>
        </w:rPr>
        <w:instrText xml:space="preserve"> STYLEREF 3 \s </w:instrText>
      </w:r>
      <w:r>
        <w:rPr>
          <w:rFonts w:ascii="黑体" w:eastAsia="黑体" w:hAnsi="黑体"/>
        </w:rPr>
        <w:fldChar w:fldCharType="separate"/>
      </w:r>
      <w:r>
        <w:rPr>
          <w:rFonts w:ascii="黑体" w:eastAsia="黑体" w:hAnsi="黑体"/>
        </w:rPr>
        <w:t>6</w:t>
      </w:r>
      <w:r>
        <w:rPr>
          <w:rFonts w:ascii="黑体" w:eastAsia="黑体" w:hAnsi="黑体"/>
        </w:rPr>
        <w:fldChar w:fldCharType="end"/>
      </w:r>
      <w:r>
        <w:rPr>
          <w:rFonts w:ascii="黑体" w:eastAsia="黑体" w:hAnsi="黑体"/>
        </w:rPr>
        <w:noBreakHyphen/>
      </w:r>
      <w:r>
        <w:rPr>
          <w:rFonts w:ascii="黑体" w:eastAsia="黑体" w:hAnsi="黑体"/>
        </w:rPr>
        <w:fldChar w:fldCharType="begin"/>
      </w:r>
      <w:r>
        <w:rPr>
          <w:rFonts w:ascii="黑体" w:eastAsia="黑体" w:hAnsi="黑体"/>
        </w:rPr>
        <w:instrText xml:space="preserve"> SEQ </w:instrText>
      </w:r>
      <w:r>
        <w:rPr>
          <w:rFonts w:ascii="黑体" w:eastAsia="黑体" w:hAnsi="黑体"/>
        </w:rPr>
        <w:instrText>表</w:instrText>
      </w:r>
      <w:r>
        <w:rPr>
          <w:rFonts w:ascii="黑体" w:eastAsia="黑体" w:hAnsi="黑体"/>
        </w:rPr>
        <w:instrText xml:space="preserve"> \* ARABIC \s 3 </w:instrText>
      </w:r>
      <w:r>
        <w:rPr>
          <w:rFonts w:ascii="黑体" w:eastAsia="黑体" w:hAnsi="黑体"/>
        </w:rPr>
        <w:fldChar w:fldCharType="separate"/>
      </w:r>
      <w:r>
        <w:rPr>
          <w:rFonts w:ascii="黑体" w:eastAsia="黑体" w:hAnsi="黑体"/>
        </w:rPr>
        <w:t>27</w:t>
      </w:r>
      <w:r>
        <w:rPr>
          <w:rFonts w:ascii="黑体" w:eastAsia="黑体" w:hAnsi="黑体"/>
        </w:rPr>
        <w:fldChar w:fldCharType="end"/>
      </w:r>
      <w:bookmarkEnd w:id="69"/>
      <w:r>
        <w:rPr>
          <w:rFonts w:ascii="黑体" w:eastAsia="黑体" w:hAnsi="黑体"/>
        </w:rPr>
        <w:t xml:space="preserve">  </w:t>
      </w:r>
      <w:r>
        <w:rPr>
          <w:rFonts w:ascii="黑体" w:eastAsia="黑体" w:hAnsi="黑体"/>
        </w:rPr>
        <w:t>坍塌风险事件试算结果汇总</w:t>
      </w:r>
    </w:p>
    <w:tbl>
      <w:tblPr>
        <w:tblStyle w:val="af1"/>
        <w:tblW w:w="5000" w:type="pct"/>
        <w:jc w:val="center"/>
        <w:tblLook w:val="04A0" w:firstRow="1" w:lastRow="0" w:firstColumn="1" w:lastColumn="0" w:noHBand="0" w:noVBand="1"/>
      </w:tblPr>
      <w:tblGrid>
        <w:gridCol w:w="2832"/>
        <w:gridCol w:w="2832"/>
        <w:gridCol w:w="2830"/>
      </w:tblGrid>
      <w:tr w:rsidR="0073700B">
        <w:trPr>
          <w:jc w:val="center"/>
        </w:trPr>
        <w:tc>
          <w:tcPr>
            <w:tcW w:w="1667" w:type="pct"/>
            <w:tcBorders>
              <w:top w:val="single" w:sz="8" w:space="0" w:color="auto"/>
              <w:left w:val="single" w:sz="8" w:space="0" w:color="auto"/>
              <w:bottom w:val="single" w:sz="8" w:space="0" w:color="auto"/>
              <w:right w:val="single" w:sz="4" w:space="0" w:color="auto"/>
            </w:tcBorders>
            <w:vAlign w:val="center"/>
          </w:tcPr>
          <w:p w:rsidR="0073700B" w:rsidRDefault="001A2FFC">
            <w:pPr>
              <w:jc w:val="center"/>
              <w:rPr>
                <w:bCs/>
                <w:szCs w:val="21"/>
              </w:rPr>
            </w:pPr>
            <w:r>
              <w:rPr>
                <w:bCs/>
                <w:szCs w:val="21"/>
              </w:rPr>
              <w:t>风险事件</w:t>
            </w:r>
          </w:p>
        </w:tc>
        <w:tc>
          <w:tcPr>
            <w:tcW w:w="1667" w:type="pct"/>
            <w:tcBorders>
              <w:top w:val="single" w:sz="8" w:space="0" w:color="auto"/>
              <w:left w:val="single" w:sz="4" w:space="0" w:color="auto"/>
              <w:bottom w:val="single" w:sz="8" w:space="0" w:color="auto"/>
              <w:right w:val="single" w:sz="4" w:space="0" w:color="auto"/>
            </w:tcBorders>
            <w:vAlign w:val="center"/>
          </w:tcPr>
          <w:p w:rsidR="0073700B" w:rsidRDefault="001A2FFC">
            <w:pPr>
              <w:jc w:val="center"/>
              <w:rPr>
                <w:bCs/>
                <w:szCs w:val="21"/>
              </w:rPr>
            </w:pPr>
            <w:r>
              <w:rPr>
                <w:bCs/>
                <w:szCs w:val="21"/>
              </w:rPr>
              <w:t>依据本标准试算分数</w:t>
            </w:r>
          </w:p>
        </w:tc>
        <w:tc>
          <w:tcPr>
            <w:tcW w:w="1666" w:type="pct"/>
            <w:tcBorders>
              <w:top w:val="single" w:sz="8" w:space="0" w:color="auto"/>
              <w:left w:val="single" w:sz="4" w:space="0" w:color="auto"/>
              <w:bottom w:val="single" w:sz="8" w:space="0" w:color="auto"/>
              <w:right w:val="single" w:sz="8" w:space="0" w:color="auto"/>
            </w:tcBorders>
            <w:vAlign w:val="center"/>
          </w:tcPr>
          <w:p w:rsidR="0073700B" w:rsidRDefault="001A2FFC">
            <w:pPr>
              <w:jc w:val="center"/>
              <w:rPr>
                <w:bCs/>
                <w:szCs w:val="21"/>
              </w:rPr>
            </w:pPr>
            <w:r>
              <w:rPr>
                <w:bCs/>
                <w:szCs w:val="21"/>
              </w:rPr>
              <w:t>依据现行指南评估等级</w:t>
            </w:r>
          </w:p>
        </w:tc>
      </w:tr>
      <w:tr w:rsidR="0073700B">
        <w:trPr>
          <w:jc w:val="center"/>
        </w:trPr>
        <w:tc>
          <w:tcPr>
            <w:tcW w:w="1667" w:type="pct"/>
            <w:vMerge w:val="restart"/>
            <w:tcBorders>
              <w:top w:val="single" w:sz="8" w:space="0" w:color="auto"/>
              <w:left w:val="single" w:sz="8" w:space="0" w:color="auto"/>
            </w:tcBorders>
            <w:vAlign w:val="center"/>
          </w:tcPr>
          <w:p w:rsidR="0073700B" w:rsidRDefault="001A2FFC">
            <w:pPr>
              <w:jc w:val="center"/>
              <w:rPr>
                <w:bCs/>
                <w:szCs w:val="21"/>
              </w:rPr>
            </w:pPr>
            <w:r>
              <w:rPr>
                <w:bCs/>
                <w:szCs w:val="21"/>
              </w:rPr>
              <w:t>坍塌</w:t>
            </w:r>
          </w:p>
        </w:tc>
        <w:tc>
          <w:tcPr>
            <w:tcW w:w="1667" w:type="pct"/>
            <w:tcBorders>
              <w:top w:val="single" w:sz="8" w:space="0" w:color="auto"/>
            </w:tcBorders>
            <w:vAlign w:val="center"/>
          </w:tcPr>
          <w:p w:rsidR="0073700B" w:rsidRDefault="001A2FFC">
            <w:pPr>
              <w:jc w:val="center"/>
              <w:rPr>
                <w:bCs/>
                <w:szCs w:val="21"/>
              </w:rPr>
            </w:pPr>
            <w:r>
              <w:rPr>
                <w:bCs/>
                <w:szCs w:val="21"/>
              </w:rPr>
              <w:t>38</w:t>
            </w:r>
          </w:p>
        </w:tc>
        <w:tc>
          <w:tcPr>
            <w:tcW w:w="1666" w:type="pct"/>
            <w:tcBorders>
              <w:top w:val="single" w:sz="8" w:space="0" w:color="auto"/>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28</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31</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28</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33</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28</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31</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40</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23</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40</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36</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30</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36</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40</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10</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26</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36</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38</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28</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34</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43</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32</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41</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31</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41</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44</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Ⅲ</w:t>
            </w:r>
          </w:p>
        </w:tc>
      </w:tr>
      <w:tr w:rsidR="0073700B">
        <w:trPr>
          <w:jc w:val="center"/>
        </w:trPr>
        <w:tc>
          <w:tcPr>
            <w:tcW w:w="1667" w:type="pct"/>
            <w:vMerge/>
            <w:tcBorders>
              <w:left w:val="single" w:sz="8" w:space="0" w:color="auto"/>
              <w:bottom w:val="single" w:sz="8" w:space="0" w:color="auto"/>
            </w:tcBorders>
            <w:vAlign w:val="center"/>
          </w:tcPr>
          <w:p w:rsidR="0073700B" w:rsidRDefault="0073700B">
            <w:pPr>
              <w:jc w:val="center"/>
              <w:rPr>
                <w:bCs/>
                <w:szCs w:val="21"/>
              </w:rPr>
            </w:pPr>
          </w:p>
        </w:tc>
        <w:tc>
          <w:tcPr>
            <w:tcW w:w="1667" w:type="pct"/>
            <w:tcBorders>
              <w:bottom w:val="single" w:sz="8" w:space="0" w:color="auto"/>
            </w:tcBorders>
            <w:vAlign w:val="center"/>
          </w:tcPr>
          <w:p w:rsidR="0073700B" w:rsidRDefault="001A2FFC">
            <w:pPr>
              <w:jc w:val="center"/>
              <w:rPr>
                <w:bCs/>
                <w:szCs w:val="21"/>
              </w:rPr>
            </w:pPr>
            <w:r>
              <w:rPr>
                <w:bCs/>
                <w:szCs w:val="21"/>
              </w:rPr>
              <w:t>32</w:t>
            </w:r>
          </w:p>
        </w:tc>
        <w:tc>
          <w:tcPr>
            <w:tcW w:w="1666" w:type="pct"/>
            <w:tcBorders>
              <w:bottom w:val="single" w:sz="8" w:space="0" w:color="auto"/>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bl>
    <w:p w:rsidR="0073700B" w:rsidRDefault="001A2FFC" w:rsidP="00F80BAC">
      <w:pPr>
        <w:spacing w:beforeLines="100" w:before="312" w:line="360" w:lineRule="auto"/>
        <w:ind w:firstLineChars="200" w:firstLine="420"/>
        <w:jc w:val="center"/>
        <w:rPr>
          <w:bCs/>
          <w:sz w:val="24"/>
        </w:rPr>
      </w:pPr>
      <w:r>
        <w:rPr>
          <w:noProof/>
        </w:rPr>
        <w:drawing>
          <wp:inline distT="0" distB="0" distL="0" distR="0">
            <wp:extent cx="3381375" cy="2519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381441" cy="2520000"/>
                    </a:xfrm>
                    <a:prstGeom prst="rect">
                      <a:avLst/>
                    </a:prstGeom>
                    <a:noFill/>
                    <a:ln>
                      <a:noFill/>
                    </a:ln>
                  </pic:spPr>
                </pic:pic>
              </a:graphicData>
            </a:graphic>
          </wp:inline>
        </w:drawing>
      </w:r>
    </w:p>
    <w:p w:rsidR="0073700B" w:rsidRDefault="001A2FFC">
      <w:pPr>
        <w:pStyle w:val="a6"/>
        <w:rPr>
          <w:rFonts w:ascii="黑体" w:eastAsia="黑体" w:hAnsi="黑体"/>
          <w:b w:val="0"/>
          <w:bCs/>
        </w:rPr>
      </w:pPr>
      <w:bookmarkStart w:id="70" w:name="_Ref29240542"/>
      <w:r>
        <w:rPr>
          <w:rFonts w:ascii="黑体" w:eastAsia="黑体" w:hAnsi="黑体"/>
          <w:b w:val="0"/>
          <w:bCs/>
        </w:rPr>
        <w:t>图</w:t>
      </w:r>
      <w:bookmarkStart w:id="71" w:name="_Hlk29205536"/>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图</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10</w:t>
      </w:r>
      <w:r>
        <w:rPr>
          <w:rFonts w:ascii="黑体" w:eastAsia="黑体" w:hAnsi="黑体"/>
          <w:b w:val="0"/>
          <w:bCs/>
        </w:rPr>
        <w:fldChar w:fldCharType="end"/>
      </w:r>
      <w:bookmarkEnd w:id="70"/>
      <w:bookmarkEnd w:id="71"/>
      <w:r>
        <w:rPr>
          <w:rFonts w:ascii="黑体" w:eastAsia="黑体" w:hAnsi="黑体"/>
          <w:b w:val="0"/>
          <w:bCs/>
        </w:rPr>
        <w:t xml:space="preserve">  </w:t>
      </w:r>
      <w:r>
        <w:rPr>
          <w:rFonts w:ascii="黑体" w:eastAsia="黑体" w:hAnsi="黑体"/>
          <w:b w:val="0"/>
          <w:bCs/>
        </w:rPr>
        <w:t>隧道施工前坍塌风险事件可能性评估分值累计频率曲线</w:t>
      </w:r>
    </w:p>
    <w:p w:rsidR="0073700B" w:rsidRDefault="001A2FFC" w:rsidP="00F80BAC">
      <w:pPr>
        <w:spacing w:beforeLines="50" w:before="156" w:line="360" w:lineRule="auto"/>
        <w:ind w:firstLineChars="200" w:firstLine="480"/>
        <w:rPr>
          <w:bCs/>
          <w:sz w:val="24"/>
        </w:rPr>
      </w:pPr>
      <w:r>
        <w:rPr>
          <w:rFonts w:hint="eastAsia"/>
          <w:bCs/>
          <w:sz w:val="24"/>
        </w:rPr>
        <w:t>e</w:t>
      </w:r>
      <w:r>
        <w:rPr>
          <w:rFonts w:hint="eastAsia"/>
          <w:bCs/>
          <w:sz w:val="24"/>
        </w:rPr>
        <w:t>）</w:t>
      </w:r>
      <w:r>
        <w:rPr>
          <w:bCs/>
          <w:sz w:val="24"/>
        </w:rPr>
        <w:t>水体情况往往作为补充水体增加涌水突泥风险，故将其作为</w:t>
      </w:r>
      <w:r>
        <w:rPr>
          <w:bCs/>
          <w:sz w:val="24"/>
        </w:rPr>
        <w:t>“</w:t>
      </w:r>
      <w:r>
        <w:rPr>
          <w:bCs/>
          <w:sz w:val="24"/>
        </w:rPr>
        <w:t>扩大修正</w:t>
      </w:r>
      <w:r>
        <w:rPr>
          <w:bCs/>
          <w:sz w:val="24"/>
        </w:rPr>
        <w:t>”</w:t>
      </w:r>
      <w:r>
        <w:rPr>
          <w:bCs/>
          <w:sz w:val="24"/>
        </w:rPr>
        <w:t>系数；不良地质和岩溶发育程度往往与涌水量有直接关系故将其加和作为预测涌水量的</w:t>
      </w:r>
      <w:r>
        <w:rPr>
          <w:bCs/>
          <w:sz w:val="24"/>
        </w:rPr>
        <w:t>“</w:t>
      </w:r>
      <w:r>
        <w:rPr>
          <w:bCs/>
          <w:sz w:val="24"/>
        </w:rPr>
        <w:t>修正</w:t>
      </w:r>
      <w:r>
        <w:rPr>
          <w:bCs/>
          <w:sz w:val="24"/>
        </w:rPr>
        <w:t>”</w:t>
      </w:r>
      <w:r>
        <w:rPr>
          <w:bCs/>
          <w:sz w:val="24"/>
        </w:rPr>
        <w:t>系数，再与周围水体情况确定的系数、修正系数相乘得到被评价施工区段的涌水突泥风险事件可能性等级。</w:t>
      </w:r>
    </w:p>
    <w:p w:rsidR="0073700B" w:rsidRDefault="001A2FFC" w:rsidP="00F80BAC">
      <w:pPr>
        <w:spacing w:beforeLines="50" w:before="156" w:line="360" w:lineRule="auto"/>
        <w:ind w:firstLineChars="200" w:firstLine="480"/>
        <w:rPr>
          <w:bCs/>
          <w:sz w:val="24"/>
        </w:rPr>
      </w:pPr>
      <w:r>
        <w:rPr>
          <w:bCs/>
          <w:sz w:val="24"/>
        </w:rPr>
        <w:t>涌水突泥风险事件案例试算结果</w:t>
      </w:r>
      <w:r>
        <w:rPr>
          <w:bCs/>
          <w:sz w:val="24"/>
          <w:szCs w:val="24"/>
        </w:rPr>
        <w:t>见</w:t>
      </w:r>
      <w:r>
        <w:fldChar w:fldCharType="begin"/>
      </w:r>
      <w:r>
        <w:instrText xml:space="preserve"> REF _Ref29323870 \h  \* MERGEFORMAT </w:instrText>
      </w:r>
      <w:r>
        <w:fldChar w:fldCharType="separate"/>
      </w:r>
      <w:r>
        <w:rPr>
          <w:sz w:val="24"/>
          <w:szCs w:val="24"/>
        </w:rPr>
        <w:t>表</w:t>
      </w:r>
      <w:r>
        <w:rPr>
          <w:sz w:val="24"/>
          <w:szCs w:val="24"/>
        </w:rPr>
        <w:t>6</w:t>
      </w:r>
      <w:r>
        <w:rPr>
          <w:sz w:val="24"/>
          <w:szCs w:val="24"/>
        </w:rPr>
        <w:noBreakHyphen/>
        <w:t>28</w:t>
      </w:r>
      <w:r>
        <w:rPr>
          <w:sz w:val="24"/>
          <w:szCs w:val="24"/>
        </w:rPr>
        <w:fldChar w:fldCharType="end"/>
      </w:r>
      <w:r>
        <w:rPr>
          <w:bCs/>
          <w:sz w:val="24"/>
          <w:szCs w:val="24"/>
        </w:rPr>
        <w:t>和</w:t>
      </w:r>
      <w:r>
        <w:fldChar w:fldCharType="begin"/>
      </w:r>
      <w:r>
        <w:instrText xml:space="preserve"> REF _Ref2</w:instrText>
      </w:r>
      <w:r>
        <w:instrText xml:space="preserve">9240623 \h  \* MERGEFORMAT </w:instrText>
      </w:r>
      <w:r>
        <w:fldChar w:fldCharType="separate"/>
      </w:r>
      <w:r>
        <w:rPr>
          <w:sz w:val="24"/>
          <w:szCs w:val="24"/>
        </w:rPr>
        <w:t>图</w:t>
      </w:r>
      <w:r>
        <w:rPr>
          <w:sz w:val="24"/>
          <w:szCs w:val="24"/>
        </w:rPr>
        <w:t>6</w:t>
      </w:r>
      <w:r>
        <w:rPr>
          <w:sz w:val="24"/>
          <w:szCs w:val="24"/>
        </w:rPr>
        <w:noBreakHyphen/>
        <w:t>11</w:t>
      </w:r>
      <w:r>
        <w:rPr>
          <w:sz w:val="24"/>
          <w:szCs w:val="24"/>
        </w:rPr>
        <w:fldChar w:fldCharType="end"/>
      </w:r>
      <w:r>
        <w:rPr>
          <w:bCs/>
          <w:sz w:val="24"/>
          <w:szCs w:val="24"/>
        </w:rPr>
        <w:t>，搜集的工程评估报告资料中等评估</w:t>
      </w:r>
      <w:proofErr w:type="gramStart"/>
      <w:r>
        <w:rPr>
          <w:bCs/>
          <w:sz w:val="24"/>
          <w:szCs w:val="24"/>
        </w:rPr>
        <w:t>级按照</w:t>
      </w:r>
      <w:proofErr w:type="gramEnd"/>
      <w:r>
        <w:rPr>
          <w:bCs/>
          <w:sz w:val="24"/>
          <w:szCs w:val="24"/>
        </w:rPr>
        <w:t>五级划分，和本标准相同。由</w:t>
      </w:r>
      <w:r>
        <w:fldChar w:fldCharType="begin"/>
      </w:r>
      <w:r>
        <w:instrText xml:space="preserve"> REF _Ref29323870 \h  \* MERGEFORMAT </w:instrText>
      </w:r>
      <w:r>
        <w:fldChar w:fldCharType="separate"/>
      </w:r>
      <w:r>
        <w:rPr>
          <w:sz w:val="24"/>
          <w:szCs w:val="24"/>
        </w:rPr>
        <w:t>表</w:t>
      </w:r>
      <w:r>
        <w:rPr>
          <w:sz w:val="24"/>
          <w:szCs w:val="24"/>
        </w:rPr>
        <w:t>6</w:t>
      </w:r>
      <w:r>
        <w:rPr>
          <w:sz w:val="24"/>
          <w:szCs w:val="24"/>
        </w:rPr>
        <w:noBreakHyphen/>
        <w:t>28</w:t>
      </w:r>
      <w:r>
        <w:rPr>
          <w:sz w:val="24"/>
          <w:szCs w:val="24"/>
        </w:rPr>
        <w:fldChar w:fldCharType="end"/>
      </w:r>
      <w:r>
        <w:rPr>
          <w:bCs/>
          <w:sz w:val="24"/>
          <w:szCs w:val="24"/>
        </w:rPr>
        <w:t>和</w:t>
      </w:r>
      <w:r>
        <w:fldChar w:fldCharType="begin"/>
      </w:r>
      <w:r>
        <w:instrText xml:space="preserve"> REF _Ref29240623 \h  \* MERGEFORMAT </w:instrText>
      </w:r>
      <w:r>
        <w:fldChar w:fldCharType="separate"/>
      </w:r>
      <w:r>
        <w:rPr>
          <w:sz w:val="24"/>
          <w:szCs w:val="24"/>
        </w:rPr>
        <w:t>图</w:t>
      </w:r>
      <w:r>
        <w:rPr>
          <w:sz w:val="24"/>
          <w:szCs w:val="24"/>
        </w:rPr>
        <w:t>6</w:t>
      </w:r>
      <w:r>
        <w:rPr>
          <w:sz w:val="24"/>
          <w:szCs w:val="24"/>
        </w:rPr>
        <w:noBreakHyphen/>
        <w:t>11</w:t>
      </w:r>
      <w:r>
        <w:rPr>
          <w:sz w:val="24"/>
          <w:szCs w:val="24"/>
        </w:rPr>
        <w:fldChar w:fldCharType="end"/>
      </w:r>
      <w:r>
        <w:rPr>
          <w:bCs/>
          <w:sz w:val="24"/>
        </w:rPr>
        <w:t>易知，</w:t>
      </w:r>
      <w:r>
        <w:rPr>
          <w:rFonts w:ascii="宋体" w:hAnsi="宋体" w:cs="宋体" w:hint="eastAsia"/>
          <w:bCs/>
          <w:sz w:val="24"/>
        </w:rPr>
        <w:t>Ⅴ</w:t>
      </w:r>
      <w:r>
        <w:rPr>
          <w:bCs/>
          <w:sz w:val="24"/>
        </w:rPr>
        <w:t>级和</w:t>
      </w:r>
      <w:r>
        <w:rPr>
          <w:rFonts w:ascii="宋体" w:hAnsi="宋体" w:cs="宋体" w:hint="eastAsia"/>
          <w:bCs/>
          <w:sz w:val="24"/>
        </w:rPr>
        <w:t>Ⅳ</w:t>
      </w:r>
      <w:r>
        <w:rPr>
          <w:bCs/>
          <w:sz w:val="24"/>
        </w:rPr>
        <w:t>级的分界点约为</w:t>
      </w:r>
      <w:r>
        <w:rPr>
          <w:bCs/>
          <w:sz w:val="24"/>
        </w:rPr>
        <w:t>5</w:t>
      </w:r>
      <w:r>
        <w:rPr>
          <w:bCs/>
          <w:sz w:val="24"/>
        </w:rPr>
        <w:t>分，对应本标准涌水突泥风险事件可能性评估分值累计频率约为</w:t>
      </w:r>
      <w:r>
        <w:rPr>
          <w:bCs/>
          <w:sz w:val="24"/>
        </w:rPr>
        <w:t>20%</w:t>
      </w:r>
      <w:r>
        <w:rPr>
          <w:bCs/>
          <w:sz w:val="24"/>
        </w:rPr>
        <w:t>，</w:t>
      </w:r>
      <w:r>
        <w:rPr>
          <w:rFonts w:ascii="宋体" w:hAnsi="宋体" w:cs="宋体" w:hint="eastAsia"/>
          <w:bCs/>
          <w:sz w:val="24"/>
        </w:rPr>
        <w:t>Ⅱ</w:t>
      </w:r>
      <w:r>
        <w:rPr>
          <w:bCs/>
          <w:sz w:val="24"/>
        </w:rPr>
        <w:t>级和</w:t>
      </w:r>
      <w:r>
        <w:rPr>
          <w:rFonts w:ascii="宋体" w:hAnsi="宋体" w:cs="宋体" w:hint="eastAsia"/>
          <w:bCs/>
          <w:sz w:val="24"/>
        </w:rPr>
        <w:t>Ⅰ</w:t>
      </w:r>
      <w:r>
        <w:rPr>
          <w:bCs/>
          <w:sz w:val="24"/>
        </w:rPr>
        <w:t>级的分界点约为</w:t>
      </w:r>
      <w:r>
        <w:rPr>
          <w:bCs/>
          <w:sz w:val="24"/>
        </w:rPr>
        <w:t>40</w:t>
      </w:r>
      <w:r>
        <w:rPr>
          <w:bCs/>
          <w:sz w:val="24"/>
        </w:rPr>
        <w:t>分，对应本标准累计频率约为</w:t>
      </w:r>
      <w:r>
        <w:rPr>
          <w:bCs/>
          <w:sz w:val="24"/>
        </w:rPr>
        <w:t>95%</w:t>
      </w:r>
      <w:r>
        <w:rPr>
          <w:bCs/>
          <w:sz w:val="24"/>
        </w:rPr>
        <w:t>。此外，结合坍</w:t>
      </w:r>
      <w:r>
        <w:rPr>
          <w:bCs/>
          <w:sz w:val="24"/>
        </w:rPr>
        <w:t>塌的划分标准，</w:t>
      </w:r>
      <w:bookmarkStart w:id="72" w:name="_Hlk29199368"/>
      <w:r>
        <w:rPr>
          <w:bCs/>
          <w:sz w:val="24"/>
        </w:rPr>
        <w:t>取累计频率占比分别为</w:t>
      </w:r>
      <w:r>
        <w:rPr>
          <w:bCs/>
          <w:sz w:val="24"/>
        </w:rPr>
        <w:t>&lt;20%</w:t>
      </w:r>
      <w:r>
        <w:rPr>
          <w:bCs/>
          <w:sz w:val="24"/>
        </w:rPr>
        <w:t>、</w:t>
      </w:r>
      <w:r>
        <w:rPr>
          <w:bCs/>
          <w:sz w:val="24"/>
        </w:rPr>
        <w:t>20~50%</w:t>
      </w:r>
      <w:r>
        <w:rPr>
          <w:bCs/>
          <w:sz w:val="24"/>
        </w:rPr>
        <w:t>、</w:t>
      </w:r>
      <w:r>
        <w:rPr>
          <w:bCs/>
          <w:sz w:val="24"/>
        </w:rPr>
        <w:t>50~80%</w:t>
      </w:r>
      <w:r>
        <w:rPr>
          <w:bCs/>
          <w:sz w:val="24"/>
        </w:rPr>
        <w:t>、</w:t>
      </w:r>
      <w:r>
        <w:rPr>
          <w:bCs/>
          <w:sz w:val="24"/>
        </w:rPr>
        <w:t>80~95%</w:t>
      </w:r>
      <w:r>
        <w:rPr>
          <w:bCs/>
          <w:sz w:val="24"/>
        </w:rPr>
        <w:t>、</w:t>
      </w:r>
      <w:r>
        <w:rPr>
          <w:bCs/>
          <w:sz w:val="24"/>
        </w:rPr>
        <w:t>&gt;95%</w:t>
      </w:r>
      <w:r>
        <w:rPr>
          <w:bCs/>
          <w:sz w:val="24"/>
        </w:rPr>
        <w:t>作为涌水突泥的五个等级分值区间。</w:t>
      </w:r>
    </w:p>
    <w:p w:rsidR="0073700B" w:rsidRDefault="001A2FFC">
      <w:pPr>
        <w:pStyle w:val="a6"/>
        <w:rPr>
          <w:rFonts w:ascii="黑体" w:eastAsia="黑体" w:hAnsi="黑体"/>
          <w:b w:val="0"/>
          <w:bCs/>
          <w:sz w:val="32"/>
          <w:szCs w:val="32"/>
        </w:rPr>
      </w:pPr>
      <w:bookmarkStart w:id="73" w:name="_Ref29323870"/>
      <w:bookmarkEnd w:id="72"/>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28</w:t>
      </w:r>
      <w:r>
        <w:rPr>
          <w:rFonts w:ascii="黑体" w:eastAsia="黑体" w:hAnsi="黑体"/>
          <w:b w:val="0"/>
          <w:bCs/>
        </w:rPr>
        <w:fldChar w:fldCharType="end"/>
      </w:r>
      <w:bookmarkEnd w:id="73"/>
      <w:r>
        <w:rPr>
          <w:rFonts w:ascii="黑体" w:eastAsia="黑体" w:hAnsi="黑体"/>
          <w:b w:val="0"/>
          <w:bCs/>
        </w:rPr>
        <w:t xml:space="preserve">  </w:t>
      </w:r>
      <w:r>
        <w:rPr>
          <w:rFonts w:ascii="黑体" w:eastAsia="黑体" w:hAnsi="黑体"/>
          <w:b w:val="0"/>
          <w:bCs/>
        </w:rPr>
        <w:t>涌水突泥风险事件试算结果汇总</w:t>
      </w:r>
    </w:p>
    <w:tbl>
      <w:tblPr>
        <w:tblStyle w:val="af1"/>
        <w:tblW w:w="5000" w:type="pct"/>
        <w:jc w:val="center"/>
        <w:tblLook w:val="04A0" w:firstRow="1" w:lastRow="0" w:firstColumn="1" w:lastColumn="0" w:noHBand="0" w:noVBand="1"/>
      </w:tblPr>
      <w:tblGrid>
        <w:gridCol w:w="2832"/>
        <w:gridCol w:w="2832"/>
        <w:gridCol w:w="2830"/>
      </w:tblGrid>
      <w:tr w:rsidR="0073700B">
        <w:trPr>
          <w:jc w:val="center"/>
        </w:trPr>
        <w:tc>
          <w:tcPr>
            <w:tcW w:w="1667" w:type="pct"/>
            <w:tcBorders>
              <w:top w:val="single" w:sz="8" w:space="0" w:color="auto"/>
              <w:left w:val="single" w:sz="8" w:space="0" w:color="auto"/>
              <w:bottom w:val="single" w:sz="8" w:space="0" w:color="auto"/>
              <w:right w:val="single" w:sz="4" w:space="0" w:color="auto"/>
            </w:tcBorders>
            <w:vAlign w:val="center"/>
          </w:tcPr>
          <w:p w:rsidR="0073700B" w:rsidRDefault="001A2FFC">
            <w:pPr>
              <w:jc w:val="center"/>
              <w:rPr>
                <w:bCs/>
                <w:szCs w:val="21"/>
              </w:rPr>
            </w:pPr>
            <w:r>
              <w:rPr>
                <w:bCs/>
                <w:szCs w:val="21"/>
              </w:rPr>
              <w:t>风险事件</w:t>
            </w:r>
          </w:p>
        </w:tc>
        <w:tc>
          <w:tcPr>
            <w:tcW w:w="1667" w:type="pct"/>
            <w:tcBorders>
              <w:top w:val="single" w:sz="8" w:space="0" w:color="auto"/>
              <w:left w:val="single" w:sz="4" w:space="0" w:color="auto"/>
              <w:bottom w:val="single" w:sz="8" w:space="0" w:color="auto"/>
              <w:right w:val="single" w:sz="4" w:space="0" w:color="auto"/>
            </w:tcBorders>
            <w:vAlign w:val="center"/>
          </w:tcPr>
          <w:p w:rsidR="0073700B" w:rsidRDefault="001A2FFC">
            <w:pPr>
              <w:jc w:val="center"/>
              <w:rPr>
                <w:bCs/>
                <w:szCs w:val="21"/>
              </w:rPr>
            </w:pPr>
            <w:r>
              <w:rPr>
                <w:bCs/>
                <w:szCs w:val="21"/>
              </w:rPr>
              <w:t>依据本标准试算分数</w:t>
            </w:r>
          </w:p>
        </w:tc>
        <w:tc>
          <w:tcPr>
            <w:tcW w:w="1666" w:type="pct"/>
            <w:tcBorders>
              <w:top w:val="single" w:sz="8" w:space="0" w:color="auto"/>
              <w:left w:val="single" w:sz="4" w:space="0" w:color="auto"/>
              <w:bottom w:val="single" w:sz="8" w:space="0" w:color="auto"/>
              <w:right w:val="single" w:sz="8" w:space="0" w:color="auto"/>
            </w:tcBorders>
            <w:vAlign w:val="center"/>
          </w:tcPr>
          <w:p w:rsidR="0073700B" w:rsidRDefault="001A2FFC">
            <w:pPr>
              <w:jc w:val="center"/>
              <w:rPr>
                <w:bCs/>
                <w:szCs w:val="21"/>
              </w:rPr>
            </w:pPr>
            <w:r>
              <w:rPr>
                <w:bCs/>
                <w:szCs w:val="21"/>
              </w:rPr>
              <w:t>评估等级</w:t>
            </w:r>
          </w:p>
        </w:tc>
      </w:tr>
      <w:tr w:rsidR="0073700B">
        <w:trPr>
          <w:jc w:val="center"/>
        </w:trPr>
        <w:tc>
          <w:tcPr>
            <w:tcW w:w="1667" w:type="pct"/>
            <w:vMerge w:val="restart"/>
            <w:tcBorders>
              <w:top w:val="single" w:sz="8" w:space="0" w:color="auto"/>
              <w:left w:val="single" w:sz="8" w:space="0" w:color="auto"/>
            </w:tcBorders>
            <w:vAlign w:val="center"/>
          </w:tcPr>
          <w:p w:rsidR="0073700B" w:rsidRDefault="001A2FFC">
            <w:pPr>
              <w:jc w:val="center"/>
              <w:rPr>
                <w:bCs/>
                <w:szCs w:val="21"/>
              </w:rPr>
            </w:pPr>
            <w:r>
              <w:rPr>
                <w:bCs/>
                <w:szCs w:val="21"/>
              </w:rPr>
              <w:t>涌水突泥</w:t>
            </w:r>
          </w:p>
        </w:tc>
        <w:tc>
          <w:tcPr>
            <w:tcW w:w="1667" w:type="pct"/>
            <w:tcBorders>
              <w:top w:val="single" w:sz="8" w:space="0" w:color="auto"/>
            </w:tcBorders>
            <w:vAlign w:val="center"/>
          </w:tcPr>
          <w:p w:rsidR="0073700B" w:rsidRDefault="001A2FFC">
            <w:pPr>
              <w:jc w:val="center"/>
              <w:rPr>
                <w:bCs/>
                <w:szCs w:val="21"/>
              </w:rPr>
            </w:pPr>
            <w:r>
              <w:rPr>
                <w:bCs/>
                <w:szCs w:val="21"/>
              </w:rPr>
              <w:t>3</w:t>
            </w:r>
          </w:p>
        </w:tc>
        <w:tc>
          <w:tcPr>
            <w:tcW w:w="1666" w:type="pct"/>
            <w:tcBorders>
              <w:top w:val="single" w:sz="8" w:space="0" w:color="auto"/>
              <w:right w:val="single" w:sz="8" w:space="0" w:color="auto"/>
            </w:tcBorders>
            <w:vAlign w:val="center"/>
          </w:tcPr>
          <w:p w:rsidR="0073700B" w:rsidRDefault="001A2FFC">
            <w:pPr>
              <w:jc w:val="center"/>
              <w:rPr>
                <w:bCs/>
                <w:szCs w:val="21"/>
              </w:rPr>
            </w:pPr>
            <w:r>
              <w:rPr>
                <w:rFonts w:ascii="宋体" w:hAnsi="宋体" w:cs="宋体" w:hint="eastAsia"/>
                <w:bCs/>
                <w:szCs w:val="21"/>
              </w:rPr>
              <w:t>Ⅴ</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40</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42</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Ⅰ</w:t>
            </w:r>
          </w:p>
        </w:tc>
      </w:tr>
      <w:tr w:rsidR="0073700B">
        <w:trPr>
          <w:jc w:val="center"/>
        </w:trPr>
        <w:tc>
          <w:tcPr>
            <w:tcW w:w="1667" w:type="pct"/>
            <w:vMerge/>
            <w:tcBorders>
              <w:left w:val="single" w:sz="8" w:space="0" w:color="auto"/>
            </w:tcBorders>
            <w:vAlign w:val="center"/>
          </w:tcPr>
          <w:p w:rsidR="0073700B" w:rsidRDefault="0073700B">
            <w:pPr>
              <w:jc w:val="center"/>
              <w:rPr>
                <w:bCs/>
                <w:szCs w:val="21"/>
              </w:rPr>
            </w:pPr>
          </w:p>
        </w:tc>
        <w:tc>
          <w:tcPr>
            <w:tcW w:w="1667" w:type="pct"/>
            <w:vAlign w:val="center"/>
          </w:tcPr>
          <w:p w:rsidR="0073700B" w:rsidRDefault="001A2FFC">
            <w:pPr>
              <w:jc w:val="center"/>
              <w:rPr>
                <w:bCs/>
                <w:szCs w:val="21"/>
              </w:rPr>
            </w:pPr>
            <w:r>
              <w:rPr>
                <w:bCs/>
                <w:szCs w:val="21"/>
              </w:rPr>
              <w:t>8</w:t>
            </w:r>
          </w:p>
        </w:tc>
        <w:tc>
          <w:tcPr>
            <w:tcW w:w="1666" w:type="pct"/>
            <w:tcBorders>
              <w:right w:val="single" w:sz="8" w:space="0" w:color="auto"/>
            </w:tcBorders>
            <w:vAlign w:val="center"/>
          </w:tcPr>
          <w:p w:rsidR="0073700B" w:rsidRDefault="001A2FFC">
            <w:pPr>
              <w:jc w:val="center"/>
              <w:rPr>
                <w:bCs/>
                <w:szCs w:val="21"/>
              </w:rPr>
            </w:pPr>
            <w:r>
              <w:rPr>
                <w:rFonts w:ascii="宋体" w:hAnsi="宋体" w:cs="宋体" w:hint="eastAsia"/>
                <w:bCs/>
                <w:szCs w:val="21"/>
              </w:rPr>
              <w:t>Ⅳ</w:t>
            </w:r>
          </w:p>
        </w:tc>
      </w:tr>
      <w:tr w:rsidR="0073700B">
        <w:trPr>
          <w:jc w:val="center"/>
        </w:trPr>
        <w:tc>
          <w:tcPr>
            <w:tcW w:w="1667" w:type="pct"/>
            <w:vMerge/>
            <w:tcBorders>
              <w:left w:val="single" w:sz="8" w:space="0" w:color="auto"/>
              <w:bottom w:val="single" w:sz="8" w:space="0" w:color="auto"/>
            </w:tcBorders>
            <w:vAlign w:val="center"/>
          </w:tcPr>
          <w:p w:rsidR="0073700B" w:rsidRDefault="0073700B">
            <w:pPr>
              <w:jc w:val="center"/>
              <w:rPr>
                <w:bCs/>
                <w:szCs w:val="21"/>
              </w:rPr>
            </w:pPr>
          </w:p>
        </w:tc>
        <w:tc>
          <w:tcPr>
            <w:tcW w:w="1667" w:type="pct"/>
            <w:tcBorders>
              <w:bottom w:val="single" w:sz="8" w:space="0" w:color="auto"/>
            </w:tcBorders>
            <w:vAlign w:val="center"/>
          </w:tcPr>
          <w:p w:rsidR="0073700B" w:rsidRDefault="001A2FFC">
            <w:pPr>
              <w:jc w:val="center"/>
              <w:rPr>
                <w:bCs/>
                <w:szCs w:val="21"/>
              </w:rPr>
            </w:pPr>
            <w:r>
              <w:rPr>
                <w:bCs/>
                <w:szCs w:val="21"/>
              </w:rPr>
              <w:t>21</w:t>
            </w:r>
          </w:p>
        </w:tc>
        <w:tc>
          <w:tcPr>
            <w:tcW w:w="1666" w:type="pct"/>
            <w:tcBorders>
              <w:bottom w:val="single" w:sz="8" w:space="0" w:color="auto"/>
              <w:right w:val="single" w:sz="8" w:space="0" w:color="auto"/>
            </w:tcBorders>
            <w:vAlign w:val="center"/>
          </w:tcPr>
          <w:p w:rsidR="0073700B" w:rsidRDefault="001A2FFC">
            <w:pPr>
              <w:jc w:val="center"/>
              <w:rPr>
                <w:bCs/>
                <w:szCs w:val="21"/>
              </w:rPr>
            </w:pPr>
            <w:r>
              <w:rPr>
                <w:rFonts w:ascii="宋体" w:hAnsi="宋体" w:cs="宋体" w:hint="eastAsia"/>
                <w:bCs/>
                <w:szCs w:val="21"/>
              </w:rPr>
              <w:t>Ⅱ</w:t>
            </w:r>
          </w:p>
        </w:tc>
      </w:tr>
    </w:tbl>
    <w:p w:rsidR="0073700B" w:rsidRDefault="001A2FFC" w:rsidP="00F80BAC">
      <w:pPr>
        <w:spacing w:beforeLines="100" w:before="312" w:line="360" w:lineRule="auto"/>
        <w:ind w:firstLineChars="200" w:firstLine="420"/>
        <w:jc w:val="center"/>
        <w:rPr>
          <w:bCs/>
          <w:sz w:val="24"/>
        </w:rPr>
      </w:pPr>
      <w:r>
        <w:rPr>
          <w:noProof/>
        </w:rPr>
        <w:lastRenderedPageBreak/>
        <w:drawing>
          <wp:inline distT="0" distB="0" distL="0" distR="0">
            <wp:extent cx="3361055" cy="2519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361349" cy="2520000"/>
                    </a:xfrm>
                    <a:prstGeom prst="rect">
                      <a:avLst/>
                    </a:prstGeom>
                    <a:noFill/>
                    <a:ln>
                      <a:noFill/>
                    </a:ln>
                  </pic:spPr>
                </pic:pic>
              </a:graphicData>
            </a:graphic>
          </wp:inline>
        </w:drawing>
      </w:r>
    </w:p>
    <w:p w:rsidR="0073700B" w:rsidRDefault="001A2FFC">
      <w:pPr>
        <w:pStyle w:val="a6"/>
        <w:rPr>
          <w:rFonts w:ascii="黑体" w:eastAsia="黑体" w:hAnsi="黑体"/>
          <w:b w:val="0"/>
          <w:bCs/>
          <w:szCs w:val="20"/>
        </w:rPr>
      </w:pPr>
      <w:bookmarkStart w:id="74" w:name="_Ref29240623"/>
      <w:r>
        <w:rPr>
          <w:rFonts w:ascii="黑体" w:eastAsia="黑体" w:hAnsi="黑体"/>
          <w:b w:val="0"/>
          <w:bCs/>
          <w:szCs w:val="20"/>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11</w:t>
      </w:r>
      <w:r>
        <w:rPr>
          <w:rFonts w:ascii="黑体" w:eastAsia="黑体" w:hAnsi="黑体"/>
          <w:b w:val="0"/>
          <w:bCs/>
          <w:szCs w:val="32"/>
        </w:rPr>
        <w:fldChar w:fldCharType="end"/>
      </w:r>
      <w:bookmarkEnd w:id="74"/>
      <w:r>
        <w:rPr>
          <w:rFonts w:ascii="黑体" w:eastAsia="黑体" w:hAnsi="黑体"/>
          <w:b w:val="0"/>
          <w:bCs/>
          <w:szCs w:val="20"/>
        </w:rPr>
        <w:t xml:space="preserve">  </w:t>
      </w:r>
      <w:bookmarkStart w:id="75" w:name="_Hlk29197099"/>
      <w:r>
        <w:rPr>
          <w:rFonts w:ascii="黑体" w:eastAsia="黑体" w:hAnsi="黑体"/>
          <w:b w:val="0"/>
          <w:bCs/>
          <w:szCs w:val="20"/>
        </w:rPr>
        <w:t>隧道施工前涌水突泥风险事件可能性评估分值累计频率曲线</w:t>
      </w:r>
      <w:bookmarkEnd w:id="75"/>
    </w:p>
    <w:p w:rsidR="0073700B" w:rsidRDefault="001A2FFC" w:rsidP="00F80BAC">
      <w:pPr>
        <w:spacing w:beforeLines="50" w:before="156" w:line="360" w:lineRule="auto"/>
        <w:ind w:firstLineChars="200" w:firstLine="480"/>
        <w:rPr>
          <w:bCs/>
          <w:sz w:val="24"/>
        </w:rPr>
      </w:pPr>
      <w:r>
        <w:rPr>
          <w:rFonts w:hint="eastAsia"/>
          <w:bCs/>
          <w:sz w:val="24"/>
        </w:rPr>
        <w:t>f</w:t>
      </w:r>
      <w:r>
        <w:rPr>
          <w:rFonts w:hint="eastAsia"/>
          <w:bCs/>
          <w:sz w:val="24"/>
        </w:rPr>
        <w:t>）</w:t>
      </w:r>
      <w:r>
        <w:rPr>
          <w:bCs/>
          <w:sz w:val="24"/>
        </w:rPr>
        <w:t>将断层破碎带宽度、预测涌水量作为围岩级别的修正系数，主要考虑到两者会在一定程度上弱化围岩强度。隧道开挖跨度、浅埋隧道偏压角度、围岩级别、地应力是引发大变形事故的重要因素，将四者进行加和，与修正系数相乘得到被评价施工区段的大变形风险事件可能性等级。</w:t>
      </w:r>
    </w:p>
    <w:p w:rsidR="0073700B" w:rsidRDefault="001A2FFC" w:rsidP="00F80BAC">
      <w:pPr>
        <w:spacing w:beforeLines="50" w:before="156" w:line="360" w:lineRule="auto"/>
        <w:ind w:firstLineChars="200" w:firstLine="420"/>
        <w:rPr>
          <w:bCs/>
          <w:sz w:val="24"/>
        </w:rPr>
      </w:pPr>
      <w:r>
        <w:fldChar w:fldCharType="begin"/>
      </w:r>
      <w:r>
        <w:instrText xml:space="preserve"> REF _Ref29240470 \h  \* MERGEFORMAT </w:instrText>
      </w:r>
      <w:r>
        <w:fldChar w:fldCharType="separate"/>
      </w:r>
      <w:r>
        <w:rPr>
          <w:sz w:val="24"/>
          <w:szCs w:val="20"/>
        </w:rPr>
        <w:t>图</w:t>
      </w:r>
      <w:r>
        <w:rPr>
          <w:sz w:val="24"/>
          <w:szCs w:val="28"/>
        </w:rPr>
        <w:t>6</w:t>
      </w:r>
      <w:r>
        <w:rPr>
          <w:sz w:val="24"/>
          <w:szCs w:val="28"/>
        </w:rPr>
        <w:noBreakHyphen/>
        <w:t>12</w:t>
      </w:r>
      <w:r>
        <w:rPr>
          <w:sz w:val="24"/>
          <w:szCs w:val="28"/>
        </w:rPr>
        <w:fldChar w:fldCharType="end"/>
      </w:r>
      <w:r>
        <w:rPr>
          <w:bCs/>
          <w:sz w:val="24"/>
        </w:rPr>
        <w:t>为隧道施工前大变形风险事件可能性评估分值累计频率曲线，参考坍塌的划分标准，取累计频率曲线占比分别为</w:t>
      </w:r>
      <w:r>
        <w:rPr>
          <w:bCs/>
          <w:sz w:val="24"/>
        </w:rPr>
        <w:t>&lt;3%</w:t>
      </w:r>
      <w:r>
        <w:rPr>
          <w:bCs/>
          <w:sz w:val="24"/>
        </w:rPr>
        <w:t>、</w:t>
      </w:r>
      <w:r>
        <w:rPr>
          <w:bCs/>
          <w:sz w:val="24"/>
        </w:rPr>
        <w:t>3~20%</w:t>
      </w:r>
      <w:r>
        <w:rPr>
          <w:bCs/>
          <w:sz w:val="24"/>
        </w:rPr>
        <w:t>、</w:t>
      </w:r>
      <w:r>
        <w:rPr>
          <w:bCs/>
          <w:sz w:val="24"/>
        </w:rPr>
        <w:t>20~50%</w:t>
      </w:r>
      <w:r>
        <w:rPr>
          <w:bCs/>
          <w:sz w:val="24"/>
        </w:rPr>
        <w:t>、</w:t>
      </w:r>
      <w:r>
        <w:rPr>
          <w:bCs/>
          <w:sz w:val="24"/>
        </w:rPr>
        <w:t>50~80%</w:t>
      </w:r>
      <w:r>
        <w:rPr>
          <w:bCs/>
          <w:sz w:val="24"/>
        </w:rPr>
        <w:t>、</w:t>
      </w:r>
      <w:r>
        <w:rPr>
          <w:bCs/>
          <w:sz w:val="24"/>
        </w:rPr>
        <w:t>&gt;80%</w:t>
      </w:r>
      <w:r>
        <w:rPr>
          <w:bCs/>
          <w:sz w:val="24"/>
        </w:rPr>
        <w:t>作为大变形的五个等级区间。</w:t>
      </w:r>
    </w:p>
    <w:p w:rsidR="0073700B" w:rsidRDefault="001A2FFC">
      <w:pPr>
        <w:spacing w:line="360" w:lineRule="auto"/>
        <w:ind w:firstLineChars="200" w:firstLine="420"/>
        <w:jc w:val="center"/>
        <w:rPr>
          <w:bCs/>
          <w:sz w:val="24"/>
        </w:rPr>
      </w:pPr>
      <w:r>
        <w:rPr>
          <w:noProof/>
        </w:rPr>
        <w:drawing>
          <wp:inline distT="0" distB="0" distL="0" distR="0">
            <wp:extent cx="3361055" cy="25196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361349" cy="2520000"/>
                    </a:xfrm>
                    <a:prstGeom prst="rect">
                      <a:avLst/>
                    </a:prstGeom>
                    <a:noFill/>
                    <a:ln>
                      <a:noFill/>
                    </a:ln>
                  </pic:spPr>
                </pic:pic>
              </a:graphicData>
            </a:graphic>
          </wp:inline>
        </w:drawing>
      </w:r>
    </w:p>
    <w:p w:rsidR="0073700B" w:rsidRDefault="001A2FFC">
      <w:pPr>
        <w:pStyle w:val="a6"/>
        <w:rPr>
          <w:rFonts w:ascii="黑体" w:eastAsia="黑体" w:hAnsi="黑体"/>
          <w:b w:val="0"/>
          <w:bCs/>
          <w:szCs w:val="20"/>
        </w:rPr>
      </w:pPr>
      <w:bookmarkStart w:id="76" w:name="_Ref29240470"/>
      <w:r>
        <w:rPr>
          <w:rFonts w:ascii="黑体" w:eastAsia="黑体" w:hAnsi="黑体"/>
          <w:b w:val="0"/>
          <w:bCs/>
          <w:szCs w:val="20"/>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12</w:t>
      </w:r>
      <w:r>
        <w:rPr>
          <w:rFonts w:ascii="黑体" w:eastAsia="黑体" w:hAnsi="黑体"/>
          <w:b w:val="0"/>
          <w:bCs/>
          <w:szCs w:val="32"/>
        </w:rPr>
        <w:fldChar w:fldCharType="end"/>
      </w:r>
      <w:bookmarkEnd w:id="76"/>
      <w:r>
        <w:rPr>
          <w:rFonts w:ascii="黑体" w:eastAsia="黑体" w:hAnsi="黑体"/>
          <w:b w:val="0"/>
          <w:bCs/>
          <w:szCs w:val="20"/>
        </w:rPr>
        <w:t xml:space="preserve">  </w:t>
      </w:r>
      <w:r>
        <w:rPr>
          <w:rFonts w:ascii="黑体" w:eastAsia="黑体" w:hAnsi="黑体"/>
          <w:b w:val="0"/>
          <w:bCs/>
          <w:szCs w:val="20"/>
        </w:rPr>
        <w:t>隧道施工前大变形风险事件可能性评估分值累计频率曲线</w:t>
      </w:r>
    </w:p>
    <w:p w:rsidR="0073700B" w:rsidRDefault="001A2FFC" w:rsidP="00F80BAC">
      <w:pPr>
        <w:spacing w:beforeLines="50" w:before="156" w:line="360" w:lineRule="auto"/>
        <w:ind w:firstLineChars="200" w:firstLine="480"/>
        <w:rPr>
          <w:bCs/>
          <w:sz w:val="24"/>
        </w:rPr>
      </w:pPr>
      <w:r>
        <w:rPr>
          <w:rFonts w:hint="eastAsia"/>
          <w:bCs/>
          <w:sz w:val="24"/>
        </w:rPr>
        <w:t>g</w:t>
      </w:r>
      <w:r>
        <w:rPr>
          <w:rFonts w:hint="eastAsia"/>
          <w:bCs/>
          <w:sz w:val="24"/>
        </w:rPr>
        <w:t>）</w:t>
      </w:r>
      <w:r>
        <w:rPr>
          <w:bCs/>
          <w:sz w:val="24"/>
        </w:rPr>
        <w:t>将瓦斯压力作为瓦斯涌出量的</w:t>
      </w:r>
      <w:r>
        <w:rPr>
          <w:bCs/>
          <w:sz w:val="24"/>
        </w:rPr>
        <w:t>“</w:t>
      </w:r>
      <w:r>
        <w:rPr>
          <w:bCs/>
          <w:sz w:val="24"/>
        </w:rPr>
        <w:t>修正</w:t>
      </w:r>
      <w:r>
        <w:rPr>
          <w:bCs/>
          <w:sz w:val="24"/>
        </w:rPr>
        <w:t>”</w:t>
      </w:r>
      <w:r>
        <w:rPr>
          <w:bCs/>
          <w:sz w:val="24"/>
        </w:rPr>
        <w:t>系数，是因为压力越大则单位时间内隧道瓦斯涌出量越多；将隧道距</w:t>
      </w:r>
      <w:r>
        <w:rPr>
          <w:bCs/>
          <w:color w:val="000000"/>
          <w:kern w:val="0"/>
          <w:sz w:val="24"/>
          <w:szCs w:val="36"/>
        </w:rPr>
        <w:t>煤层</w:t>
      </w:r>
      <w:r>
        <w:rPr>
          <w:bCs/>
          <w:sz w:val="24"/>
        </w:rPr>
        <w:t>距离作为煤层厚度的</w:t>
      </w:r>
      <w:r>
        <w:rPr>
          <w:bCs/>
          <w:sz w:val="24"/>
        </w:rPr>
        <w:t>“</w:t>
      </w:r>
      <w:r>
        <w:rPr>
          <w:bCs/>
          <w:sz w:val="24"/>
        </w:rPr>
        <w:t>修正</w:t>
      </w:r>
      <w:r>
        <w:rPr>
          <w:bCs/>
          <w:sz w:val="24"/>
        </w:rPr>
        <w:t>”</w:t>
      </w:r>
      <w:r>
        <w:rPr>
          <w:bCs/>
          <w:sz w:val="24"/>
        </w:rPr>
        <w:t>系数，是因</w:t>
      </w:r>
      <w:r>
        <w:rPr>
          <w:bCs/>
          <w:sz w:val="24"/>
        </w:rPr>
        <w:lastRenderedPageBreak/>
        <w:t>为隧道距</w:t>
      </w:r>
      <w:r>
        <w:rPr>
          <w:bCs/>
          <w:color w:val="000000"/>
          <w:kern w:val="0"/>
          <w:sz w:val="24"/>
          <w:szCs w:val="36"/>
        </w:rPr>
        <w:t>煤层</w:t>
      </w:r>
      <w:r>
        <w:rPr>
          <w:bCs/>
          <w:sz w:val="24"/>
        </w:rPr>
        <w:t>距离越小，煤层厚度才会对隧道施工安全的威胁越大，发生瓦斯爆炸的风险越大。两指标分别与对应的</w:t>
      </w:r>
      <w:r>
        <w:rPr>
          <w:bCs/>
          <w:sz w:val="24"/>
        </w:rPr>
        <w:t>“</w:t>
      </w:r>
      <w:r>
        <w:rPr>
          <w:bCs/>
          <w:sz w:val="24"/>
        </w:rPr>
        <w:t>修正</w:t>
      </w:r>
      <w:r>
        <w:rPr>
          <w:bCs/>
          <w:sz w:val="24"/>
        </w:rPr>
        <w:t>”</w:t>
      </w:r>
      <w:r>
        <w:rPr>
          <w:bCs/>
          <w:sz w:val="24"/>
        </w:rPr>
        <w:t>系数相乘后再相加，得到被评价施工区段的瓦斯爆炸风险事件可能性等级。</w:t>
      </w:r>
    </w:p>
    <w:p w:rsidR="0073700B" w:rsidRDefault="001A2FFC" w:rsidP="00F80BAC">
      <w:pPr>
        <w:spacing w:beforeLines="50" w:before="156" w:line="360" w:lineRule="auto"/>
        <w:ind w:firstLineChars="200" w:firstLine="420"/>
        <w:rPr>
          <w:bCs/>
          <w:sz w:val="24"/>
        </w:rPr>
      </w:pPr>
      <w:r>
        <w:fldChar w:fldCharType="begin"/>
      </w:r>
      <w:r>
        <w:instrText xml:space="preserve"> REF _Ref29240707 \h  \* MERGEFORMAT </w:instrText>
      </w:r>
      <w:r>
        <w:fldChar w:fldCharType="separate"/>
      </w:r>
      <w:r>
        <w:rPr>
          <w:sz w:val="24"/>
          <w:szCs w:val="20"/>
        </w:rPr>
        <w:t>图</w:t>
      </w:r>
      <w:r>
        <w:rPr>
          <w:sz w:val="24"/>
          <w:szCs w:val="28"/>
        </w:rPr>
        <w:t>6</w:t>
      </w:r>
      <w:r>
        <w:rPr>
          <w:sz w:val="24"/>
          <w:szCs w:val="28"/>
        </w:rPr>
        <w:noBreakHyphen/>
        <w:t>13</w:t>
      </w:r>
      <w:r>
        <w:rPr>
          <w:sz w:val="24"/>
          <w:szCs w:val="28"/>
        </w:rPr>
        <w:fldChar w:fldCharType="end"/>
      </w:r>
      <w:r>
        <w:rPr>
          <w:bCs/>
          <w:sz w:val="24"/>
        </w:rPr>
        <w:t>为隧道施工前瓦斯爆炸风险事件可能性评估分值累计频率曲线，参考</w:t>
      </w:r>
      <w:bookmarkStart w:id="77" w:name="_Hlk29204387"/>
      <w:r>
        <w:rPr>
          <w:bCs/>
          <w:sz w:val="24"/>
        </w:rPr>
        <w:t>坍塌的划分标准</w:t>
      </w:r>
      <w:bookmarkEnd w:id="77"/>
      <w:r>
        <w:rPr>
          <w:bCs/>
          <w:sz w:val="24"/>
        </w:rPr>
        <w:t>，取</w:t>
      </w:r>
      <w:bookmarkStart w:id="78" w:name="_Hlk29204448"/>
      <w:r>
        <w:rPr>
          <w:bCs/>
          <w:sz w:val="24"/>
        </w:rPr>
        <w:t>累计频率曲线占比分别为</w:t>
      </w:r>
      <w:r>
        <w:rPr>
          <w:bCs/>
          <w:sz w:val="24"/>
        </w:rPr>
        <w:t>&lt;3%</w:t>
      </w:r>
      <w:r>
        <w:rPr>
          <w:bCs/>
          <w:sz w:val="24"/>
        </w:rPr>
        <w:t>、</w:t>
      </w:r>
      <w:r>
        <w:rPr>
          <w:bCs/>
          <w:sz w:val="24"/>
        </w:rPr>
        <w:t>3~20%</w:t>
      </w:r>
      <w:r>
        <w:rPr>
          <w:bCs/>
          <w:sz w:val="24"/>
        </w:rPr>
        <w:t>、</w:t>
      </w:r>
      <w:r>
        <w:rPr>
          <w:bCs/>
          <w:sz w:val="24"/>
        </w:rPr>
        <w:t>20~50</w:t>
      </w:r>
      <w:r>
        <w:rPr>
          <w:bCs/>
          <w:sz w:val="24"/>
        </w:rPr>
        <w:t>%</w:t>
      </w:r>
      <w:r>
        <w:rPr>
          <w:bCs/>
          <w:sz w:val="24"/>
        </w:rPr>
        <w:t>、</w:t>
      </w:r>
      <w:r>
        <w:rPr>
          <w:bCs/>
          <w:sz w:val="24"/>
        </w:rPr>
        <w:t>50~80%</w:t>
      </w:r>
      <w:r>
        <w:rPr>
          <w:bCs/>
          <w:sz w:val="24"/>
        </w:rPr>
        <w:t>、</w:t>
      </w:r>
      <w:r>
        <w:rPr>
          <w:bCs/>
          <w:sz w:val="24"/>
        </w:rPr>
        <w:t>&gt;80%</w:t>
      </w:r>
      <w:r>
        <w:rPr>
          <w:bCs/>
          <w:sz w:val="24"/>
        </w:rPr>
        <w:t>作为瓦斯爆炸的五个等级区间</w:t>
      </w:r>
      <w:bookmarkEnd w:id="78"/>
      <w:r>
        <w:rPr>
          <w:bCs/>
          <w:sz w:val="24"/>
        </w:rPr>
        <w:t>。</w:t>
      </w:r>
    </w:p>
    <w:p w:rsidR="0073700B" w:rsidRDefault="001A2FFC">
      <w:pPr>
        <w:spacing w:line="360" w:lineRule="auto"/>
        <w:ind w:firstLineChars="200" w:firstLine="420"/>
        <w:jc w:val="center"/>
        <w:rPr>
          <w:bCs/>
          <w:sz w:val="24"/>
        </w:rPr>
      </w:pPr>
      <w:r>
        <w:rPr>
          <w:noProof/>
        </w:rPr>
        <w:drawing>
          <wp:inline distT="0" distB="0" distL="0" distR="0">
            <wp:extent cx="3411855" cy="2519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412312" cy="2520000"/>
                    </a:xfrm>
                    <a:prstGeom prst="rect">
                      <a:avLst/>
                    </a:prstGeom>
                    <a:noFill/>
                    <a:ln>
                      <a:noFill/>
                    </a:ln>
                  </pic:spPr>
                </pic:pic>
              </a:graphicData>
            </a:graphic>
          </wp:inline>
        </w:drawing>
      </w:r>
    </w:p>
    <w:p w:rsidR="0073700B" w:rsidRDefault="001A2FFC">
      <w:pPr>
        <w:pStyle w:val="a6"/>
        <w:rPr>
          <w:rFonts w:ascii="黑体" w:eastAsia="黑体" w:hAnsi="黑体"/>
          <w:b w:val="0"/>
          <w:bCs/>
          <w:szCs w:val="20"/>
        </w:rPr>
      </w:pPr>
      <w:bookmarkStart w:id="79" w:name="_Ref29240707"/>
      <w:r>
        <w:rPr>
          <w:rFonts w:ascii="黑体" w:eastAsia="黑体" w:hAnsi="黑体"/>
          <w:b w:val="0"/>
          <w:bCs/>
          <w:szCs w:val="20"/>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13</w:t>
      </w:r>
      <w:r>
        <w:rPr>
          <w:rFonts w:ascii="黑体" w:eastAsia="黑体" w:hAnsi="黑体"/>
          <w:b w:val="0"/>
          <w:bCs/>
          <w:szCs w:val="32"/>
        </w:rPr>
        <w:fldChar w:fldCharType="end"/>
      </w:r>
      <w:bookmarkEnd w:id="79"/>
      <w:r>
        <w:rPr>
          <w:rFonts w:ascii="黑体" w:eastAsia="黑体" w:hAnsi="黑体"/>
          <w:b w:val="0"/>
          <w:bCs/>
          <w:szCs w:val="20"/>
        </w:rPr>
        <w:t xml:space="preserve">  </w:t>
      </w:r>
      <w:r>
        <w:rPr>
          <w:rFonts w:ascii="黑体" w:eastAsia="黑体" w:hAnsi="黑体"/>
          <w:b w:val="0"/>
          <w:bCs/>
          <w:szCs w:val="20"/>
        </w:rPr>
        <w:t>隧道施工前瓦斯爆炸风险事件可能性评估分值累计频率曲线</w:t>
      </w:r>
    </w:p>
    <w:p w:rsidR="0073700B" w:rsidRDefault="001A2FFC" w:rsidP="00F80BAC">
      <w:pPr>
        <w:spacing w:beforeLines="50" w:before="156" w:line="360" w:lineRule="auto"/>
        <w:ind w:firstLineChars="200" w:firstLine="480"/>
        <w:rPr>
          <w:bCs/>
          <w:sz w:val="24"/>
        </w:rPr>
      </w:pPr>
      <w:r>
        <w:rPr>
          <w:rFonts w:hint="eastAsia"/>
          <w:bCs/>
          <w:sz w:val="24"/>
        </w:rPr>
        <w:t>h</w:t>
      </w:r>
      <w:r>
        <w:rPr>
          <w:rFonts w:hint="eastAsia"/>
          <w:bCs/>
          <w:sz w:val="24"/>
        </w:rPr>
        <w:t>）</w:t>
      </w:r>
      <w:r>
        <w:rPr>
          <w:bCs/>
          <w:sz w:val="24"/>
        </w:rPr>
        <w:t>三个指标从不同角度揭示岩爆影响因素，其中地应力是诱发岩爆关键指标，将岩体质量指标</w:t>
      </w:r>
      <w:r>
        <w:rPr>
          <w:bCs/>
          <w:sz w:val="24"/>
        </w:rPr>
        <w:t>RQD</w:t>
      </w:r>
      <w:r>
        <w:rPr>
          <w:bCs/>
          <w:sz w:val="24"/>
        </w:rPr>
        <w:t>、岩石单轴饱和抗压强度作为地应力的系数来处理，三者之积再与修正系数相乘，就可得到被评估区段的岩爆风险事件可能性等级。</w:t>
      </w:r>
    </w:p>
    <w:p w:rsidR="0073700B" w:rsidRDefault="001A2FFC" w:rsidP="00F80BAC">
      <w:pPr>
        <w:spacing w:beforeLines="50" w:before="156" w:line="360" w:lineRule="auto"/>
        <w:ind w:firstLineChars="200" w:firstLine="420"/>
        <w:rPr>
          <w:bCs/>
          <w:sz w:val="24"/>
        </w:rPr>
      </w:pPr>
      <w:r>
        <w:fldChar w:fldCharType="begin"/>
      </w:r>
      <w:r>
        <w:instrText xml:space="preserve"> REF _Ref29240743 \h  \* MERGEFORMAT </w:instrText>
      </w:r>
      <w:r>
        <w:fldChar w:fldCharType="separate"/>
      </w:r>
      <w:r>
        <w:rPr>
          <w:sz w:val="24"/>
          <w:szCs w:val="24"/>
        </w:rPr>
        <w:t>图</w:t>
      </w:r>
      <w:r>
        <w:rPr>
          <w:sz w:val="24"/>
          <w:szCs w:val="24"/>
        </w:rPr>
        <w:t>6</w:t>
      </w:r>
      <w:r>
        <w:rPr>
          <w:sz w:val="24"/>
          <w:szCs w:val="24"/>
        </w:rPr>
        <w:noBreakHyphen/>
        <w:t>14</w:t>
      </w:r>
      <w:r>
        <w:rPr>
          <w:sz w:val="24"/>
          <w:szCs w:val="24"/>
        </w:rPr>
        <w:fldChar w:fldCharType="end"/>
      </w:r>
      <w:r>
        <w:rPr>
          <w:bCs/>
          <w:sz w:val="24"/>
        </w:rPr>
        <w:t>为隧道施工前岩爆风险事件可能性评估分值累计频率曲线，参考涌水突泥的划分标准，取累计频率曲线占比分别为</w:t>
      </w:r>
      <w:r>
        <w:rPr>
          <w:bCs/>
          <w:sz w:val="24"/>
        </w:rPr>
        <w:t>&lt;20%</w:t>
      </w:r>
      <w:r>
        <w:rPr>
          <w:bCs/>
          <w:sz w:val="24"/>
        </w:rPr>
        <w:t>、</w:t>
      </w:r>
      <w:r>
        <w:rPr>
          <w:bCs/>
          <w:sz w:val="24"/>
        </w:rPr>
        <w:t>20~50%</w:t>
      </w:r>
      <w:r>
        <w:rPr>
          <w:bCs/>
          <w:sz w:val="24"/>
        </w:rPr>
        <w:t>、</w:t>
      </w:r>
      <w:r>
        <w:rPr>
          <w:bCs/>
          <w:sz w:val="24"/>
        </w:rPr>
        <w:t>50~80%</w:t>
      </w:r>
      <w:r>
        <w:rPr>
          <w:bCs/>
          <w:sz w:val="24"/>
        </w:rPr>
        <w:t>、</w:t>
      </w:r>
      <w:r>
        <w:rPr>
          <w:bCs/>
          <w:sz w:val="24"/>
        </w:rPr>
        <w:t>80~95%</w:t>
      </w:r>
      <w:r>
        <w:rPr>
          <w:bCs/>
          <w:sz w:val="24"/>
        </w:rPr>
        <w:t>、</w:t>
      </w:r>
      <w:r>
        <w:rPr>
          <w:bCs/>
          <w:sz w:val="24"/>
        </w:rPr>
        <w:t>&gt;95%</w:t>
      </w:r>
      <w:r>
        <w:rPr>
          <w:bCs/>
          <w:sz w:val="24"/>
        </w:rPr>
        <w:t>作为岩爆的五个等级区间。</w:t>
      </w:r>
    </w:p>
    <w:p w:rsidR="0073700B" w:rsidRDefault="001A2FFC">
      <w:pPr>
        <w:spacing w:line="360" w:lineRule="auto"/>
        <w:ind w:firstLineChars="200" w:firstLine="420"/>
        <w:jc w:val="center"/>
        <w:rPr>
          <w:bCs/>
          <w:sz w:val="24"/>
        </w:rPr>
      </w:pPr>
      <w:r>
        <w:rPr>
          <w:noProof/>
        </w:rPr>
        <w:lastRenderedPageBreak/>
        <w:drawing>
          <wp:inline distT="0" distB="0" distL="0" distR="0">
            <wp:extent cx="3588385" cy="25196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589012" cy="2520000"/>
                    </a:xfrm>
                    <a:prstGeom prst="rect">
                      <a:avLst/>
                    </a:prstGeom>
                    <a:noFill/>
                    <a:ln>
                      <a:noFill/>
                    </a:ln>
                  </pic:spPr>
                </pic:pic>
              </a:graphicData>
            </a:graphic>
          </wp:inline>
        </w:drawing>
      </w:r>
    </w:p>
    <w:p w:rsidR="0073700B" w:rsidRDefault="001A2FFC">
      <w:pPr>
        <w:pStyle w:val="a6"/>
        <w:rPr>
          <w:rFonts w:ascii="黑体" w:eastAsia="黑体" w:hAnsi="黑体"/>
          <w:b w:val="0"/>
          <w:bCs/>
          <w:szCs w:val="20"/>
        </w:rPr>
      </w:pPr>
      <w:bookmarkStart w:id="80" w:name="_Ref29240743"/>
      <w:r>
        <w:rPr>
          <w:rFonts w:ascii="黑体" w:eastAsia="黑体" w:hAnsi="黑体"/>
          <w:b w:val="0"/>
          <w:bCs/>
          <w:szCs w:val="20"/>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14</w:t>
      </w:r>
      <w:r>
        <w:rPr>
          <w:rFonts w:ascii="黑体" w:eastAsia="黑体" w:hAnsi="黑体"/>
          <w:b w:val="0"/>
          <w:bCs/>
          <w:szCs w:val="32"/>
        </w:rPr>
        <w:fldChar w:fldCharType="end"/>
      </w:r>
      <w:bookmarkEnd w:id="80"/>
      <w:r>
        <w:rPr>
          <w:rFonts w:ascii="黑体" w:eastAsia="黑体" w:hAnsi="黑体"/>
          <w:b w:val="0"/>
          <w:bCs/>
          <w:szCs w:val="20"/>
        </w:rPr>
        <w:t xml:space="preserve">  </w:t>
      </w:r>
      <w:r>
        <w:rPr>
          <w:rFonts w:ascii="黑体" w:eastAsia="黑体" w:hAnsi="黑体"/>
          <w:b w:val="0"/>
          <w:bCs/>
          <w:szCs w:val="20"/>
        </w:rPr>
        <w:t>隧道施工前岩爆风险事件可能性评估分值累计频率曲线</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③</w:t>
      </w:r>
      <w:r>
        <w:rPr>
          <w:bCs/>
          <w:color w:val="000000"/>
          <w:sz w:val="24"/>
          <w:szCs w:val="24"/>
        </w:rPr>
        <w:t>施工过程重大风险源估测</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a</w:t>
      </w:r>
      <w:r>
        <w:rPr>
          <w:rFonts w:hint="eastAsia"/>
          <w:bCs/>
          <w:color w:val="000000"/>
          <w:sz w:val="24"/>
          <w:szCs w:val="24"/>
        </w:rPr>
        <w:t>）</w:t>
      </w:r>
      <w:r>
        <w:rPr>
          <w:bCs/>
          <w:color w:val="000000"/>
          <w:sz w:val="24"/>
          <w:szCs w:val="24"/>
        </w:rPr>
        <w:t>本标准建立了隧道洞口失稳、坍塌、涌水突泥、大变形、瓦斯爆炸、岩爆</w:t>
      </w:r>
      <w:r>
        <w:rPr>
          <w:bCs/>
          <w:color w:val="000000"/>
          <w:sz w:val="24"/>
          <w:szCs w:val="24"/>
        </w:rPr>
        <w:t>6</w:t>
      </w:r>
      <w:r>
        <w:rPr>
          <w:bCs/>
          <w:color w:val="000000"/>
          <w:sz w:val="24"/>
          <w:szCs w:val="24"/>
        </w:rPr>
        <w:t>个施工过程风险事件可能性评估指标体系。与施工前的不同之处在于，施工过程引入了地质超前预报、监控量测等动态指标。参照相关标准规范和隧道实际工程经验，对施工过程隧道洞口失稳、坍塌、涌水突泥、大变形、瓦斯爆炸、岩爆等</w:t>
      </w:r>
      <w:r>
        <w:rPr>
          <w:bCs/>
          <w:color w:val="000000"/>
          <w:sz w:val="24"/>
          <w:szCs w:val="24"/>
        </w:rPr>
        <w:t>6</w:t>
      </w:r>
      <w:r>
        <w:rPr>
          <w:bCs/>
          <w:color w:val="000000"/>
          <w:sz w:val="24"/>
          <w:szCs w:val="24"/>
        </w:rPr>
        <w:t>个风险事件可能性评价指标体系作出说明，见附录</w:t>
      </w:r>
      <w:r>
        <w:rPr>
          <w:bCs/>
          <w:color w:val="000000"/>
          <w:sz w:val="24"/>
          <w:szCs w:val="24"/>
        </w:rPr>
        <w:t>A.7-A.12</w:t>
      </w:r>
      <w:r>
        <w:rPr>
          <w:bCs/>
          <w:color w:val="000000"/>
          <w:sz w:val="24"/>
          <w:szCs w:val="24"/>
        </w:rPr>
        <w:t>。对于施工过程专项风险评估指标体系中指标分值范围的确定，宜结合动态评估的原则，采用灵活指标，重点考虑各指标对风险事件影响的重要程度。</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b</w:t>
      </w:r>
      <w:r>
        <w:rPr>
          <w:rFonts w:hint="eastAsia"/>
          <w:bCs/>
          <w:color w:val="000000"/>
          <w:sz w:val="24"/>
          <w:szCs w:val="24"/>
        </w:rPr>
        <w:t>）</w:t>
      </w:r>
      <w:r>
        <w:rPr>
          <w:bCs/>
          <w:color w:val="000000"/>
          <w:sz w:val="24"/>
          <w:szCs w:val="24"/>
        </w:rPr>
        <w:t>施工过程重大风险源估测采用定性和定量</w:t>
      </w:r>
      <w:r>
        <w:rPr>
          <w:bCs/>
          <w:color w:val="000000"/>
          <w:sz w:val="24"/>
          <w:szCs w:val="24"/>
        </w:rPr>
        <w:t>相结合的方法。风险事件严重程度的估测宜采用后果当量</w:t>
      </w:r>
      <w:r>
        <w:rPr>
          <w:bCs/>
          <w:sz w:val="24"/>
          <w:szCs w:val="24"/>
        </w:rPr>
        <w:t>法</w:t>
      </w:r>
      <w:r>
        <w:rPr>
          <w:bCs/>
          <w:color w:val="000000"/>
          <w:sz w:val="24"/>
          <w:szCs w:val="24"/>
        </w:rPr>
        <w:t>，风险事件可能性的估测方法宜采用指标体系法，指标权重的确定推荐采用重要性排序法。</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重要性排序法确定指标权重的步骤如下：</w:t>
      </w:r>
    </w:p>
    <w:p w:rsidR="0073700B" w:rsidRDefault="001A2FFC" w:rsidP="00F80BAC">
      <w:pPr>
        <w:spacing w:beforeLines="50" w:before="156" w:line="360" w:lineRule="auto"/>
        <w:ind w:firstLineChars="200" w:firstLine="480"/>
        <w:rPr>
          <w:bCs/>
          <w:color w:val="000000"/>
        </w:rPr>
      </w:pPr>
      <w:r>
        <w:rPr>
          <w:bCs/>
          <w:color w:val="000000"/>
          <w:sz w:val="24"/>
          <w:szCs w:val="24"/>
        </w:rPr>
        <w:t>重要性排序法是根据评估指标与风险事件发生可能性以及后果严重程度</w:t>
      </w:r>
      <w:r>
        <w:rPr>
          <w:bCs/>
          <w:color w:val="000000"/>
          <w:sz w:val="24"/>
          <w:szCs w:val="24"/>
        </w:rPr>
        <w:t>(</w:t>
      </w:r>
      <w:r>
        <w:rPr>
          <w:bCs/>
          <w:color w:val="000000"/>
          <w:sz w:val="24"/>
          <w:szCs w:val="24"/>
        </w:rPr>
        <w:t>优先考虑人员伤亡</w:t>
      </w:r>
      <w:r>
        <w:rPr>
          <w:bCs/>
          <w:color w:val="000000"/>
          <w:sz w:val="24"/>
          <w:szCs w:val="24"/>
        </w:rPr>
        <w:t>)</w:t>
      </w:r>
      <w:r>
        <w:rPr>
          <w:bCs/>
          <w:color w:val="000000"/>
          <w:sz w:val="24"/>
          <w:szCs w:val="24"/>
        </w:rPr>
        <w:t>的相关性，进行综合评判后，将各评估指标按重要性从高到低依次进行排序，权重系数按公式</w:t>
      </w:r>
      <w:r>
        <w:rPr>
          <w:bCs/>
          <w:color w:val="000000"/>
          <w:sz w:val="24"/>
          <w:szCs w:val="24"/>
        </w:rPr>
        <w:t>(2)</w:t>
      </w:r>
      <w:r>
        <w:rPr>
          <w:bCs/>
          <w:color w:val="000000"/>
          <w:sz w:val="24"/>
          <w:szCs w:val="24"/>
        </w:rPr>
        <w:t>计算。根据指标个数和重要性程度可按照附录</w:t>
      </w:r>
      <w:r>
        <w:rPr>
          <w:bCs/>
          <w:color w:val="000000"/>
          <w:sz w:val="24"/>
          <w:szCs w:val="24"/>
        </w:rPr>
        <w:t>A.13</w:t>
      </w:r>
      <w:r>
        <w:rPr>
          <w:bCs/>
          <w:color w:val="000000"/>
          <w:sz w:val="24"/>
          <w:szCs w:val="24"/>
        </w:rPr>
        <w:t>直接选取各评估指标的权重系数。</w:t>
      </w:r>
    </w:p>
    <w:p w:rsidR="0073700B" w:rsidRDefault="001A2FFC" w:rsidP="00F80BAC">
      <w:pPr>
        <w:pStyle w:val="af8"/>
        <w:spacing w:beforeLines="50" w:before="156" w:line="360" w:lineRule="auto"/>
        <w:ind w:firstLineChars="0" w:firstLine="0"/>
        <w:jc w:val="right"/>
        <w:rPr>
          <w:rFonts w:ascii="Times New Roman" w:hAnsi="Times New Roman"/>
          <w:bCs/>
          <w:color w:val="000000"/>
        </w:rPr>
      </w:pPr>
      <w:r>
        <w:rPr>
          <w:rFonts w:ascii="Times New Roman" w:hAnsi="Times New Roman"/>
          <w:bCs/>
          <w:color w:val="000000"/>
          <w:position w:val="-24"/>
        </w:rPr>
        <w:object w:dxaOrig="1515" w:dyaOrig="636">
          <v:shape id="_x0000_i1040" type="#_x0000_t75" style="width:75.65pt;height:31.85pt" o:ole="">
            <v:imagedata r:id="rId42" o:title=""/>
          </v:shape>
          <o:OLEObject Type="Embed" ProgID="Equation.DSMT4" ShapeID="_x0000_i1040" DrawAspect="Content" ObjectID="_1645534673" r:id="rId43"/>
        </w:object>
      </w:r>
      <w:r>
        <w:rPr>
          <w:rFonts w:ascii="Times New Roman" w:hAnsi="Times New Roman"/>
          <w:bCs/>
          <w:color w:val="000000"/>
        </w:rPr>
        <w:t xml:space="preserve">                   </w:t>
      </w:r>
      <w:r>
        <w:rPr>
          <w:rFonts w:ascii="Times New Roman" w:hAnsi="Times New Roman"/>
          <w:bCs/>
          <w:color w:val="000000"/>
        </w:rPr>
        <w:t xml:space="preserve">        </w:t>
      </w:r>
      <w:r>
        <w:rPr>
          <w:rFonts w:ascii="Times New Roman" w:hAnsi="Times New Roman"/>
          <w:bCs/>
          <w:color w:val="000000"/>
          <w:sz w:val="24"/>
          <w:szCs w:val="24"/>
        </w:rPr>
        <w:t xml:space="preserve"> (2)</w:t>
      </w:r>
    </w:p>
    <w:p w:rsidR="0073700B" w:rsidRDefault="001A2FFC" w:rsidP="00F80BAC">
      <w:pPr>
        <w:spacing w:beforeLines="50" w:before="156" w:line="360" w:lineRule="auto"/>
        <w:ind w:firstLine="560"/>
        <w:rPr>
          <w:bCs/>
          <w:color w:val="000000"/>
          <w:sz w:val="24"/>
        </w:rPr>
      </w:pPr>
      <w:r>
        <w:rPr>
          <w:bCs/>
          <w:color w:val="000000"/>
          <w:sz w:val="24"/>
        </w:rPr>
        <w:t>式中：</w:t>
      </w:r>
      <w:r>
        <w:rPr>
          <w:bCs/>
          <w:color w:val="000000"/>
          <w:position w:val="-10"/>
          <w:sz w:val="24"/>
        </w:rPr>
        <w:object w:dxaOrig="224" w:dyaOrig="262">
          <v:shape id="_x0000_i1041" type="#_x0000_t75" style="width:10.95pt;height:13.05pt" o:ole="">
            <v:imagedata r:id="rId44" o:title=""/>
          </v:shape>
          <o:OLEObject Type="Embed" ProgID="Equation.DSMT4" ShapeID="_x0000_i1041" DrawAspect="Content" ObjectID="_1645534674" r:id="rId45"/>
        </w:object>
      </w:r>
      <w:r>
        <w:rPr>
          <w:bCs/>
          <w:color w:val="000000"/>
          <w:sz w:val="24"/>
          <w:szCs w:val="24"/>
        </w:rPr>
        <w:t>—</w:t>
      </w:r>
      <w:r>
        <w:rPr>
          <w:bCs/>
          <w:color w:val="000000"/>
          <w:sz w:val="24"/>
        </w:rPr>
        <w:t>权重系数；</w:t>
      </w:r>
      <w:r>
        <w:rPr>
          <w:bCs/>
          <w:i/>
          <w:color w:val="000000"/>
          <w:sz w:val="24"/>
        </w:rPr>
        <w:t>n</w:t>
      </w:r>
      <w:r>
        <w:rPr>
          <w:bCs/>
          <w:color w:val="000000"/>
          <w:sz w:val="24"/>
          <w:szCs w:val="24"/>
        </w:rPr>
        <w:t>—</w:t>
      </w:r>
      <w:r>
        <w:rPr>
          <w:bCs/>
          <w:color w:val="000000"/>
          <w:sz w:val="24"/>
        </w:rPr>
        <w:t>评估指标项数；</w:t>
      </w:r>
      <w:r>
        <w:rPr>
          <w:bCs/>
          <w:i/>
          <w:color w:val="000000"/>
          <w:sz w:val="24"/>
        </w:rPr>
        <w:t>m</w:t>
      </w:r>
      <w:r>
        <w:rPr>
          <w:bCs/>
          <w:color w:val="000000"/>
          <w:sz w:val="24"/>
          <w:szCs w:val="24"/>
        </w:rPr>
        <w:t>—</w:t>
      </w:r>
      <w:r>
        <w:rPr>
          <w:bCs/>
          <w:color w:val="000000"/>
          <w:sz w:val="24"/>
        </w:rPr>
        <w:t>重要性排序号，</w:t>
      </w:r>
      <w:proofErr w:type="spellStart"/>
      <w:r>
        <w:rPr>
          <w:bCs/>
          <w:i/>
          <w:color w:val="000000"/>
          <w:sz w:val="24"/>
        </w:rPr>
        <w:t>m</w:t>
      </w:r>
      <w:r>
        <w:rPr>
          <w:bCs/>
          <w:color w:val="000000"/>
          <w:sz w:val="24"/>
        </w:rPr>
        <w:t>≤</w:t>
      </w:r>
      <w:r>
        <w:rPr>
          <w:bCs/>
          <w:i/>
          <w:color w:val="000000"/>
          <w:sz w:val="24"/>
        </w:rPr>
        <w:t>n</w:t>
      </w:r>
      <w:proofErr w:type="spellEnd"/>
      <w:r>
        <w:rPr>
          <w:bCs/>
          <w:color w:val="000000"/>
          <w:sz w:val="24"/>
        </w:rPr>
        <w:t>。</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d</w:t>
      </w:r>
      <w:r>
        <w:rPr>
          <w:rFonts w:hint="eastAsia"/>
          <w:bCs/>
          <w:color w:val="000000"/>
          <w:sz w:val="24"/>
          <w:szCs w:val="24"/>
        </w:rPr>
        <w:t>）</w:t>
      </w:r>
      <w:r>
        <w:rPr>
          <w:bCs/>
          <w:color w:val="000000"/>
          <w:sz w:val="24"/>
          <w:szCs w:val="24"/>
        </w:rPr>
        <w:t>施工过程重大风险源估测与施工前相比，评估指标的揭露程度更高，对各指标的准确把握要求也更高，因此与施工前指标各等级固定分值不同，施工过程采用百分制打分和权重来综合定量估测。通过动态权重来满足施工过程复杂的现场实际情况，充分发挥评估小组的主观经验，达到准确评估的目的。风险事件可能性为该风险事件各评估指标的评估分值</w:t>
      </w:r>
      <w:r>
        <w:rPr>
          <w:bCs/>
          <w:i/>
          <w:iCs/>
          <w:color w:val="000000"/>
          <w:sz w:val="24"/>
          <w:szCs w:val="24"/>
        </w:rPr>
        <w:t>R</w:t>
      </w:r>
      <w:r>
        <w:rPr>
          <w:bCs/>
          <w:i/>
          <w:iCs/>
          <w:color w:val="000000"/>
          <w:sz w:val="24"/>
          <w:szCs w:val="24"/>
          <w:vertAlign w:val="subscript"/>
        </w:rPr>
        <w:t>ij</w:t>
      </w:r>
      <w:r>
        <w:rPr>
          <w:bCs/>
          <w:color w:val="000000"/>
          <w:sz w:val="24"/>
          <w:szCs w:val="24"/>
        </w:rPr>
        <w:t>与对应的指标权重</w:t>
      </w:r>
      <w:r>
        <w:rPr>
          <w:bCs/>
          <w:i/>
          <w:iCs/>
          <w:color w:val="000000"/>
          <w:sz w:val="24"/>
          <w:szCs w:val="24"/>
        </w:rPr>
        <w:t>γ</w:t>
      </w:r>
      <w:r>
        <w:rPr>
          <w:bCs/>
          <w:i/>
          <w:iCs/>
          <w:color w:val="000000"/>
          <w:sz w:val="24"/>
          <w:szCs w:val="24"/>
          <w:vertAlign w:val="subscript"/>
        </w:rPr>
        <w:t>ij</w:t>
      </w:r>
      <w:r>
        <w:rPr>
          <w:bCs/>
          <w:color w:val="000000"/>
          <w:sz w:val="24"/>
          <w:szCs w:val="24"/>
        </w:rPr>
        <w:t>的乘积之和。</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由于施工过程风险事件评估指标体系采用百分制打分并结合指标权重，</w:t>
      </w:r>
      <w:proofErr w:type="gramStart"/>
      <w:r>
        <w:rPr>
          <w:bCs/>
          <w:color w:val="000000"/>
          <w:sz w:val="24"/>
          <w:szCs w:val="24"/>
        </w:rPr>
        <w:t>各风险</w:t>
      </w:r>
      <w:proofErr w:type="gramEnd"/>
      <w:r>
        <w:rPr>
          <w:bCs/>
          <w:color w:val="000000"/>
          <w:sz w:val="24"/>
          <w:szCs w:val="24"/>
        </w:rPr>
        <w:t>事件可能性分值累计频数曲线基本相同，见</w:t>
      </w:r>
      <w:r>
        <w:fldChar w:fldCharType="begin"/>
      </w:r>
      <w:r>
        <w:instrText xml:space="preserve"> REF _Ref29241531 \h  \* MERGEFORMAT </w:instrText>
      </w:r>
      <w:r>
        <w:fldChar w:fldCharType="separate"/>
      </w:r>
      <w:r>
        <w:rPr>
          <w:sz w:val="24"/>
          <w:szCs w:val="24"/>
        </w:rPr>
        <w:t>图</w:t>
      </w:r>
      <w:r>
        <w:rPr>
          <w:sz w:val="24"/>
          <w:szCs w:val="24"/>
        </w:rPr>
        <w:t>6</w:t>
      </w:r>
      <w:r>
        <w:rPr>
          <w:sz w:val="24"/>
          <w:szCs w:val="24"/>
        </w:rPr>
        <w:noBreakHyphen/>
        <w:t>15</w:t>
      </w:r>
      <w:r>
        <w:rPr>
          <w:sz w:val="24"/>
          <w:szCs w:val="24"/>
        </w:rPr>
        <w:fldChar w:fldCharType="end"/>
      </w:r>
      <w:r>
        <w:rPr>
          <w:bCs/>
          <w:color w:val="000000"/>
          <w:sz w:val="24"/>
          <w:szCs w:val="24"/>
        </w:rPr>
        <w:t>，因此统一划分等级。参考施工前坍塌风险事件的划分标准，以累计频率占比分别为</w:t>
      </w:r>
      <w:r>
        <w:rPr>
          <w:bCs/>
          <w:color w:val="000000"/>
          <w:sz w:val="24"/>
          <w:szCs w:val="24"/>
        </w:rPr>
        <w:t>&lt;3%</w:t>
      </w:r>
      <w:r>
        <w:rPr>
          <w:bCs/>
          <w:color w:val="000000"/>
          <w:sz w:val="24"/>
          <w:szCs w:val="24"/>
        </w:rPr>
        <w:t>、</w:t>
      </w:r>
      <w:r>
        <w:rPr>
          <w:bCs/>
          <w:color w:val="000000"/>
          <w:sz w:val="24"/>
          <w:szCs w:val="24"/>
        </w:rPr>
        <w:t>3~20%</w:t>
      </w:r>
      <w:r>
        <w:rPr>
          <w:bCs/>
          <w:color w:val="000000"/>
          <w:sz w:val="24"/>
          <w:szCs w:val="24"/>
        </w:rPr>
        <w:t>、</w:t>
      </w:r>
      <w:r>
        <w:rPr>
          <w:bCs/>
          <w:color w:val="000000"/>
          <w:sz w:val="24"/>
          <w:szCs w:val="24"/>
        </w:rPr>
        <w:t>20~50%</w:t>
      </w:r>
      <w:r>
        <w:rPr>
          <w:bCs/>
          <w:color w:val="000000"/>
          <w:sz w:val="24"/>
          <w:szCs w:val="24"/>
        </w:rPr>
        <w:t>、</w:t>
      </w:r>
      <w:r>
        <w:rPr>
          <w:bCs/>
          <w:color w:val="000000"/>
          <w:sz w:val="24"/>
          <w:szCs w:val="24"/>
        </w:rPr>
        <w:t>50~80%</w:t>
      </w:r>
      <w:r>
        <w:rPr>
          <w:bCs/>
          <w:color w:val="000000"/>
          <w:sz w:val="24"/>
          <w:szCs w:val="24"/>
        </w:rPr>
        <w:t>、</w:t>
      </w:r>
      <w:r>
        <w:rPr>
          <w:bCs/>
          <w:color w:val="000000"/>
          <w:sz w:val="24"/>
          <w:szCs w:val="24"/>
        </w:rPr>
        <w:t>&gt;80%</w:t>
      </w:r>
      <w:r>
        <w:rPr>
          <w:bCs/>
          <w:color w:val="000000"/>
          <w:sz w:val="24"/>
          <w:szCs w:val="24"/>
        </w:rPr>
        <w:t>作为五个等级区间，对应的分值约是以</w:t>
      </w:r>
      <w:r>
        <w:rPr>
          <w:bCs/>
          <w:color w:val="000000"/>
          <w:sz w:val="24"/>
          <w:szCs w:val="24"/>
        </w:rPr>
        <w:t>10</w:t>
      </w:r>
      <w:r>
        <w:rPr>
          <w:bCs/>
          <w:color w:val="000000"/>
          <w:sz w:val="24"/>
          <w:szCs w:val="24"/>
        </w:rPr>
        <w:t>分为步距，从小于</w:t>
      </w:r>
      <w:r>
        <w:rPr>
          <w:bCs/>
          <w:color w:val="000000"/>
          <w:sz w:val="24"/>
          <w:szCs w:val="24"/>
        </w:rPr>
        <w:t>30</w:t>
      </w:r>
      <w:r>
        <w:rPr>
          <w:bCs/>
          <w:color w:val="000000"/>
          <w:sz w:val="24"/>
          <w:szCs w:val="24"/>
        </w:rPr>
        <w:t>分</w:t>
      </w:r>
      <w:r>
        <w:rPr>
          <w:bCs/>
          <w:color w:val="000000"/>
          <w:sz w:val="24"/>
          <w:szCs w:val="24"/>
        </w:rPr>
        <w:t>到大于</w:t>
      </w:r>
      <w:r>
        <w:rPr>
          <w:bCs/>
          <w:color w:val="000000"/>
          <w:sz w:val="24"/>
          <w:szCs w:val="24"/>
        </w:rPr>
        <w:t>60</w:t>
      </w:r>
      <w:r>
        <w:rPr>
          <w:bCs/>
          <w:color w:val="000000"/>
          <w:sz w:val="24"/>
          <w:szCs w:val="24"/>
        </w:rPr>
        <w:t>分。</w:t>
      </w:r>
    </w:p>
    <w:p w:rsidR="0073700B" w:rsidRDefault="001A2FFC">
      <w:pPr>
        <w:spacing w:line="360" w:lineRule="auto"/>
        <w:ind w:firstLineChars="200" w:firstLine="420"/>
        <w:jc w:val="center"/>
        <w:rPr>
          <w:bCs/>
          <w:color w:val="000000"/>
          <w:sz w:val="24"/>
          <w:szCs w:val="24"/>
        </w:rPr>
      </w:pPr>
      <w:r>
        <w:rPr>
          <w:noProof/>
        </w:rPr>
        <w:drawing>
          <wp:inline distT="0" distB="0" distL="0" distR="0">
            <wp:extent cx="3069590" cy="2519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9979" cy="2520000"/>
                    </a:xfrm>
                    <a:prstGeom prst="rect">
                      <a:avLst/>
                    </a:prstGeom>
                    <a:noFill/>
                    <a:ln>
                      <a:noFill/>
                    </a:ln>
                  </pic:spPr>
                </pic:pic>
              </a:graphicData>
            </a:graphic>
          </wp:inline>
        </w:drawing>
      </w:r>
    </w:p>
    <w:p w:rsidR="0073700B" w:rsidRDefault="001A2FFC">
      <w:pPr>
        <w:pStyle w:val="a6"/>
        <w:rPr>
          <w:rFonts w:ascii="黑体" w:eastAsia="黑体" w:hAnsi="黑体"/>
          <w:b w:val="0"/>
          <w:bCs/>
          <w:szCs w:val="20"/>
        </w:rPr>
      </w:pPr>
      <w:bookmarkStart w:id="81" w:name="_Ref29241531"/>
      <w:r>
        <w:rPr>
          <w:rFonts w:ascii="黑体" w:eastAsia="黑体" w:hAnsi="黑体"/>
          <w:b w:val="0"/>
          <w:bCs/>
          <w:szCs w:val="20"/>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15</w:t>
      </w:r>
      <w:r>
        <w:rPr>
          <w:rFonts w:ascii="黑体" w:eastAsia="黑体" w:hAnsi="黑体"/>
          <w:b w:val="0"/>
          <w:bCs/>
          <w:szCs w:val="32"/>
        </w:rPr>
        <w:fldChar w:fldCharType="end"/>
      </w:r>
      <w:bookmarkEnd w:id="81"/>
      <w:r>
        <w:rPr>
          <w:rFonts w:ascii="黑体" w:eastAsia="黑体" w:hAnsi="黑体"/>
          <w:b w:val="0"/>
          <w:bCs/>
          <w:szCs w:val="20"/>
        </w:rPr>
        <w:t xml:space="preserve">  </w:t>
      </w:r>
      <w:r>
        <w:rPr>
          <w:rFonts w:ascii="黑体" w:eastAsia="黑体" w:hAnsi="黑体"/>
          <w:b w:val="0"/>
          <w:bCs/>
          <w:szCs w:val="20"/>
        </w:rPr>
        <w:t>隧道施工过程风险事件可能性评估分值累计频率曲线</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④</w:t>
      </w:r>
      <w:r>
        <w:rPr>
          <w:bCs/>
          <w:color w:val="000000"/>
          <w:sz w:val="24"/>
          <w:szCs w:val="24"/>
        </w:rPr>
        <w:t>当施工区段情况特别复杂，需要结合现场监控量测等手段，必要时还应借助数值模拟等手段进行重大风险源估测。采用层次分析法、未确知测度法等综合判定方法，具体说明如下：</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lastRenderedPageBreak/>
        <w:t>a</w:t>
      </w:r>
      <w:r>
        <w:rPr>
          <w:rFonts w:hint="eastAsia"/>
          <w:bCs/>
          <w:color w:val="000000"/>
          <w:sz w:val="24"/>
          <w:szCs w:val="24"/>
        </w:rPr>
        <w:t>）</w:t>
      </w:r>
      <w:r>
        <w:rPr>
          <w:bCs/>
          <w:color w:val="000000"/>
          <w:sz w:val="24"/>
          <w:szCs w:val="24"/>
        </w:rPr>
        <w:t>层次分析法</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第一步：</w:t>
      </w:r>
      <w:r>
        <w:rPr>
          <w:bCs/>
          <w:color w:val="000000"/>
          <w:sz w:val="24"/>
          <w:szCs w:val="24"/>
        </w:rPr>
        <w:t>建立重大风险安全风险指标多层次结构模型，见</w:t>
      </w:r>
      <w:r>
        <w:fldChar w:fldCharType="begin"/>
      </w:r>
      <w:r>
        <w:instrText xml:space="preserve"> REF _Ref29194202 \h  \* MERGEFORMAT </w:instrText>
      </w:r>
      <w:r>
        <w:fldChar w:fldCharType="separate"/>
      </w:r>
      <w:r>
        <w:rPr>
          <w:sz w:val="24"/>
          <w:szCs w:val="28"/>
        </w:rPr>
        <w:t>图</w:t>
      </w:r>
      <w:r>
        <w:rPr>
          <w:sz w:val="24"/>
          <w:szCs w:val="28"/>
        </w:rPr>
        <w:t>6</w:t>
      </w:r>
      <w:r>
        <w:rPr>
          <w:sz w:val="24"/>
          <w:szCs w:val="28"/>
        </w:rPr>
        <w:noBreakHyphen/>
        <w:t>9</w:t>
      </w:r>
      <w:r>
        <w:rPr>
          <w:sz w:val="24"/>
          <w:szCs w:val="28"/>
        </w:rPr>
        <w:fldChar w:fldCharType="end"/>
      </w:r>
      <w:r>
        <w:rPr>
          <w:bCs/>
          <w:color w:val="000000"/>
          <w:sz w:val="24"/>
          <w:szCs w:val="24"/>
        </w:rPr>
        <w:t>。</w:t>
      </w:r>
    </w:p>
    <w:p w:rsidR="0073700B" w:rsidRDefault="001A2FFC">
      <w:pPr>
        <w:spacing w:line="360" w:lineRule="auto"/>
        <w:jc w:val="center"/>
        <w:rPr>
          <w:bCs/>
          <w:color w:val="000000"/>
        </w:rPr>
      </w:pPr>
      <w:r>
        <w:rPr>
          <w:bCs/>
        </w:rPr>
        <w:object w:dxaOrig="7163" w:dyaOrig="3647">
          <v:shape id="_x0000_i1042" type="#_x0000_t75" style="width:357.9pt;height:182.6pt" o:ole="">
            <v:imagedata r:id="rId47" o:title=""/>
          </v:shape>
          <o:OLEObject Type="Embed" ProgID="Visio.Drawing.11" ShapeID="_x0000_i1042" DrawAspect="Content" ObjectID="_1645534675" r:id="rId48"/>
        </w:object>
      </w:r>
    </w:p>
    <w:p w:rsidR="0073700B" w:rsidRDefault="001A2FFC">
      <w:pPr>
        <w:pStyle w:val="a6"/>
        <w:rPr>
          <w:rFonts w:ascii="黑体" w:eastAsia="黑体" w:hAnsi="黑体"/>
          <w:b w:val="0"/>
          <w:bCs/>
          <w:color w:val="000000"/>
        </w:rPr>
      </w:pPr>
      <w:bookmarkStart w:id="82" w:name="_Ref29194202"/>
      <w:r>
        <w:rPr>
          <w:rFonts w:ascii="黑体" w:eastAsia="黑体" w:hAnsi="黑体"/>
          <w:b w:val="0"/>
          <w:bCs/>
          <w:szCs w:val="32"/>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16</w:t>
      </w:r>
      <w:r>
        <w:rPr>
          <w:rFonts w:ascii="黑体" w:eastAsia="黑体" w:hAnsi="黑体"/>
          <w:b w:val="0"/>
          <w:bCs/>
          <w:szCs w:val="32"/>
        </w:rPr>
        <w:fldChar w:fldCharType="end"/>
      </w:r>
      <w:bookmarkEnd w:id="82"/>
      <w:r>
        <w:rPr>
          <w:rFonts w:ascii="黑体" w:eastAsia="黑体" w:hAnsi="黑体"/>
          <w:b w:val="0"/>
          <w:bCs/>
          <w:szCs w:val="20"/>
        </w:rPr>
        <w:t xml:space="preserve">  </w:t>
      </w:r>
      <w:r>
        <w:rPr>
          <w:rFonts w:ascii="黑体" w:eastAsia="黑体" w:hAnsi="黑体"/>
          <w:b w:val="0"/>
          <w:bCs/>
          <w:color w:val="000000"/>
        </w:rPr>
        <w:t>层次结构模型</w:t>
      </w:r>
    </w:p>
    <w:p w:rsidR="0073700B" w:rsidRDefault="001A2FFC" w:rsidP="00F80BAC">
      <w:pPr>
        <w:spacing w:beforeLines="50" w:before="156" w:line="360" w:lineRule="auto"/>
        <w:ind w:firstLineChars="200" w:firstLine="480"/>
        <w:rPr>
          <w:bCs/>
          <w:sz w:val="24"/>
          <w:szCs w:val="24"/>
        </w:rPr>
      </w:pPr>
      <w:r>
        <w:rPr>
          <w:rFonts w:hint="eastAsia"/>
          <w:bCs/>
          <w:color w:val="000000"/>
          <w:sz w:val="24"/>
          <w:szCs w:val="24"/>
        </w:rPr>
        <w:t>第二步：</w:t>
      </w:r>
      <w:r>
        <w:rPr>
          <w:bCs/>
          <w:color w:val="000000"/>
          <w:sz w:val="24"/>
          <w:szCs w:val="24"/>
        </w:rPr>
        <w:t>通过两两比较确定</w:t>
      </w:r>
      <w:proofErr w:type="gramStart"/>
      <w:r>
        <w:rPr>
          <w:bCs/>
          <w:color w:val="000000"/>
          <w:sz w:val="24"/>
          <w:szCs w:val="24"/>
        </w:rPr>
        <w:t>两指标</w:t>
      </w:r>
      <w:proofErr w:type="gramEnd"/>
      <w:r>
        <w:rPr>
          <w:bCs/>
          <w:color w:val="000000"/>
          <w:sz w:val="24"/>
          <w:szCs w:val="24"/>
        </w:rPr>
        <w:t>间相对重要程度，可采用</w:t>
      </w:r>
      <w:r>
        <w:rPr>
          <w:bCs/>
          <w:color w:val="000000"/>
          <w:sz w:val="24"/>
          <w:szCs w:val="24"/>
        </w:rPr>
        <w:t>1~9</w:t>
      </w:r>
      <w:r>
        <w:rPr>
          <w:bCs/>
          <w:color w:val="000000"/>
          <w:sz w:val="24"/>
          <w:szCs w:val="24"/>
        </w:rPr>
        <w:t>标度法进行取值确定</w:t>
      </w:r>
      <w:proofErr w:type="gramStart"/>
      <w:r>
        <w:rPr>
          <w:bCs/>
          <w:color w:val="000000"/>
          <w:sz w:val="24"/>
          <w:szCs w:val="24"/>
        </w:rPr>
        <w:t>两指标</w:t>
      </w:r>
      <w:proofErr w:type="gramEnd"/>
      <w:r>
        <w:rPr>
          <w:bCs/>
          <w:color w:val="000000"/>
          <w:sz w:val="24"/>
          <w:szCs w:val="24"/>
        </w:rPr>
        <w:t>间相对重要程度，见</w:t>
      </w:r>
      <w:r>
        <w:fldChar w:fldCharType="begin"/>
      </w:r>
      <w:r>
        <w:instrText xml:space="preserve"> REF _Ref13489102 \h  \* MERGEFORMAT </w:instrText>
      </w:r>
      <w:r>
        <w:fldChar w:fldCharType="separate"/>
      </w:r>
      <w:r>
        <w:rPr>
          <w:bCs/>
          <w:sz w:val="24"/>
          <w:szCs w:val="24"/>
        </w:rPr>
        <w:t>表</w:t>
      </w:r>
      <w:r>
        <w:rPr>
          <w:bCs/>
          <w:sz w:val="24"/>
          <w:szCs w:val="24"/>
        </w:rPr>
        <w:t>6</w:t>
      </w:r>
      <w:r>
        <w:rPr>
          <w:bCs/>
          <w:sz w:val="24"/>
          <w:szCs w:val="24"/>
        </w:rPr>
        <w:noBreakHyphen/>
        <w:t>29</w:t>
      </w:r>
      <w:r>
        <w:rPr>
          <w:bCs/>
          <w:sz w:val="24"/>
          <w:szCs w:val="24"/>
        </w:rPr>
        <w:fldChar w:fldCharType="end"/>
      </w:r>
      <w:r>
        <w:rPr>
          <w:bCs/>
          <w:color w:val="000000"/>
          <w:sz w:val="24"/>
          <w:szCs w:val="24"/>
        </w:rPr>
        <w:t>，建立判断矩阵表，判断矩阵中</w:t>
      </w:r>
      <w:proofErr w:type="spellStart"/>
      <w:r>
        <w:rPr>
          <w:bCs/>
          <w:i/>
          <w:iCs/>
          <w:color w:val="000000"/>
          <w:sz w:val="24"/>
          <w:szCs w:val="24"/>
        </w:rPr>
        <w:t>a</w:t>
      </w:r>
      <w:r>
        <w:rPr>
          <w:bCs/>
          <w:i/>
          <w:iCs/>
          <w:color w:val="000000"/>
          <w:sz w:val="24"/>
          <w:szCs w:val="24"/>
          <w:vertAlign w:val="subscript"/>
        </w:rPr>
        <w:t>ij</w:t>
      </w:r>
      <w:proofErr w:type="spellEnd"/>
      <w:r>
        <w:rPr>
          <w:bCs/>
          <w:color w:val="000000"/>
          <w:sz w:val="24"/>
          <w:szCs w:val="24"/>
        </w:rPr>
        <w:t>表示指标</w:t>
      </w:r>
      <w:proofErr w:type="spellStart"/>
      <w:r>
        <w:rPr>
          <w:bCs/>
          <w:i/>
          <w:iCs/>
          <w:color w:val="000000"/>
          <w:sz w:val="24"/>
          <w:szCs w:val="24"/>
        </w:rPr>
        <w:t>a</w:t>
      </w:r>
      <w:r>
        <w:rPr>
          <w:bCs/>
          <w:i/>
          <w:iCs/>
          <w:color w:val="000000"/>
          <w:sz w:val="24"/>
          <w:szCs w:val="24"/>
          <w:vertAlign w:val="subscript"/>
        </w:rPr>
        <w:t>i</w:t>
      </w:r>
      <w:proofErr w:type="spellEnd"/>
      <w:r>
        <w:rPr>
          <w:bCs/>
          <w:color w:val="000000"/>
          <w:sz w:val="24"/>
          <w:szCs w:val="24"/>
        </w:rPr>
        <w:t>相对于指标</w:t>
      </w:r>
      <w:proofErr w:type="spellStart"/>
      <w:r>
        <w:rPr>
          <w:bCs/>
          <w:i/>
          <w:iCs/>
          <w:color w:val="000000"/>
          <w:sz w:val="24"/>
          <w:szCs w:val="24"/>
        </w:rPr>
        <w:t>a</w:t>
      </w:r>
      <w:r>
        <w:rPr>
          <w:bCs/>
          <w:i/>
          <w:iCs/>
          <w:color w:val="000000"/>
          <w:sz w:val="24"/>
          <w:szCs w:val="24"/>
          <w:vertAlign w:val="subscript"/>
        </w:rPr>
        <w:t>j</w:t>
      </w:r>
      <w:proofErr w:type="spellEnd"/>
      <w:r>
        <w:rPr>
          <w:bCs/>
          <w:color w:val="000000"/>
          <w:sz w:val="24"/>
          <w:szCs w:val="24"/>
        </w:rPr>
        <w:t>的重要程度，见</w:t>
      </w:r>
      <w:r>
        <w:fldChar w:fldCharType="begin"/>
      </w:r>
      <w:r>
        <w:instrText xml:space="preserve"> REF _Ref13489144 \h  \* MERGEFORMAT </w:instrText>
      </w:r>
      <w:r>
        <w:fldChar w:fldCharType="separate"/>
      </w:r>
      <w:r>
        <w:rPr>
          <w:bCs/>
          <w:sz w:val="24"/>
          <w:szCs w:val="28"/>
        </w:rPr>
        <w:t>表</w:t>
      </w:r>
      <w:r>
        <w:rPr>
          <w:bCs/>
          <w:sz w:val="24"/>
          <w:szCs w:val="28"/>
        </w:rPr>
        <w:t>6</w:t>
      </w:r>
      <w:r>
        <w:rPr>
          <w:bCs/>
          <w:sz w:val="24"/>
          <w:szCs w:val="28"/>
        </w:rPr>
        <w:noBreakHyphen/>
        <w:t>30</w:t>
      </w:r>
      <w:r>
        <w:rPr>
          <w:bCs/>
          <w:sz w:val="24"/>
          <w:szCs w:val="28"/>
        </w:rPr>
        <w:fldChar w:fldCharType="end"/>
      </w:r>
      <w:r>
        <w:rPr>
          <w:bCs/>
          <w:color w:val="000000"/>
          <w:sz w:val="24"/>
          <w:szCs w:val="24"/>
        </w:rPr>
        <w:t>。</w:t>
      </w:r>
    </w:p>
    <w:p w:rsidR="0073700B" w:rsidRDefault="001A2FFC">
      <w:pPr>
        <w:pStyle w:val="a6"/>
        <w:rPr>
          <w:rFonts w:ascii="黑体" w:eastAsia="黑体" w:hAnsi="黑体"/>
          <w:b w:val="0"/>
          <w:bCs/>
          <w:color w:val="000000"/>
        </w:rPr>
      </w:pPr>
      <w:bookmarkStart w:id="83" w:name="_Ref535833354"/>
      <w:bookmarkStart w:id="84" w:name="_Ref13489102"/>
      <w:r>
        <w:rPr>
          <w:rFonts w:ascii="黑体" w:eastAsia="黑体" w:hAnsi="黑体"/>
          <w:b w:val="0"/>
          <w:bCs/>
        </w:rPr>
        <w:t>表</w:t>
      </w:r>
      <w:bookmarkEnd w:id="83"/>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29</w:t>
      </w:r>
      <w:r>
        <w:rPr>
          <w:rFonts w:ascii="黑体" w:eastAsia="黑体" w:hAnsi="黑体"/>
          <w:b w:val="0"/>
          <w:bCs/>
        </w:rPr>
        <w:fldChar w:fldCharType="end"/>
      </w:r>
      <w:bookmarkEnd w:id="84"/>
      <w:r>
        <w:rPr>
          <w:rFonts w:ascii="黑体" w:eastAsia="黑体" w:hAnsi="黑体"/>
          <w:b w:val="0"/>
          <w:bCs/>
        </w:rPr>
        <w:t xml:space="preserve">  </w:t>
      </w:r>
      <w:r>
        <w:rPr>
          <w:rFonts w:ascii="黑体" w:eastAsia="黑体" w:hAnsi="黑体"/>
          <w:b w:val="0"/>
          <w:bCs/>
          <w:color w:val="000000"/>
        </w:rPr>
        <w:t>因素两两比较的标度</w:t>
      </w:r>
    </w:p>
    <w:tbl>
      <w:tblPr>
        <w:tblW w:w="76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0"/>
        <w:gridCol w:w="6376"/>
      </w:tblGrid>
      <w:tr w:rsidR="0073700B">
        <w:trPr>
          <w:trHeight w:val="468"/>
          <w:jc w:val="center"/>
        </w:trPr>
        <w:tc>
          <w:tcPr>
            <w:tcW w:w="1310" w:type="dxa"/>
            <w:tcBorders>
              <w:top w:val="single" w:sz="8" w:space="0" w:color="auto"/>
              <w:bottom w:val="single" w:sz="8" w:space="0" w:color="auto"/>
            </w:tcBorders>
            <w:shd w:val="clear" w:color="auto" w:fill="auto"/>
            <w:vAlign w:val="center"/>
          </w:tcPr>
          <w:p w:rsidR="0073700B" w:rsidRDefault="001A2FFC">
            <w:pPr>
              <w:pStyle w:val="af9"/>
              <w:rPr>
                <w:bCs/>
                <w:color w:val="000000"/>
                <w:sz w:val="21"/>
              </w:rPr>
            </w:pPr>
            <w:r>
              <w:rPr>
                <w:bCs/>
                <w:color w:val="000000"/>
                <w:sz w:val="21"/>
              </w:rPr>
              <w:t>标度值</w:t>
            </w:r>
            <w:r>
              <w:rPr>
                <w:bCs/>
                <w:i/>
                <w:iCs/>
                <w:color w:val="000000"/>
                <w:sz w:val="21"/>
              </w:rPr>
              <w:t>a</w:t>
            </w:r>
            <w:r>
              <w:rPr>
                <w:bCs/>
                <w:color w:val="000000"/>
                <w:sz w:val="21"/>
                <w:vertAlign w:val="subscript"/>
              </w:rPr>
              <w:t>ij</w:t>
            </w:r>
          </w:p>
        </w:tc>
        <w:tc>
          <w:tcPr>
            <w:tcW w:w="6376" w:type="dxa"/>
            <w:tcBorders>
              <w:top w:val="single" w:sz="8" w:space="0" w:color="auto"/>
              <w:bottom w:val="single" w:sz="8" w:space="0" w:color="auto"/>
            </w:tcBorders>
            <w:shd w:val="clear" w:color="auto" w:fill="auto"/>
            <w:vAlign w:val="center"/>
          </w:tcPr>
          <w:p w:rsidR="0073700B" w:rsidRDefault="001A2FFC">
            <w:pPr>
              <w:pStyle w:val="af9"/>
              <w:rPr>
                <w:bCs/>
                <w:color w:val="000000"/>
                <w:sz w:val="21"/>
              </w:rPr>
            </w:pPr>
            <w:r>
              <w:rPr>
                <w:bCs/>
                <w:color w:val="000000"/>
                <w:sz w:val="21"/>
              </w:rPr>
              <w:t>含义</w:t>
            </w:r>
          </w:p>
        </w:tc>
      </w:tr>
      <w:tr w:rsidR="0073700B">
        <w:trPr>
          <w:trHeight w:val="340"/>
          <w:jc w:val="center"/>
        </w:trPr>
        <w:tc>
          <w:tcPr>
            <w:tcW w:w="1310" w:type="dxa"/>
            <w:tcBorders>
              <w:top w:val="single" w:sz="8" w:space="0" w:color="auto"/>
            </w:tcBorders>
            <w:shd w:val="clear" w:color="auto" w:fill="auto"/>
            <w:vAlign w:val="center"/>
          </w:tcPr>
          <w:p w:rsidR="0073700B" w:rsidRDefault="001A2FFC">
            <w:pPr>
              <w:pStyle w:val="af9"/>
              <w:rPr>
                <w:bCs/>
                <w:color w:val="000000"/>
                <w:sz w:val="21"/>
              </w:rPr>
            </w:pPr>
            <w:r>
              <w:rPr>
                <w:bCs/>
                <w:color w:val="000000"/>
                <w:sz w:val="21"/>
              </w:rPr>
              <w:t>1</w:t>
            </w:r>
          </w:p>
        </w:tc>
        <w:tc>
          <w:tcPr>
            <w:tcW w:w="6376" w:type="dxa"/>
            <w:tcBorders>
              <w:top w:val="single" w:sz="8" w:space="0" w:color="auto"/>
            </w:tcBorders>
            <w:shd w:val="clear" w:color="auto" w:fill="auto"/>
            <w:vAlign w:val="center"/>
          </w:tcPr>
          <w:p w:rsidR="0073700B" w:rsidRDefault="001A2FFC">
            <w:pPr>
              <w:pStyle w:val="af9"/>
              <w:rPr>
                <w:bCs/>
                <w:color w:val="000000"/>
                <w:sz w:val="21"/>
              </w:rPr>
            </w:pPr>
            <w:r>
              <w:rPr>
                <w:bCs/>
                <w:color w:val="000000"/>
                <w:sz w:val="21"/>
              </w:rPr>
              <w:t>表示两个因素相比，前者比后者同等重要</w:t>
            </w:r>
          </w:p>
        </w:tc>
      </w:tr>
      <w:tr w:rsidR="0073700B">
        <w:trPr>
          <w:trHeight w:val="340"/>
          <w:jc w:val="center"/>
        </w:trPr>
        <w:tc>
          <w:tcPr>
            <w:tcW w:w="1310" w:type="dxa"/>
            <w:shd w:val="clear" w:color="auto" w:fill="auto"/>
            <w:vAlign w:val="center"/>
          </w:tcPr>
          <w:p w:rsidR="0073700B" w:rsidRDefault="001A2FFC">
            <w:pPr>
              <w:pStyle w:val="af9"/>
              <w:rPr>
                <w:bCs/>
                <w:color w:val="000000"/>
                <w:sz w:val="21"/>
              </w:rPr>
            </w:pPr>
            <w:r>
              <w:rPr>
                <w:bCs/>
                <w:color w:val="000000"/>
                <w:sz w:val="21"/>
              </w:rPr>
              <w:t>3</w:t>
            </w:r>
          </w:p>
        </w:tc>
        <w:tc>
          <w:tcPr>
            <w:tcW w:w="6376" w:type="dxa"/>
            <w:shd w:val="clear" w:color="auto" w:fill="auto"/>
            <w:vAlign w:val="center"/>
          </w:tcPr>
          <w:p w:rsidR="0073700B" w:rsidRDefault="001A2FFC">
            <w:pPr>
              <w:pStyle w:val="af9"/>
              <w:rPr>
                <w:bCs/>
                <w:color w:val="000000"/>
                <w:sz w:val="21"/>
              </w:rPr>
            </w:pPr>
            <w:r>
              <w:rPr>
                <w:bCs/>
                <w:color w:val="000000"/>
                <w:sz w:val="21"/>
              </w:rPr>
              <w:t>表示两个因素相比，前者比后者稍重要</w:t>
            </w:r>
          </w:p>
        </w:tc>
      </w:tr>
      <w:tr w:rsidR="0073700B">
        <w:trPr>
          <w:trHeight w:val="340"/>
          <w:jc w:val="center"/>
        </w:trPr>
        <w:tc>
          <w:tcPr>
            <w:tcW w:w="1310" w:type="dxa"/>
            <w:shd w:val="clear" w:color="auto" w:fill="auto"/>
            <w:vAlign w:val="center"/>
          </w:tcPr>
          <w:p w:rsidR="0073700B" w:rsidRDefault="001A2FFC">
            <w:pPr>
              <w:pStyle w:val="af9"/>
              <w:rPr>
                <w:bCs/>
                <w:color w:val="000000"/>
                <w:sz w:val="21"/>
              </w:rPr>
            </w:pPr>
            <w:r>
              <w:rPr>
                <w:bCs/>
                <w:color w:val="000000"/>
                <w:sz w:val="21"/>
              </w:rPr>
              <w:t>5</w:t>
            </w:r>
          </w:p>
        </w:tc>
        <w:tc>
          <w:tcPr>
            <w:tcW w:w="6376" w:type="dxa"/>
            <w:shd w:val="clear" w:color="auto" w:fill="auto"/>
            <w:vAlign w:val="center"/>
          </w:tcPr>
          <w:p w:rsidR="0073700B" w:rsidRDefault="001A2FFC">
            <w:pPr>
              <w:pStyle w:val="af9"/>
              <w:rPr>
                <w:bCs/>
                <w:color w:val="000000"/>
                <w:sz w:val="21"/>
              </w:rPr>
            </w:pPr>
            <w:r>
              <w:rPr>
                <w:bCs/>
                <w:color w:val="000000"/>
                <w:sz w:val="21"/>
              </w:rPr>
              <w:t>表示两个因素相比，前者比后者明显重要</w:t>
            </w:r>
          </w:p>
        </w:tc>
      </w:tr>
      <w:tr w:rsidR="0073700B">
        <w:trPr>
          <w:trHeight w:val="340"/>
          <w:jc w:val="center"/>
        </w:trPr>
        <w:tc>
          <w:tcPr>
            <w:tcW w:w="1310" w:type="dxa"/>
            <w:shd w:val="clear" w:color="auto" w:fill="auto"/>
            <w:vAlign w:val="center"/>
          </w:tcPr>
          <w:p w:rsidR="0073700B" w:rsidRDefault="001A2FFC">
            <w:pPr>
              <w:pStyle w:val="af9"/>
              <w:rPr>
                <w:bCs/>
                <w:color w:val="000000"/>
                <w:sz w:val="21"/>
              </w:rPr>
            </w:pPr>
            <w:r>
              <w:rPr>
                <w:bCs/>
                <w:color w:val="000000"/>
                <w:sz w:val="21"/>
              </w:rPr>
              <w:t>7</w:t>
            </w:r>
          </w:p>
        </w:tc>
        <w:tc>
          <w:tcPr>
            <w:tcW w:w="6376" w:type="dxa"/>
            <w:shd w:val="clear" w:color="auto" w:fill="auto"/>
            <w:vAlign w:val="center"/>
          </w:tcPr>
          <w:p w:rsidR="0073700B" w:rsidRDefault="001A2FFC">
            <w:pPr>
              <w:pStyle w:val="af9"/>
              <w:rPr>
                <w:bCs/>
                <w:color w:val="000000"/>
                <w:sz w:val="21"/>
              </w:rPr>
            </w:pPr>
            <w:r>
              <w:rPr>
                <w:bCs/>
                <w:color w:val="000000"/>
                <w:sz w:val="21"/>
              </w:rPr>
              <w:t>表示两个因素相比，前者比后者强烈重要</w:t>
            </w:r>
          </w:p>
        </w:tc>
      </w:tr>
      <w:tr w:rsidR="0073700B">
        <w:trPr>
          <w:trHeight w:val="340"/>
          <w:jc w:val="center"/>
        </w:trPr>
        <w:tc>
          <w:tcPr>
            <w:tcW w:w="1310" w:type="dxa"/>
            <w:shd w:val="clear" w:color="auto" w:fill="auto"/>
            <w:vAlign w:val="center"/>
          </w:tcPr>
          <w:p w:rsidR="0073700B" w:rsidRDefault="001A2FFC">
            <w:pPr>
              <w:pStyle w:val="af9"/>
              <w:rPr>
                <w:bCs/>
                <w:color w:val="000000"/>
                <w:sz w:val="21"/>
              </w:rPr>
            </w:pPr>
            <w:r>
              <w:rPr>
                <w:bCs/>
                <w:color w:val="000000"/>
                <w:sz w:val="21"/>
              </w:rPr>
              <w:t>9</w:t>
            </w:r>
          </w:p>
        </w:tc>
        <w:tc>
          <w:tcPr>
            <w:tcW w:w="6376" w:type="dxa"/>
            <w:shd w:val="clear" w:color="auto" w:fill="auto"/>
            <w:vAlign w:val="center"/>
          </w:tcPr>
          <w:p w:rsidR="0073700B" w:rsidRDefault="001A2FFC">
            <w:pPr>
              <w:pStyle w:val="af9"/>
              <w:rPr>
                <w:bCs/>
                <w:color w:val="000000"/>
                <w:sz w:val="21"/>
              </w:rPr>
            </w:pPr>
            <w:r>
              <w:rPr>
                <w:bCs/>
                <w:color w:val="000000"/>
                <w:sz w:val="21"/>
              </w:rPr>
              <w:t>表示两个因素相比，前者比后者极端重要</w:t>
            </w:r>
          </w:p>
        </w:tc>
      </w:tr>
      <w:tr w:rsidR="0073700B">
        <w:trPr>
          <w:trHeight w:val="340"/>
          <w:jc w:val="center"/>
        </w:trPr>
        <w:tc>
          <w:tcPr>
            <w:tcW w:w="1310" w:type="dxa"/>
            <w:shd w:val="clear" w:color="auto" w:fill="auto"/>
            <w:vAlign w:val="center"/>
          </w:tcPr>
          <w:p w:rsidR="0073700B" w:rsidRDefault="001A2FFC">
            <w:pPr>
              <w:pStyle w:val="af9"/>
              <w:rPr>
                <w:bCs/>
                <w:color w:val="000000"/>
                <w:sz w:val="21"/>
              </w:rPr>
            </w:pPr>
            <w:r>
              <w:rPr>
                <w:bCs/>
                <w:color w:val="000000"/>
                <w:sz w:val="21"/>
              </w:rPr>
              <w:t>2</w:t>
            </w:r>
            <w:r>
              <w:rPr>
                <w:bCs/>
                <w:color w:val="000000"/>
                <w:sz w:val="21"/>
              </w:rPr>
              <w:t>，</w:t>
            </w:r>
            <w:r>
              <w:rPr>
                <w:bCs/>
                <w:color w:val="000000"/>
                <w:sz w:val="21"/>
              </w:rPr>
              <w:t>4</w:t>
            </w:r>
            <w:r>
              <w:rPr>
                <w:bCs/>
                <w:color w:val="000000"/>
                <w:sz w:val="21"/>
              </w:rPr>
              <w:t>，</w:t>
            </w:r>
            <w:r>
              <w:rPr>
                <w:bCs/>
                <w:color w:val="000000"/>
                <w:sz w:val="21"/>
              </w:rPr>
              <w:t>6</w:t>
            </w:r>
            <w:r>
              <w:rPr>
                <w:bCs/>
                <w:color w:val="000000"/>
                <w:sz w:val="21"/>
              </w:rPr>
              <w:t>，</w:t>
            </w:r>
            <w:r>
              <w:rPr>
                <w:bCs/>
                <w:color w:val="000000"/>
                <w:sz w:val="21"/>
              </w:rPr>
              <w:t>8</w:t>
            </w:r>
          </w:p>
        </w:tc>
        <w:tc>
          <w:tcPr>
            <w:tcW w:w="6376" w:type="dxa"/>
            <w:shd w:val="clear" w:color="auto" w:fill="auto"/>
            <w:vAlign w:val="center"/>
          </w:tcPr>
          <w:p w:rsidR="0073700B" w:rsidRDefault="001A2FFC">
            <w:pPr>
              <w:pStyle w:val="af9"/>
              <w:rPr>
                <w:bCs/>
                <w:color w:val="000000"/>
                <w:sz w:val="21"/>
              </w:rPr>
            </w:pPr>
            <w:r>
              <w:rPr>
                <w:bCs/>
                <w:color w:val="000000"/>
                <w:sz w:val="21"/>
              </w:rPr>
              <w:t>表示上述相邻判断的中间值</w:t>
            </w:r>
          </w:p>
        </w:tc>
      </w:tr>
      <w:tr w:rsidR="0073700B">
        <w:trPr>
          <w:trHeight w:val="340"/>
          <w:jc w:val="center"/>
        </w:trPr>
        <w:tc>
          <w:tcPr>
            <w:tcW w:w="1310" w:type="dxa"/>
            <w:tcBorders>
              <w:bottom w:val="single" w:sz="8" w:space="0" w:color="auto"/>
            </w:tcBorders>
            <w:shd w:val="clear" w:color="auto" w:fill="auto"/>
            <w:vAlign w:val="center"/>
          </w:tcPr>
          <w:p w:rsidR="0073700B" w:rsidRDefault="001A2FFC">
            <w:pPr>
              <w:pStyle w:val="af9"/>
              <w:rPr>
                <w:bCs/>
                <w:color w:val="000000"/>
                <w:sz w:val="21"/>
              </w:rPr>
            </w:pPr>
            <w:r>
              <w:rPr>
                <w:bCs/>
                <w:color w:val="000000"/>
                <w:sz w:val="21"/>
              </w:rPr>
              <w:t>倒数</w:t>
            </w:r>
          </w:p>
        </w:tc>
        <w:tc>
          <w:tcPr>
            <w:tcW w:w="6376" w:type="dxa"/>
            <w:shd w:val="clear" w:color="auto" w:fill="auto"/>
            <w:vAlign w:val="center"/>
          </w:tcPr>
          <w:p w:rsidR="0073700B" w:rsidRDefault="001A2FFC">
            <w:pPr>
              <w:pStyle w:val="af9"/>
              <w:rPr>
                <w:bCs/>
                <w:color w:val="000000"/>
                <w:sz w:val="21"/>
              </w:rPr>
            </w:pPr>
            <w:r>
              <w:rPr>
                <w:bCs/>
                <w:color w:val="000000"/>
                <w:sz w:val="21"/>
              </w:rPr>
              <w:t>因素一与因素二比较结果是因素二与因素一重要性比较结果的倒数</w:t>
            </w:r>
          </w:p>
        </w:tc>
      </w:tr>
    </w:tbl>
    <w:p w:rsidR="0073700B" w:rsidRDefault="001A2FFC" w:rsidP="00F80BAC">
      <w:pPr>
        <w:pStyle w:val="a6"/>
        <w:spacing w:beforeLines="50" w:before="156" w:line="360" w:lineRule="auto"/>
        <w:rPr>
          <w:rFonts w:ascii="黑体" w:eastAsia="黑体" w:hAnsi="黑体"/>
          <w:b w:val="0"/>
          <w:bCs/>
          <w:color w:val="000000"/>
        </w:rPr>
      </w:pPr>
      <w:bookmarkStart w:id="85" w:name="_Ref535833367"/>
      <w:bookmarkStart w:id="86" w:name="_Ref13489144"/>
      <w:r>
        <w:rPr>
          <w:rFonts w:ascii="黑体" w:eastAsia="黑体" w:hAnsi="黑体"/>
          <w:b w:val="0"/>
          <w:bCs/>
        </w:rPr>
        <w:t>表</w:t>
      </w:r>
      <w:bookmarkEnd w:id="85"/>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30</w:t>
      </w:r>
      <w:r>
        <w:rPr>
          <w:rFonts w:ascii="黑体" w:eastAsia="黑体" w:hAnsi="黑体"/>
          <w:b w:val="0"/>
          <w:bCs/>
        </w:rPr>
        <w:fldChar w:fldCharType="end"/>
      </w:r>
      <w:bookmarkEnd w:id="86"/>
      <w:r>
        <w:rPr>
          <w:rFonts w:ascii="黑体" w:eastAsia="黑体" w:hAnsi="黑体"/>
          <w:b w:val="0"/>
          <w:bCs/>
        </w:rPr>
        <w:t xml:space="preserve">  </w:t>
      </w:r>
      <w:r>
        <w:rPr>
          <w:rFonts w:ascii="黑体" w:eastAsia="黑体" w:hAnsi="黑体"/>
          <w:b w:val="0"/>
          <w:bCs/>
          <w:color w:val="000000"/>
        </w:rPr>
        <w:t>指标间两两判断矩阵表</w:t>
      </w:r>
    </w:p>
    <w:tbl>
      <w:tblPr>
        <w:tblStyle w:val="11"/>
        <w:tblW w:w="8276" w:type="dxa"/>
        <w:jc w:val="center"/>
        <w:tblLayout w:type="fixed"/>
        <w:tblLook w:val="04A0" w:firstRow="1" w:lastRow="0" w:firstColumn="1" w:lastColumn="0" w:noHBand="0" w:noVBand="1"/>
      </w:tblPr>
      <w:tblGrid>
        <w:gridCol w:w="1749"/>
        <w:gridCol w:w="1091"/>
        <w:gridCol w:w="1092"/>
        <w:gridCol w:w="1081"/>
        <w:gridCol w:w="1090"/>
        <w:gridCol w:w="1081"/>
        <w:gridCol w:w="1092"/>
      </w:tblGrid>
      <w:tr w:rsidR="0073700B">
        <w:trPr>
          <w:trHeight w:val="397"/>
          <w:jc w:val="center"/>
        </w:trPr>
        <w:tc>
          <w:tcPr>
            <w:tcW w:w="1749" w:type="dxa"/>
            <w:tcBorders>
              <w:top w:val="single" w:sz="8" w:space="0" w:color="auto"/>
              <w:left w:val="single" w:sz="8" w:space="0" w:color="auto"/>
              <w:bottom w:val="single" w:sz="8" w:space="0" w:color="auto"/>
              <w:right w:val="single" w:sz="4" w:space="0" w:color="000000"/>
            </w:tcBorders>
            <w:vAlign w:val="center"/>
          </w:tcPr>
          <w:p w:rsidR="0073700B" w:rsidRDefault="001A2FFC">
            <w:pPr>
              <w:tabs>
                <w:tab w:val="center" w:pos="4201"/>
                <w:tab w:val="right" w:leader="dot" w:pos="9298"/>
              </w:tabs>
              <w:autoSpaceDE w:val="0"/>
              <w:autoSpaceDN w:val="0"/>
              <w:jc w:val="center"/>
              <w:rPr>
                <w:bCs/>
                <w:kern w:val="0"/>
                <w:szCs w:val="20"/>
              </w:rPr>
            </w:pPr>
            <w:r>
              <w:rPr>
                <w:bCs/>
                <w:kern w:val="0"/>
                <w:szCs w:val="20"/>
              </w:rPr>
              <w:t>判断项指标</w:t>
            </w:r>
          </w:p>
        </w:tc>
        <w:tc>
          <w:tcPr>
            <w:tcW w:w="1091" w:type="dxa"/>
            <w:tcBorders>
              <w:top w:val="single" w:sz="8" w:space="0" w:color="auto"/>
              <w:left w:val="single" w:sz="4" w:space="0" w:color="000000"/>
              <w:bottom w:val="single" w:sz="8" w:space="0" w:color="auto"/>
            </w:tcBorders>
            <w:vAlign w:val="center"/>
          </w:tcPr>
          <w:p w:rsidR="0073700B" w:rsidRDefault="001A2FFC">
            <w:pPr>
              <w:tabs>
                <w:tab w:val="center" w:pos="4201"/>
                <w:tab w:val="right" w:leader="dot" w:pos="9298"/>
              </w:tabs>
              <w:autoSpaceDE w:val="0"/>
              <w:autoSpaceDN w:val="0"/>
              <w:jc w:val="center"/>
              <w:rPr>
                <w:bCs/>
                <w:kern w:val="0"/>
                <w:szCs w:val="20"/>
              </w:rPr>
            </w:pPr>
            <w:r>
              <w:rPr>
                <w:bCs/>
                <w:i/>
                <w:iCs/>
                <w:kern w:val="0"/>
                <w:szCs w:val="20"/>
              </w:rPr>
              <w:t>A</w:t>
            </w:r>
            <w:r>
              <w:rPr>
                <w:bCs/>
                <w:kern w:val="0"/>
                <w:szCs w:val="20"/>
                <w:vertAlign w:val="subscript"/>
              </w:rPr>
              <w:t>1</w:t>
            </w:r>
          </w:p>
        </w:tc>
        <w:tc>
          <w:tcPr>
            <w:tcW w:w="1092" w:type="dxa"/>
            <w:tcBorders>
              <w:top w:val="single" w:sz="8" w:space="0" w:color="auto"/>
              <w:bottom w:val="single" w:sz="8" w:space="0" w:color="auto"/>
            </w:tcBorders>
            <w:vAlign w:val="center"/>
          </w:tcPr>
          <w:p w:rsidR="0073700B" w:rsidRDefault="001A2FFC">
            <w:pPr>
              <w:tabs>
                <w:tab w:val="center" w:pos="4201"/>
                <w:tab w:val="right" w:leader="dot" w:pos="9298"/>
              </w:tabs>
              <w:autoSpaceDE w:val="0"/>
              <w:autoSpaceDN w:val="0"/>
              <w:jc w:val="center"/>
              <w:rPr>
                <w:bCs/>
                <w:kern w:val="0"/>
                <w:szCs w:val="20"/>
              </w:rPr>
            </w:pPr>
            <w:r>
              <w:rPr>
                <w:bCs/>
                <w:i/>
                <w:iCs/>
                <w:kern w:val="0"/>
                <w:szCs w:val="20"/>
              </w:rPr>
              <w:t>A</w:t>
            </w:r>
            <w:r>
              <w:rPr>
                <w:bCs/>
                <w:kern w:val="0"/>
                <w:szCs w:val="20"/>
                <w:vertAlign w:val="subscript"/>
              </w:rPr>
              <w:t>2</w:t>
            </w:r>
          </w:p>
        </w:tc>
        <w:tc>
          <w:tcPr>
            <w:tcW w:w="1081" w:type="dxa"/>
            <w:tcBorders>
              <w:top w:val="single" w:sz="8" w:space="0" w:color="auto"/>
              <w:bottom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c>
          <w:tcPr>
            <w:tcW w:w="1090" w:type="dxa"/>
            <w:tcBorders>
              <w:top w:val="single" w:sz="8" w:space="0" w:color="auto"/>
              <w:bottom w:val="single" w:sz="8" w:space="0" w:color="auto"/>
            </w:tcBorders>
            <w:vAlign w:val="center"/>
          </w:tcPr>
          <w:p w:rsidR="0073700B" w:rsidRDefault="001A2FFC">
            <w:pPr>
              <w:tabs>
                <w:tab w:val="center" w:pos="4201"/>
                <w:tab w:val="right" w:leader="dot" w:pos="9298"/>
              </w:tabs>
              <w:autoSpaceDE w:val="0"/>
              <w:autoSpaceDN w:val="0"/>
              <w:jc w:val="center"/>
              <w:rPr>
                <w:bCs/>
                <w:kern w:val="0"/>
                <w:szCs w:val="20"/>
              </w:rPr>
            </w:pPr>
            <w:r>
              <w:rPr>
                <w:bCs/>
                <w:i/>
                <w:iCs/>
                <w:kern w:val="0"/>
                <w:szCs w:val="20"/>
              </w:rPr>
              <w:t>A</w:t>
            </w:r>
            <w:r>
              <w:rPr>
                <w:bCs/>
                <w:i/>
                <w:iCs/>
                <w:kern w:val="0"/>
                <w:szCs w:val="20"/>
                <w:vertAlign w:val="subscript"/>
              </w:rPr>
              <w:t>j</w:t>
            </w:r>
          </w:p>
        </w:tc>
        <w:tc>
          <w:tcPr>
            <w:tcW w:w="1081" w:type="dxa"/>
            <w:tcBorders>
              <w:top w:val="single" w:sz="8" w:space="0" w:color="auto"/>
              <w:bottom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c>
          <w:tcPr>
            <w:tcW w:w="1092" w:type="dxa"/>
            <w:tcBorders>
              <w:top w:val="single" w:sz="8" w:space="0" w:color="auto"/>
              <w:bottom w:val="single" w:sz="8" w:space="0" w:color="auto"/>
              <w:right w:val="single" w:sz="8" w:space="0" w:color="auto"/>
            </w:tcBorders>
            <w:vAlign w:val="center"/>
          </w:tcPr>
          <w:p w:rsidR="0073700B" w:rsidRDefault="001A2FFC">
            <w:pPr>
              <w:tabs>
                <w:tab w:val="center" w:pos="4201"/>
                <w:tab w:val="right" w:leader="dot" w:pos="9298"/>
              </w:tabs>
              <w:autoSpaceDE w:val="0"/>
              <w:autoSpaceDN w:val="0"/>
              <w:jc w:val="center"/>
              <w:rPr>
                <w:bCs/>
                <w:kern w:val="0"/>
                <w:szCs w:val="20"/>
              </w:rPr>
            </w:pPr>
            <w:r>
              <w:rPr>
                <w:bCs/>
                <w:i/>
                <w:iCs/>
                <w:kern w:val="0"/>
                <w:szCs w:val="20"/>
              </w:rPr>
              <w:t>A</w:t>
            </w:r>
            <w:r>
              <w:rPr>
                <w:bCs/>
                <w:i/>
                <w:iCs/>
                <w:kern w:val="0"/>
                <w:szCs w:val="20"/>
                <w:vertAlign w:val="subscript"/>
              </w:rPr>
              <w:t>n</w:t>
            </w:r>
          </w:p>
        </w:tc>
      </w:tr>
      <w:tr w:rsidR="0073700B">
        <w:trPr>
          <w:trHeight w:val="397"/>
          <w:jc w:val="center"/>
        </w:trPr>
        <w:tc>
          <w:tcPr>
            <w:tcW w:w="1749" w:type="dxa"/>
            <w:tcBorders>
              <w:top w:val="single" w:sz="8" w:space="0" w:color="auto"/>
              <w:left w:val="single" w:sz="8" w:space="0" w:color="auto"/>
            </w:tcBorders>
            <w:vAlign w:val="center"/>
          </w:tcPr>
          <w:p w:rsidR="0073700B" w:rsidRDefault="001A2FFC">
            <w:pPr>
              <w:tabs>
                <w:tab w:val="center" w:pos="4201"/>
                <w:tab w:val="right" w:leader="dot" w:pos="9298"/>
              </w:tabs>
              <w:autoSpaceDE w:val="0"/>
              <w:autoSpaceDN w:val="0"/>
              <w:jc w:val="center"/>
              <w:rPr>
                <w:bCs/>
                <w:kern w:val="0"/>
                <w:szCs w:val="20"/>
              </w:rPr>
            </w:pPr>
            <w:r>
              <w:rPr>
                <w:bCs/>
                <w:i/>
                <w:iCs/>
                <w:kern w:val="0"/>
                <w:szCs w:val="20"/>
              </w:rPr>
              <w:t>A</w:t>
            </w:r>
            <w:r>
              <w:rPr>
                <w:bCs/>
                <w:kern w:val="0"/>
                <w:szCs w:val="20"/>
                <w:vertAlign w:val="subscript"/>
              </w:rPr>
              <w:t>1</w:t>
            </w:r>
          </w:p>
        </w:tc>
        <w:tc>
          <w:tcPr>
            <w:tcW w:w="1091" w:type="dxa"/>
            <w:tcBorders>
              <w:top w:val="single" w:sz="8" w:space="0" w:color="auto"/>
            </w:tcBorders>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kern w:val="0"/>
                <w:szCs w:val="20"/>
                <w:vertAlign w:val="subscript"/>
              </w:rPr>
              <w:t>11</w:t>
            </w:r>
          </w:p>
        </w:tc>
        <w:tc>
          <w:tcPr>
            <w:tcW w:w="1092" w:type="dxa"/>
            <w:tcBorders>
              <w:top w:val="single" w:sz="8" w:space="0" w:color="auto"/>
            </w:tcBorders>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kern w:val="0"/>
                <w:szCs w:val="20"/>
                <w:vertAlign w:val="subscript"/>
              </w:rPr>
              <w:t>12</w:t>
            </w:r>
          </w:p>
        </w:tc>
        <w:tc>
          <w:tcPr>
            <w:tcW w:w="1081" w:type="dxa"/>
            <w:tcBorders>
              <w:top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c>
          <w:tcPr>
            <w:tcW w:w="1090" w:type="dxa"/>
            <w:tcBorders>
              <w:top w:val="single" w:sz="8" w:space="0" w:color="auto"/>
            </w:tcBorders>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kern w:val="0"/>
                <w:szCs w:val="20"/>
                <w:vertAlign w:val="subscript"/>
              </w:rPr>
              <w:t>1</w:t>
            </w:r>
            <w:r>
              <w:rPr>
                <w:bCs/>
                <w:i/>
                <w:iCs/>
                <w:kern w:val="0"/>
                <w:szCs w:val="20"/>
                <w:vertAlign w:val="subscript"/>
              </w:rPr>
              <w:t>j</w:t>
            </w:r>
          </w:p>
        </w:tc>
        <w:tc>
          <w:tcPr>
            <w:tcW w:w="1081" w:type="dxa"/>
            <w:tcBorders>
              <w:top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c>
          <w:tcPr>
            <w:tcW w:w="1092" w:type="dxa"/>
            <w:tcBorders>
              <w:top w:val="single" w:sz="8" w:space="0" w:color="auto"/>
              <w:right w:val="single" w:sz="8" w:space="0" w:color="auto"/>
            </w:tcBorders>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kern w:val="0"/>
                <w:szCs w:val="20"/>
                <w:vertAlign w:val="subscript"/>
              </w:rPr>
              <w:t>1</w:t>
            </w:r>
            <w:r>
              <w:rPr>
                <w:bCs/>
                <w:i/>
                <w:iCs/>
                <w:kern w:val="0"/>
                <w:szCs w:val="20"/>
                <w:vertAlign w:val="subscript"/>
              </w:rPr>
              <w:t>n</w:t>
            </w:r>
          </w:p>
        </w:tc>
      </w:tr>
      <w:tr w:rsidR="0073700B">
        <w:trPr>
          <w:trHeight w:val="397"/>
          <w:jc w:val="center"/>
        </w:trPr>
        <w:tc>
          <w:tcPr>
            <w:tcW w:w="1749" w:type="dxa"/>
            <w:tcBorders>
              <w:left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c>
          <w:tcPr>
            <w:tcW w:w="1091" w:type="dxa"/>
            <w:vAlign w:val="center"/>
          </w:tcPr>
          <w:p w:rsidR="0073700B" w:rsidRDefault="0073700B">
            <w:pPr>
              <w:tabs>
                <w:tab w:val="center" w:pos="4201"/>
                <w:tab w:val="right" w:leader="dot" w:pos="9298"/>
              </w:tabs>
              <w:autoSpaceDE w:val="0"/>
              <w:autoSpaceDN w:val="0"/>
              <w:jc w:val="center"/>
              <w:rPr>
                <w:bCs/>
                <w:kern w:val="0"/>
                <w:szCs w:val="20"/>
              </w:rPr>
            </w:pPr>
          </w:p>
        </w:tc>
        <w:tc>
          <w:tcPr>
            <w:tcW w:w="1092" w:type="dxa"/>
            <w:vAlign w:val="center"/>
          </w:tcPr>
          <w:p w:rsidR="0073700B" w:rsidRDefault="0073700B">
            <w:pPr>
              <w:tabs>
                <w:tab w:val="center" w:pos="4201"/>
                <w:tab w:val="right" w:leader="dot" w:pos="9298"/>
              </w:tabs>
              <w:autoSpaceDE w:val="0"/>
              <w:autoSpaceDN w:val="0"/>
              <w:jc w:val="center"/>
              <w:rPr>
                <w:bCs/>
                <w:kern w:val="0"/>
                <w:szCs w:val="20"/>
              </w:rPr>
            </w:pPr>
          </w:p>
        </w:tc>
        <w:tc>
          <w:tcPr>
            <w:tcW w:w="1081" w:type="dxa"/>
            <w:vAlign w:val="center"/>
          </w:tcPr>
          <w:p w:rsidR="0073700B" w:rsidRDefault="0073700B">
            <w:pPr>
              <w:tabs>
                <w:tab w:val="center" w:pos="4201"/>
                <w:tab w:val="right" w:leader="dot" w:pos="9298"/>
              </w:tabs>
              <w:autoSpaceDE w:val="0"/>
              <w:autoSpaceDN w:val="0"/>
              <w:jc w:val="center"/>
              <w:rPr>
                <w:bCs/>
                <w:kern w:val="0"/>
                <w:szCs w:val="20"/>
              </w:rPr>
            </w:pPr>
          </w:p>
        </w:tc>
        <w:tc>
          <w:tcPr>
            <w:tcW w:w="1090" w:type="dxa"/>
            <w:vAlign w:val="center"/>
          </w:tcPr>
          <w:p w:rsidR="0073700B" w:rsidRDefault="0073700B">
            <w:pPr>
              <w:tabs>
                <w:tab w:val="center" w:pos="4201"/>
                <w:tab w:val="right" w:leader="dot" w:pos="9298"/>
              </w:tabs>
              <w:autoSpaceDE w:val="0"/>
              <w:autoSpaceDN w:val="0"/>
              <w:jc w:val="center"/>
              <w:rPr>
                <w:bCs/>
                <w:kern w:val="0"/>
                <w:szCs w:val="20"/>
              </w:rPr>
            </w:pPr>
          </w:p>
        </w:tc>
        <w:tc>
          <w:tcPr>
            <w:tcW w:w="1081" w:type="dxa"/>
            <w:vAlign w:val="center"/>
          </w:tcPr>
          <w:p w:rsidR="0073700B" w:rsidRDefault="0073700B">
            <w:pPr>
              <w:tabs>
                <w:tab w:val="center" w:pos="4201"/>
                <w:tab w:val="right" w:leader="dot" w:pos="9298"/>
              </w:tabs>
              <w:autoSpaceDE w:val="0"/>
              <w:autoSpaceDN w:val="0"/>
              <w:jc w:val="center"/>
              <w:rPr>
                <w:bCs/>
                <w:kern w:val="0"/>
                <w:szCs w:val="20"/>
              </w:rPr>
            </w:pPr>
          </w:p>
        </w:tc>
        <w:tc>
          <w:tcPr>
            <w:tcW w:w="1092" w:type="dxa"/>
            <w:tcBorders>
              <w:right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r>
      <w:tr w:rsidR="0073700B">
        <w:trPr>
          <w:trHeight w:val="397"/>
          <w:jc w:val="center"/>
        </w:trPr>
        <w:tc>
          <w:tcPr>
            <w:tcW w:w="1749" w:type="dxa"/>
            <w:tcBorders>
              <w:left w:val="single" w:sz="8" w:space="0" w:color="auto"/>
            </w:tcBorders>
            <w:vAlign w:val="center"/>
          </w:tcPr>
          <w:p w:rsidR="0073700B" w:rsidRDefault="001A2FFC">
            <w:pPr>
              <w:tabs>
                <w:tab w:val="center" w:pos="4201"/>
                <w:tab w:val="right" w:leader="dot" w:pos="9298"/>
              </w:tabs>
              <w:autoSpaceDE w:val="0"/>
              <w:autoSpaceDN w:val="0"/>
              <w:jc w:val="center"/>
              <w:rPr>
                <w:bCs/>
                <w:kern w:val="0"/>
                <w:szCs w:val="20"/>
              </w:rPr>
            </w:pPr>
            <w:r>
              <w:rPr>
                <w:bCs/>
                <w:i/>
                <w:iCs/>
                <w:kern w:val="0"/>
                <w:szCs w:val="20"/>
              </w:rPr>
              <w:t>A</w:t>
            </w:r>
            <w:r>
              <w:rPr>
                <w:bCs/>
                <w:i/>
                <w:iCs/>
                <w:kern w:val="0"/>
                <w:szCs w:val="20"/>
                <w:vertAlign w:val="subscript"/>
              </w:rPr>
              <w:t>i</w:t>
            </w:r>
          </w:p>
        </w:tc>
        <w:tc>
          <w:tcPr>
            <w:tcW w:w="1091" w:type="dxa"/>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i/>
                <w:iCs/>
                <w:kern w:val="0"/>
                <w:szCs w:val="20"/>
                <w:vertAlign w:val="subscript"/>
              </w:rPr>
              <w:t>i</w:t>
            </w:r>
            <w:r>
              <w:rPr>
                <w:bCs/>
                <w:kern w:val="0"/>
                <w:szCs w:val="20"/>
                <w:vertAlign w:val="subscript"/>
              </w:rPr>
              <w:t>1</w:t>
            </w:r>
          </w:p>
        </w:tc>
        <w:tc>
          <w:tcPr>
            <w:tcW w:w="1092" w:type="dxa"/>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i/>
                <w:iCs/>
                <w:kern w:val="0"/>
                <w:szCs w:val="20"/>
                <w:vertAlign w:val="subscript"/>
              </w:rPr>
              <w:t>i</w:t>
            </w:r>
            <w:r>
              <w:rPr>
                <w:bCs/>
                <w:kern w:val="0"/>
                <w:szCs w:val="20"/>
                <w:vertAlign w:val="subscript"/>
              </w:rPr>
              <w:t>2</w:t>
            </w:r>
          </w:p>
        </w:tc>
        <w:tc>
          <w:tcPr>
            <w:tcW w:w="1081" w:type="dxa"/>
            <w:vAlign w:val="center"/>
          </w:tcPr>
          <w:p w:rsidR="0073700B" w:rsidRDefault="0073700B">
            <w:pPr>
              <w:tabs>
                <w:tab w:val="center" w:pos="4201"/>
                <w:tab w:val="right" w:leader="dot" w:pos="9298"/>
              </w:tabs>
              <w:autoSpaceDE w:val="0"/>
              <w:autoSpaceDN w:val="0"/>
              <w:jc w:val="center"/>
              <w:rPr>
                <w:bCs/>
                <w:kern w:val="0"/>
                <w:szCs w:val="20"/>
              </w:rPr>
            </w:pPr>
          </w:p>
        </w:tc>
        <w:tc>
          <w:tcPr>
            <w:tcW w:w="1090" w:type="dxa"/>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i/>
                <w:iCs/>
                <w:kern w:val="0"/>
                <w:szCs w:val="20"/>
                <w:vertAlign w:val="subscript"/>
              </w:rPr>
              <w:t>ij</w:t>
            </w:r>
          </w:p>
        </w:tc>
        <w:tc>
          <w:tcPr>
            <w:tcW w:w="1081" w:type="dxa"/>
            <w:vAlign w:val="center"/>
          </w:tcPr>
          <w:p w:rsidR="0073700B" w:rsidRDefault="0073700B">
            <w:pPr>
              <w:tabs>
                <w:tab w:val="center" w:pos="4201"/>
                <w:tab w:val="right" w:leader="dot" w:pos="9298"/>
              </w:tabs>
              <w:autoSpaceDE w:val="0"/>
              <w:autoSpaceDN w:val="0"/>
              <w:jc w:val="center"/>
              <w:rPr>
                <w:bCs/>
                <w:kern w:val="0"/>
                <w:szCs w:val="20"/>
              </w:rPr>
            </w:pPr>
          </w:p>
        </w:tc>
        <w:tc>
          <w:tcPr>
            <w:tcW w:w="1092" w:type="dxa"/>
            <w:tcBorders>
              <w:right w:val="single" w:sz="8" w:space="0" w:color="auto"/>
            </w:tcBorders>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i/>
                <w:iCs/>
                <w:kern w:val="0"/>
                <w:szCs w:val="20"/>
                <w:vertAlign w:val="subscript"/>
              </w:rPr>
              <w:t>in</w:t>
            </w:r>
          </w:p>
        </w:tc>
      </w:tr>
      <w:tr w:rsidR="0073700B">
        <w:trPr>
          <w:trHeight w:val="397"/>
          <w:jc w:val="center"/>
        </w:trPr>
        <w:tc>
          <w:tcPr>
            <w:tcW w:w="1749" w:type="dxa"/>
            <w:tcBorders>
              <w:left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c>
          <w:tcPr>
            <w:tcW w:w="1091" w:type="dxa"/>
            <w:vAlign w:val="center"/>
          </w:tcPr>
          <w:p w:rsidR="0073700B" w:rsidRDefault="0073700B">
            <w:pPr>
              <w:tabs>
                <w:tab w:val="center" w:pos="4201"/>
                <w:tab w:val="right" w:leader="dot" w:pos="9298"/>
              </w:tabs>
              <w:autoSpaceDE w:val="0"/>
              <w:autoSpaceDN w:val="0"/>
              <w:jc w:val="center"/>
              <w:rPr>
                <w:bCs/>
                <w:kern w:val="0"/>
                <w:szCs w:val="20"/>
              </w:rPr>
            </w:pPr>
          </w:p>
        </w:tc>
        <w:tc>
          <w:tcPr>
            <w:tcW w:w="1092" w:type="dxa"/>
            <w:vAlign w:val="center"/>
          </w:tcPr>
          <w:p w:rsidR="0073700B" w:rsidRDefault="0073700B">
            <w:pPr>
              <w:tabs>
                <w:tab w:val="center" w:pos="4201"/>
                <w:tab w:val="right" w:leader="dot" w:pos="9298"/>
              </w:tabs>
              <w:autoSpaceDE w:val="0"/>
              <w:autoSpaceDN w:val="0"/>
              <w:jc w:val="center"/>
              <w:rPr>
                <w:bCs/>
                <w:kern w:val="0"/>
                <w:szCs w:val="20"/>
              </w:rPr>
            </w:pPr>
          </w:p>
        </w:tc>
        <w:tc>
          <w:tcPr>
            <w:tcW w:w="1081" w:type="dxa"/>
            <w:vAlign w:val="center"/>
          </w:tcPr>
          <w:p w:rsidR="0073700B" w:rsidRDefault="0073700B">
            <w:pPr>
              <w:tabs>
                <w:tab w:val="center" w:pos="4201"/>
                <w:tab w:val="right" w:leader="dot" w:pos="9298"/>
              </w:tabs>
              <w:autoSpaceDE w:val="0"/>
              <w:autoSpaceDN w:val="0"/>
              <w:jc w:val="center"/>
              <w:rPr>
                <w:bCs/>
                <w:kern w:val="0"/>
                <w:szCs w:val="20"/>
              </w:rPr>
            </w:pPr>
          </w:p>
        </w:tc>
        <w:tc>
          <w:tcPr>
            <w:tcW w:w="1090" w:type="dxa"/>
            <w:vAlign w:val="center"/>
          </w:tcPr>
          <w:p w:rsidR="0073700B" w:rsidRDefault="0073700B">
            <w:pPr>
              <w:tabs>
                <w:tab w:val="center" w:pos="4201"/>
                <w:tab w:val="right" w:leader="dot" w:pos="9298"/>
              </w:tabs>
              <w:autoSpaceDE w:val="0"/>
              <w:autoSpaceDN w:val="0"/>
              <w:jc w:val="center"/>
              <w:rPr>
                <w:bCs/>
                <w:kern w:val="0"/>
                <w:szCs w:val="20"/>
              </w:rPr>
            </w:pPr>
          </w:p>
        </w:tc>
        <w:tc>
          <w:tcPr>
            <w:tcW w:w="1081" w:type="dxa"/>
            <w:vAlign w:val="center"/>
          </w:tcPr>
          <w:p w:rsidR="0073700B" w:rsidRDefault="0073700B">
            <w:pPr>
              <w:tabs>
                <w:tab w:val="center" w:pos="4201"/>
                <w:tab w:val="right" w:leader="dot" w:pos="9298"/>
              </w:tabs>
              <w:autoSpaceDE w:val="0"/>
              <w:autoSpaceDN w:val="0"/>
              <w:jc w:val="center"/>
              <w:rPr>
                <w:bCs/>
                <w:kern w:val="0"/>
                <w:szCs w:val="20"/>
              </w:rPr>
            </w:pPr>
          </w:p>
        </w:tc>
        <w:tc>
          <w:tcPr>
            <w:tcW w:w="1092" w:type="dxa"/>
            <w:tcBorders>
              <w:right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r>
      <w:tr w:rsidR="0073700B">
        <w:trPr>
          <w:trHeight w:val="397"/>
          <w:jc w:val="center"/>
        </w:trPr>
        <w:tc>
          <w:tcPr>
            <w:tcW w:w="1749" w:type="dxa"/>
            <w:tcBorders>
              <w:left w:val="single" w:sz="8" w:space="0" w:color="auto"/>
              <w:bottom w:val="single" w:sz="8" w:space="0" w:color="auto"/>
            </w:tcBorders>
            <w:vAlign w:val="center"/>
          </w:tcPr>
          <w:p w:rsidR="0073700B" w:rsidRDefault="001A2FFC">
            <w:pPr>
              <w:tabs>
                <w:tab w:val="center" w:pos="4201"/>
                <w:tab w:val="right" w:leader="dot" w:pos="9298"/>
              </w:tabs>
              <w:autoSpaceDE w:val="0"/>
              <w:autoSpaceDN w:val="0"/>
              <w:jc w:val="center"/>
              <w:rPr>
                <w:bCs/>
                <w:kern w:val="0"/>
                <w:szCs w:val="20"/>
              </w:rPr>
            </w:pPr>
            <w:r>
              <w:rPr>
                <w:bCs/>
                <w:i/>
                <w:iCs/>
                <w:kern w:val="0"/>
                <w:szCs w:val="20"/>
              </w:rPr>
              <w:t>A</w:t>
            </w:r>
            <w:r>
              <w:rPr>
                <w:bCs/>
                <w:i/>
                <w:iCs/>
                <w:kern w:val="0"/>
                <w:szCs w:val="20"/>
                <w:vertAlign w:val="subscript"/>
              </w:rPr>
              <w:t>n</w:t>
            </w:r>
          </w:p>
        </w:tc>
        <w:tc>
          <w:tcPr>
            <w:tcW w:w="1091" w:type="dxa"/>
            <w:tcBorders>
              <w:bottom w:val="single" w:sz="8" w:space="0" w:color="auto"/>
            </w:tcBorders>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i/>
                <w:iCs/>
                <w:kern w:val="0"/>
                <w:szCs w:val="20"/>
                <w:vertAlign w:val="subscript"/>
              </w:rPr>
              <w:t>n</w:t>
            </w:r>
            <w:r>
              <w:rPr>
                <w:bCs/>
                <w:kern w:val="0"/>
                <w:szCs w:val="20"/>
                <w:vertAlign w:val="subscript"/>
              </w:rPr>
              <w:t>1</w:t>
            </w:r>
          </w:p>
        </w:tc>
        <w:tc>
          <w:tcPr>
            <w:tcW w:w="1092" w:type="dxa"/>
            <w:tcBorders>
              <w:bottom w:val="single" w:sz="8" w:space="0" w:color="auto"/>
            </w:tcBorders>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i/>
                <w:iCs/>
                <w:kern w:val="0"/>
                <w:szCs w:val="20"/>
                <w:vertAlign w:val="subscript"/>
              </w:rPr>
              <w:t>n</w:t>
            </w:r>
            <w:r>
              <w:rPr>
                <w:bCs/>
                <w:kern w:val="0"/>
                <w:szCs w:val="20"/>
                <w:vertAlign w:val="subscript"/>
              </w:rPr>
              <w:t>2</w:t>
            </w:r>
          </w:p>
        </w:tc>
        <w:tc>
          <w:tcPr>
            <w:tcW w:w="1081" w:type="dxa"/>
            <w:tcBorders>
              <w:bottom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c>
          <w:tcPr>
            <w:tcW w:w="1090" w:type="dxa"/>
            <w:tcBorders>
              <w:bottom w:val="single" w:sz="8" w:space="0" w:color="auto"/>
            </w:tcBorders>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i/>
                <w:iCs/>
                <w:kern w:val="0"/>
                <w:szCs w:val="20"/>
                <w:vertAlign w:val="subscript"/>
              </w:rPr>
              <w:t>nj</w:t>
            </w:r>
          </w:p>
        </w:tc>
        <w:tc>
          <w:tcPr>
            <w:tcW w:w="1081" w:type="dxa"/>
            <w:tcBorders>
              <w:bottom w:val="single" w:sz="8" w:space="0" w:color="auto"/>
            </w:tcBorders>
            <w:vAlign w:val="center"/>
          </w:tcPr>
          <w:p w:rsidR="0073700B" w:rsidRDefault="0073700B">
            <w:pPr>
              <w:tabs>
                <w:tab w:val="center" w:pos="4201"/>
                <w:tab w:val="right" w:leader="dot" w:pos="9298"/>
              </w:tabs>
              <w:autoSpaceDE w:val="0"/>
              <w:autoSpaceDN w:val="0"/>
              <w:jc w:val="center"/>
              <w:rPr>
                <w:bCs/>
                <w:kern w:val="0"/>
                <w:szCs w:val="20"/>
              </w:rPr>
            </w:pPr>
          </w:p>
        </w:tc>
        <w:tc>
          <w:tcPr>
            <w:tcW w:w="1092" w:type="dxa"/>
            <w:tcBorders>
              <w:bottom w:val="single" w:sz="8" w:space="0" w:color="auto"/>
              <w:right w:val="single" w:sz="8" w:space="0" w:color="auto"/>
            </w:tcBorders>
            <w:vAlign w:val="center"/>
          </w:tcPr>
          <w:p w:rsidR="0073700B" w:rsidRDefault="001A2FFC">
            <w:pPr>
              <w:tabs>
                <w:tab w:val="center" w:pos="4201"/>
                <w:tab w:val="right" w:leader="dot" w:pos="9298"/>
              </w:tabs>
              <w:autoSpaceDE w:val="0"/>
              <w:autoSpaceDN w:val="0"/>
              <w:jc w:val="center"/>
              <w:rPr>
                <w:bCs/>
                <w:i/>
                <w:iCs/>
                <w:kern w:val="0"/>
                <w:szCs w:val="20"/>
              </w:rPr>
            </w:pPr>
            <w:r>
              <w:rPr>
                <w:bCs/>
                <w:i/>
                <w:iCs/>
                <w:kern w:val="0"/>
                <w:szCs w:val="20"/>
              </w:rPr>
              <w:t>a</w:t>
            </w:r>
            <w:r>
              <w:rPr>
                <w:bCs/>
                <w:i/>
                <w:iCs/>
                <w:kern w:val="0"/>
                <w:szCs w:val="20"/>
                <w:vertAlign w:val="subscript"/>
              </w:rPr>
              <w:t>nn</w:t>
            </w:r>
          </w:p>
        </w:tc>
      </w:tr>
    </w:tbl>
    <w:p w:rsidR="0073700B" w:rsidRDefault="001A2FFC" w:rsidP="00F80BAC">
      <w:pPr>
        <w:spacing w:beforeLines="50" w:before="156" w:line="360" w:lineRule="auto"/>
        <w:ind w:firstLineChars="200" w:firstLine="480"/>
        <w:rPr>
          <w:bCs/>
          <w:color w:val="000000"/>
        </w:rPr>
      </w:pPr>
      <w:r>
        <w:rPr>
          <w:rFonts w:hint="eastAsia"/>
          <w:bCs/>
          <w:color w:val="000000"/>
          <w:sz w:val="24"/>
          <w:szCs w:val="24"/>
        </w:rPr>
        <w:lastRenderedPageBreak/>
        <w:t>第三步：</w:t>
      </w:r>
      <w:proofErr w:type="gramStart"/>
      <w:r>
        <w:rPr>
          <w:bCs/>
          <w:color w:val="000000"/>
          <w:sz w:val="24"/>
          <w:szCs w:val="24"/>
        </w:rPr>
        <w:t>按照式</w:t>
      </w:r>
      <w:proofErr w:type="gramEnd"/>
      <w:r>
        <w:rPr>
          <w:bCs/>
          <w:color w:val="000000"/>
          <w:sz w:val="24"/>
          <w:szCs w:val="24"/>
        </w:rPr>
        <w:t>(3)</w:t>
      </w:r>
      <w:r>
        <w:rPr>
          <w:bCs/>
          <w:color w:val="000000"/>
          <w:sz w:val="24"/>
          <w:szCs w:val="24"/>
        </w:rPr>
        <w:t>计算判断矩阵中每行元素的几何平均值</w:t>
      </w:r>
      <w:r>
        <w:rPr>
          <w:position w:val="-12"/>
        </w:rPr>
        <w:object w:dxaOrig="262" w:dyaOrig="374">
          <v:shape id="_x0000_i1043" type="#_x0000_t75" style="width:13.05pt;height:18.8pt" o:ole="">
            <v:imagedata r:id="rId49" o:title=""/>
          </v:shape>
          <o:OLEObject Type="Embed" ProgID="Equation.DSMT4" ShapeID="_x0000_i1043" DrawAspect="Content" ObjectID="_1645534676" r:id="rId50"/>
        </w:object>
      </w:r>
      <w:r>
        <w:t>，</w:t>
      </w:r>
      <w:r>
        <w:rPr>
          <w:bCs/>
          <w:color w:val="000000"/>
          <w:sz w:val="24"/>
          <w:szCs w:val="24"/>
        </w:rPr>
        <w:t>再</w:t>
      </w:r>
      <w:proofErr w:type="gramStart"/>
      <w:r>
        <w:rPr>
          <w:bCs/>
          <w:color w:val="000000"/>
          <w:sz w:val="24"/>
          <w:szCs w:val="24"/>
        </w:rPr>
        <w:t>按照式</w:t>
      </w:r>
      <w:proofErr w:type="gramEnd"/>
      <w:r>
        <w:rPr>
          <w:bCs/>
          <w:color w:val="000000"/>
          <w:sz w:val="24"/>
          <w:szCs w:val="24"/>
        </w:rPr>
        <w:t>(4)</w:t>
      </w:r>
      <w:r>
        <w:rPr>
          <w:bCs/>
          <w:color w:val="000000"/>
          <w:sz w:val="24"/>
          <w:szCs w:val="24"/>
        </w:rPr>
        <w:t>进行归一化处理得到相对权重值</w:t>
      </w:r>
      <w:proofErr w:type="spellStart"/>
      <w:r>
        <w:rPr>
          <w:bCs/>
          <w:i/>
          <w:iCs/>
          <w:color w:val="000000"/>
          <w:sz w:val="24"/>
          <w:szCs w:val="24"/>
        </w:rPr>
        <w:t>w</w:t>
      </w:r>
      <w:r>
        <w:rPr>
          <w:bCs/>
          <w:i/>
          <w:iCs/>
          <w:color w:val="000000"/>
          <w:sz w:val="24"/>
          <w:szCs w:val="24"/>
          <w:vertAlign w:val="subscript"/>
        </w:rPr>
        <w:t>i</w:t>
      </w:r>
      <w:proofErr w:type="spellEnd"/>
      <w:r>
        <w:rPr>
          <w:bCs/>
          <w:color w:val="000000"/>
          <w:sz w:val="24"/>
          <w:szCs w:val="24"/>
        </w:rPr>
        <w:t>。</w:t>
      </w:r>
    </w:p>
    <w:p w:rsidR="0073700B" w:rsidRDefault="001A2FFC" w:rsidP="00F80BAC">
      <w:pPr>
        <w:pStyle w:val="af8"/>
        <w:spacing w:beforeLines="50" w:before="156" w:line="360" w:lineRule="auto"/>
        <w:ind w:left="420" w:firstLineChars="0" w:firstLine="0"/>
        <w:jc w:val="right"/>
        <w:rPr>
          <w:rFonts w:ascii="Times New Roman" w:hAnsi="Times New Roman"/>
          <w:bCs/>
          <w:color w:val="000000"/>
          <w:sz w:val="24"/>
          <w:szCs w:val="24"/>
        </w:rPr>
      </w:pPr>
      <w:r>
        <w:rPr>
          <w:rFonts w:ascii="Times New Roman" w:hAnsi="Times New Roman"/>
          <w:position w:val="-32"/>
          <w:szCs w:val="21"/>
        </w:rPr>
        <w:object w:dxaOrig="2599" w:dyaOrig="711">
          <v:shape id="_x0000_i1044" type="#_x0000_t75" style="width:129.9pt;height:35.5pt" o:ole="">
            <v:imagedata r:id="rId51" o:title=""/>
          </v:shape>
          <o:OLEObject Type="Embed" ProgID="Equation.DSMT4" ShapeID="_x0000_i1044" DrawAspect="Content" ObjectID="_1645534677" r:id="rId52"/>
        </w:object>
      </w:r>
      <w:r>
        <w:rPr>
          <w:rFonts w:ascii="Times New Roman" w:hAnsi="Times New Roman"/>
          <w:bCs/>
          <w:color w:val="000000"/>
          <w:sz w:val="24"/>
          <w:szCs w:val="24"/>
        </w:rPr>
        <w:t xml:space="preserve">                     (3)</w:t>
      </w:r>
    </w:p>
    <w:p w:rsidR="0073700B" w:rsidRDefault="001A2FFC" w:rsidP="00F80BAC">
      <w:pPr>
        <w:pStyle w:val="af8"/>
        <w:spacing w:beforeLines="50" w:before="156" w:line="360" w:lineRule="auto"/>
        <w:ind w:left="420" w:firstLineChars="0" w:firstLine="0"/>
        <w:jc w:val="right"/>
        <w:rPr>
          <w:rFonts w:ascii="Times New Roman" w:hAnsi="Times New Roman"/>
          <w:bCs/>
          <w:color w:val="000000"/>
          <w:sz w:val="24"/>
          <w:szCs w:val="24"/>
        </w:rPr>
      </w:pPr>
      <w:r>
        <w:rPr>
          <w:rFonts w:ascii="Times New Roman" w:hAnsi="Times New Roman"/>
          <w:position w:val="-26"/>
          <w:szCs w:val="21"/>
        </w:rPr>
        <w:object w:dxaOrig="1384" w:dyaOrig="636">
          <v:shape id="_x0000_i1045" type="#_x0000_t75" style="width:69.4pt;height:31.85pt" o:ole="">
            <v:imagedata r:id="rId53" o:title=""/>
          </v:shape>
          <o:OLEObject Type="Embed" ProgID="Equation.DSMT4" ShapeID="_x0000_i1045" DrawAspect="Content" ObjectID="_1645534678" r:id="rId54"/>
        </w:object>
      </w:r>
      <w:r>
        <w:rPr>
          <w:rFonts w:ascii="Times New Roman" w:hAnsi="Times New Roman"/>
          <w:bCs/>
          <w:color w:val="000000"/>
          <w:sz w:val="24"/>
          <w:szCs w:val="24"/>
        </w:rPr>
        <w:t xml:space="preserve">                          (4)</w:t>
      </w:r>
    </w:p>
    <w:p w:rsidR="0073700B" w:rsidRDefault="001A2FFC" w:rsidP="00F80BAC">
      <w:pPr>
        <w:spacing w:beforeLines="50" w:before="156" w:line="360" w:lineRule="auto"/>
        <w:ind w:firstLineChars="200" w:firstLine="480"/>
        <w:rPr>
          <w:bCs/>
          <w:color w:val="000000"/>
        </w:rPr>
      </w:pPr>
      <w:r>
        <w:rPr>
          <w:rFonts w:hint="eastAsia"/>
          <w:bCs/>
          <w:color w:val="000000"/>
          <w:sz w:val="24"/>
          <w:szCs w:val="24"/>
        </w:rPr>
        <w:t>第四步：</w:t>
      </w:r>
      <w:r>
        <w:rPr>
          <w:bCs/>
          <w:color w:val="000000"/>
          <w:sz w:val="24"/>
          <w:szCs w:val="24"/>
        </w:rPr>
        <w:t>通过式</w:t>
      </w:r>
      <w:r>
        <w:rPr>
          <w:bCs/>
          <w:color w:val="000000"/>
          <w:sz w:val="24"/>
          <w:szCs w:val="24"/>
        </w:rPr>
        <w:t>(5)</w:t>
      </w:r>
      <w:r>
        <w:rPr>
          <w:bCs/>
          <w:color w:val="000000"/>
          <w:sz w:val="24"/>
          <w:szCs w:val="24"/>
        </w:rPr>
        <w:t>计算判断矩阵的最大特征值</w:t>
      </w:r>
      <w:proofErr w:type="spellStart"/>
      <w:r>
        <w:rPr>
          <w:bCs/>
          <w:i/>
          <w:iCs/>
          <w:sz w:val="24"/>
          <w:szCs w:val="28"/>
        </w:rPr>
        <w:t>λ</w:t>
      </w:r>
      <w:r>
        <w:rPr>
          <w:bCs/>
          <w:sz w:val="24"/>
          <w:szCs w:val="28"/>
          <w:vertAlign w:val="subscript"/>
        </w:rPr>
        <w:t>max</w:t>
      </w:r>
      <w:proofErr w:type="spellEnd"/>
      <w:r>
        <w:rPr>
          <w:bCs/>
          <w:color w:val="000000"/>
          <w:sz w:val="24"/>
          <w:szCs w:val="24"/>
        </w:rPr>
        <w:t>，计算</w:t>
      </w:r>
      <w:r>
        <w:rPr>
          <w:bCs/>
          <w:i/>
          <w:iCs/>
          <w:sz w:val="24"/>
          <w:szCs w:val="28"/>
        </w:rPr>
        <w:t>CI</w:t>
      </w:r>
      <w:r>
        <w:rPr>
          <w:bCs/>
          <w:color w:val="000000"/>
          <w:sz w:val="24"/>
          <w:szCs w:val="24"/>
        </w:rPr>
        <w:t>进行一致性检验，随机一致性指标</w:t>
      </w:r>
      <w:r>
        <w:rPr>
          <w:bCs/>
          <w:i/>
          <w:iCs/>
          <w:color w:val="000000"/>
          <w:sz w:val="24"/>
          <w:szCs w:val="24"/>
        </w:rPr>
        <w:t>RI</w:t>
      </w:r>
      <w:r>
        <w:rPr>
          <w:bCs/>
          <w:color w:val="000000"/>
          <w:sz w:val="24"/>
          <w:szCs w:val="24"/>
        </w:rPr>
        <w:t>见</w:t>
      </w:r>
      <w:r>
        <w:fldChar w:fldCharType="begin"/>
      </w:r>
      <w:r>
        <w:instrText xml:space="preserve"> REF _Ref13489179 \h  \* MERGEFORMAT </w:instrText>
      </w:r>
      <w:r>
        <w:fldChar w:fldCharType="separate"/>
      </w:r>
      <w:r>
        <w:rPr>
          <w:bCs/>
          <w:sz w:val="24"/>
          <w:szCs w:val="24"/>
        </w:rPr>
        <w:t>表</w:t>
      </w:r>
      <w:r>
        <w:rPr>
          <w:bCs/>
          <w:sz w:val="24"/>
          <w:szCs w:val="24"/>
        </w:rPr>
        <w:t>6</w:t>
      </w:r>
      <w:r>
        <w:rPr>
          <w:bCs/>
          <w:sz w:val="24"/>
          <w:szCs w:val="24"/>
        </w:rPr>
        <w:noBreakHyphen/>
        <w:t>31</w:t>
      </w:r>
      <w:r>
        <w:rPr>
          <w:bCs/>
          <w:sz w:val="24"/>
          <w:szCs w:val="24"/>
        </w:rPr>
        <w:fldChar w:fldCharType="end"/>
      </w:r>
      <w:r>
        <w:rPr>
          <w:bCs/>
          <w:color w:val="000000"/>
          <w:sz w:val="24"/>
          <w:szCs w:val="24"/>
        </w:rPr>
        <w:t>，若</w:t>
      </w:r>
      <w:r>
        <w:rPr>
          <w:bCs/>
          <w:i/>
          <w:iCs/>
          <w:color w:val="000000"/>
          <w:sz w:val="24"/>
          <w:szCs w:val="24"/>
        </w:rPr>
        <w:t>CI</w:t>
      </w:r>
      <w:r>
        <w:rPr>
          <w:bCs/>
          <w:color w:val="000000"/>
          <w:sz w:val="24"/>
          <w:szCs w:val="24"/>
        </w:rPr>
        <w:t>/</w:t>
      </w:r>
      <w:r>
        <w:rPr>
          <w:bCs/>
          <w:i/>
          <w:iCs/>
          <w:color w:val="000000"/>
          <w:sz w:val="24"/>
          <w:szCs w:val="24"/>
        </w:rPr>
        <w:t>RI</w:t>
      </w:r>
      <w:r>
        <w:rPr>
          <w:bCs/>
          <w:color w:val="000000"/>
          <w:sz w:val="24"/>
          <w:szCs w:val="24"/>
        </w:rPr>
        <w:t>&lt;0.1</w:t>
      </w:r>
      <w:r>
        <w:rPr>
          <w:bCs/>
          <w:color w:val="000000"/>
          <w:sz w:val="24"/>
          <w:szCs w:val="24"/>
        </w:rPr>
        <w:t>，</w:t>
      </w:r>
      <w:proofErr w:type="gramStart"/>
      <w:r>
        <w:rPr>
          <w:bCs/>
          <w:color w:val="000000"/>
          <w:sz w:val="24"/>
          <w:szCs w:val="24"/>
        </w:rPr>
        <w:t>则判断</w:t>
      </w:r>
      <w:proofErr w:type="gramEnd"/>
      <w:r>
        <w:rPr>
          <w:bCs/>
          <w:color w:val="000000"/>
          <w:sz w:val="24"/>
          <w:szCs w:val="24"/>
        </w:rPr>
        <w:t>矩阵符合要求，否则应写出新的矩阵，重新进行计算。所有判断矩阵符合要求时，计算各层次指标的组合权重。</w:t>
      </w:r>
    </w:p>
    <w:p w:rsidR="0073700B" w:rsidRDefault="001A2FFC" w:rsidP="00F80BAC">
      <w:pPr>
        <w:spacing w:beforeLines="50" w:before="156" w:line="360" w:lineRule="auto"/>
        <w:jc w:val="right"/>
        <w:rPr>
          <w:bCs/>
          <w:color w:val="000000"/>
          <w:sz w:val="24"/>
          <w:szCs w:val="24"/>
        </w:rPr>
      </w:pPr>
      <w:r>
        <w:rPr>
          <w:position w:val="-30"/>
          <w:szCs w:val="21"/>
        </w:rPr>
        <w:object w:dxaOrig="1552" w:dyaOrig="729">
          <v:shape id="_x0000_i1046" type="#_x0000_t75" style="width:77.75pt;height:36.5pt" o:ole="">
            <v:imagedata r:id="rId55" o:title=""/>
          </v:shape>
          <o:OLEObject Type="Embed" ProgID="Equation.DSMT4" ShapeID="_x0000_i1046" DrawAspect="Content" ObjectID="_1645534679" r:id="rId56"/>
        </w:object>
      </w:r>
      <w:r>
        <w:rPr>
          <w:bCs/>
          <w:color w:val="000000"/>
          <w:sz w:val="24"/>
          <w:szCs w:val="24"/>
        </w:rPr>
        <w:t xml:space="preserve">                         (5)</w:t>
      </w:r>
    </w:p>
    <w:p w:rsidR="0073700B" w:rsidRDefault="001A2FFC" w:rsidP="00F80BAC">
      <w:pPr>
        <w:spacing w:beforeLines="50" w:before="156" w:line="360" w:lineRule="auto"/>
        <w:jc w:val="right"/>
        <w:rPr>
          <w:bCs/>
          <w:color w:val="000000"/>
          <w:sz w:val="24"/>
          <w:szCs w:val="24"/>
        </w:rPr>
      </w:pPr>
      <w:r>
        <w:rPr>
          <w:bCs/>
          <w:color w:val="000000"/>
          <w:sz w:val="24"/>
          <w:szCs w:val="24"/>
        </w:rPr>
        <w:t xml:space="preserve"> </w:t>
      </w:r>
      <w:r>
        <w:rPr>
          <w:position w:val="-32"/>
          <w:szCs w:val="21"/>
        </w:rPr>
        <w:object w:dxaOrig="1309" w:dyaOrig="729">
          <v:shape id="_x0000_i1047" type="#_x0000_t75" style="width:65.2pt;height:36.5pt" o:ole="">
            <v:imagedata r:id="rId57" o:title=""/>
          </v:shape>
          <o:OLEObject Type="Embed" ProgID="Equation.DSMT4" ShapeID="_x0000_i1047" DrawAspect="Content" ObjectID="_1645534680" r:id="rId58"/>
        </w:object>
      </w:r>
      <w:r>
        <w:rPr>
          <w:bCs/>
          <w:color w:val="000000"/>
          <w:sz w:val="24"/>
          <w:szCs w:val="24"/>
        </w:rPr>
        <w:t xml:space="preserve">                          (6)</w:t>
      </w:r>
    </w:p>
    <w:p w:rsidR="0073700B" w:rsidRDefault="001A2FFC" w:rsidP="00F80BAC">
      <w:pPr>
        <w:spacing w:beforeLines="50" w:before="156" w:line="360" w:lineRule="auto"/>
        <w:ind w:firstLineChars="200" w:firstLine="480"/>
        <w:rPr>
          <w:bCs/>
          <w:color w:val="000000"/>
        </w:rPr>
      </w:pPr>
      <w:r>
        <w:rPr>
          <w:bCs/>
          <w:color w:val="000000"/>
          <w:sz w:val="24"/>
          <w:szCs w:val="24"/>
        </w:rPr>
        <w:t>式中，</w:t>
      </w:r>
      <w:r>
        <w:rPr>
          <w:bCs/>
          <w:i/>
          <w:iCs/>
          <w:color w:val="000000"/>
          <w:sz w:val="24"/>
          <w:szCs w:val="24"/>
        </w:rPr>
        <w:t xml:space="preserve">CI </w:t>
      </w:r>
      <w:r>
        <w:rPr>
          <w:bCs/>
          <w:color w:val="000000"/>
          <w:sz w:val="24"/>
          <w:szCs w:val="24"/>
        </w:rPr>
        <w:t>—</w:t>
      </w:r>
      <w:r>
        <w:rPr>
          <w:bCs/>
          <w:color w:val="000000"/>
          <w:sz w:val="24"/>
          <w:szCs w:val="24"/>
        </w:rPr>
        <w:t>判断矩阵的一般一致性指标，</w:t>
      </w:r>
      <w:r>
        <w:rPr>
          <w:bCs/>
          <w:i/>
          <w:iCs/>
          <w:color w:val="000000"/>
          <w:sz w:val="24"/>
          <w:szCs w:val="24"/>
        </w:rPr>
        <w:t>n</w:t>
      </w:r>
      <w:r>
        <w:rPr>
          <w:bCs/>
          <w:color w:val="000000"/>
          <w:sz w:val="24"/>
          <w:szCs w:val="24"/>
        </w:rPr>
        <w:t>—</w:t>
      </w:r>
      <w:r>
        <w:rPr>
          <w:bCs/>
          <w:color w:val="000000"/>
          <w:sz w:val="24"/>
          <w:szCs w:val="24"/>
        </w:rPr>
        <w:t>判断矩阵的阶数。</w:t>
      </w:r>
    </w:p>
    <w:p w:rsidR="0073700B" w:rsidRDefault="001A2FFC">
      <w:pPr>
        <w:pStyle w:val="a6"/>
        <w:rPr>
          <w:rFonts w:ascii="黑体" w:eastAsia="黑体" w:hAnsi="黑体"/>
          <w:color w:val="000000"/>
          <w:sz w:val="21"/>
          <w:szCs w:val="21"/>
        </w:rPr>
      </w:pPr>
      <w:bookmarkStart w:id="87" w:name="_Ref535833422"/>
      <w:bookmarkStart w:id="88" w:name="_Ref13489179"/>
      <w:r>
        <w:rPr>
          <w:rFonts w:ascii="黑体" w:eastAsia="黑体" w:hAnsi="黑体"/>
        </w:rPr>
        <w:t>表</w:t>
      </w:r>
      <w:bookmarkEnd w:id="87"/>
      <w:r>
        <w:rPr>
          <w:rFonts w:ascii="黑体" w:eastAsia="黑体" w:hAnsi="黑体"/>
        </w:rPr>
        <w:fldChar w:fldCharType="begin"/>
      </w:r>
      <w:r>
        <w:rPr>
          <w:rFonts w:ascii="黑体" w:eastAsia="黑体" w:hAnsi="黑体"/>
        </w:rPr>
        <w:instrText xml:space="preserve"> STYLEREF 3 \s </w:instrText>
      </w:r>
      <w:r>
        <w:rPr>
          <w:rFonts w:ascii="黑体" w:eastAsia="黑体" w:hAnsi="黑体"/>
        </w:rPr>
        <w:fldChar w:fldCharType="separate"/>
      </w:r>
      <w:r>
        <w:rPr>
          <w:rFonts w:ascii="黑体" w:eastAsia="黑体" w:hAnsi="黑体"/>
        </w:rPr>
        <w:t>6</w:t>
      </w:r>
      <w:r>
        <w:rPr>
          <w:rFonts w:ascii="黑体" w:eastAsia="黑体" w:hAnsi="黑体"/>
        </w:rPr>
        <w:fldChar w:fldCharType="end"/>
      </w:r>
      <w:r>
        <w:rPr>
          <w:rFonts w:ascii="黑体" w:eastAsia="黑体" w:hAnsi="黑体"/>
        </w:rPr>
        <w:noBreakHyphen/>
      </w:r>
      <w:r>
        <w:rPr>
          <w:rFonts w:ascii="黑体" w:eastAsia="黑体" w:hAnsi="黑体"/>
        </w:rPr>
        <w:fldChar w:fldCharType="begin"/>
      </w:r>
      <w:r>
        <w:rPr>
          <w:rFonts w:ascii="黑体" w:eastAsia="黑体" w:hAnsi="黑体"/>
        </w:rPr>
        <w:instrText xml:space="preserve"> SEQ </w:instrText>
      </w:r>
      <w:r>
        <w:rPr>
          <w:rFonts w:ascii="黑体" w:eastAsia="黑体" w:hAnsi="黑体"/>
        </w:rPr>
        <w:instrText>表</w:instrText>
      </w:r>
      <w:r>
        <w:rPr>
          <w:rFonts w:ascii="黑体" w:eastAsia="黑体" w:hAnsi="黑体"/>
        </w:rPr>
        <w:instrText xml:space="preserve"> \* ARABIC \s 3 </w:instrText>
      </w:r>
      <w:r>
        <w:rPr>
          <w:rFonts w:ascii="黑体" w:eastAsia="黑体" w:hAnsi="黑体"/>
        </w:rPr>
        <w:fldChar w:fldCharType="separate"/>
      </w:r>
      <w:r>
        <w:rPr>
          <w:rFonts w:ascii="黑体" w:eastAsia="黑体" w:hAnsi="黑体"/>
        </w:rPr>
        <w:t>31</w:t>
      </w:r>
      <w:r>
        <w:rPr>
          <w:rFonts w:ascii="黑体" w:eastAsia="黑体" w:hAnsi="黑体"/>
        </w:rPr>
        <w:fldChar w:fldCharType="end"/>
      </w:r>
      <w:bookmarkEnd w:id="88"/>
      <w:r>
        <w:rPr>
          <w:rFonts w:ascii="黑体" w:eastAsia="黑体" w:hAnsi="黑体"/>
        </w:rPr>
        <w:t xml:space="preserve">  </w:t>
      </w:r>
      <w:r>
        <w:rPr>
          <w:rFonts w:ascii="黑体" w:eastAsia="黑体" w:hAnsi="黑体"/>
          <w:color w:val="000000"/>
        </w:rPr>
        <w:t>随机一致性指标</w:t>
      </w:r>
      <w:r>
        <w:rPr>
          <w:rFonts w:ascii="黑体" w:eastAsia="黑体" w:hAnsi="黑体"/>
          <w:i/>
          <w:iCs/>
          <w:color w:val="000000"/>
        </w:rPr>
        <w:t>RI</w:t>
      </w:r>
      <w:r>
        <w:rPr>
          <w:rFonts w:ascii="黑体" w:eastAsia="黑体" w:hAnsi="黑体"/>
          <w:color w:val="000000"/>
        </w:rPr>
        <w:t>取值表</w:t>
      </w:r>
    </w:p>
    <w:tbl>
      <w:tblPr>
        <w:tblW w:w="76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719"/>
        <w:gridCol w:w="719"/>
        <w:gridCol w:w="786"/>
        <w:gridCol w:w="786"/>
        <w:gridCol w:w="786"/>
        <w:gridCol w:w="786"/>
        <w:gridCol w:w="786"/>
        <w:gridCol w:w="786"/>
        <w:gridCol w:w="786"/>
      </w:tblGrid>
      <w:tr w:rsidR="0073700B">
        <w:trPr>
          <w:trHeight w:val="454"/>
          <w:jc w:val="center"/>
        </w:trPr>
        <w:tc>
          <w:tcPr>
            <w:tcW w:w="746"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i/>
                <w:iCs/>
                <w:color w:val="000000"/>
                <w:sz w:val="21"/>
              </w:rPr>
            </w:pPr>
            <w:r>
              <w:rPr>
                <w:bCs/>
                <w:i/>
                <w:iCs/>
                <w:color w:val="000000"/>
                <w:sz w:val="21"/>
              </w:rPr>
              <w:t>n</w:t>
            </w:r>
          </w:p>
        </w:tc>
        <w:tc>
          <w:tcPr>
            <w:tcW w:w="719"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1</w:t>
            </w:r>
          </w:p>
        </w:tc>
        <w:tc>
          <w:tcPr>
            <w:tcW w:w="719"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2</w:t>
            </w:r>
          </w:p>
        </w:tc>
        <w:tc>
          <w:tcPr>
            <w:tcW w:w="786"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3</w:t>
            </w:r>
          </w:p>
        </w:tc>
        <w:tc>
          <w:tcPr>
            <w:tcW w:w="786"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4</w:t>
            </w:r>
          </w:p>
        </w:tc>
        <w:tc>
          <w:tcPr>
            <w:tcW w:w="786"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5</w:t>
            </w:r>
          </w:p>
        </w:tc>
        <w:tc>
          <w:tcPr>
            <w:tcW w:w="786"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6</w:t>
            </w:r>
          </w:p>
        </w:tc>
        <w:tc>
          <w:tcPr>
            <w:tcW w:w="786"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7</w:t>
            </w:r>
          </w:p>
        </w:tc>
        <w:tc>
          <w:tcPr>
            <w:tcW w:w="786"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8</w:t>
            </w:r>
          </w:p>
        </w:tc>
        <w:tc>
          <w:tcPr>
            <w:tcW w:w="786" w:type="dxa"/>
            <w:tcBorders>
              <w:top w:val="single" w:sz="8" w:space="0" w:color="auto"/>
              <w:bottom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9</w:t>
            </w:r>
          </w:p>
        </w:tc>
      </w:tr>
      <w:tr w:rsidR="0073700B">
        <w:trPr>
          <w:trHeight w:val="454"/>
          <w:jc w:val="center"/>
        </w:trPr>
        <w:tc>
          <w:tcPr>
            <w:tcW w:w="746" w:type="dxa"/>
            <w:tcBorders>
              <w:top w:val="single" w:sz="8" w:space="0" w:color="auto"/>
            </w:tcBorders>
            <w:shd w:val="clear" w:color="auto" w:fill="auto"/>
            <w:vAlign w:val="center"/>
          </w:tcPr>
          <w:p w:rsidR="0073700B" w:rsidRDefault="001A2FFC">
            <w:pPr>
              <w:pStyle w:val="af9"/>
              <w:spacing w:line="312" w:lineRule="auto"/>
              <w:rPr>
                <w:bCs/>
                <w:i/>
                <w:iCs/>
                <w:color w:val="000000"/>
                <w:sz w:val="21"/>
              </w:rPr>
            </w:pPr>
            <w:r>
              <w:rPr>
                <w:bCs/>
                <w:i/>
                <w:iCs/>
                <w:color w:val="000000"/>
                <w:sz w:val="21"/>
              </w:rPr>
              <w:t>RI</w:t>
            </w:r>
          </w:p>
        </w:tc>
        <w:tc>
          <w:tcPr>
            <w:tcW w:w="719" w:type="dxa"/>
            <w:tcBorders>
              <w:top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0</w:t>
            </w:r>
          </w:p>
        </w:tc>
        <w:tc>
          <w:tcPr>
            <w:tcW w:w="719" w:type="dxa"/>
            <w:tcBorders>
              <w:top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0</w:t>
            </w:r>
          </w:p>
        </w:tc>
        <w:tc>
          <w:tcPr>
            <w:tcW w:w="786" w:type="dxa"/>
            <w:tcBorders>
              <w:top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0.58</w:t>
            </w:r>
          </w:p>
        </w:tc>
        <w:tc>
          <w:tcPr>
            <w:tcW w:w="786" w:type="dxa"/>
            <w:tcBorders>
              <w:top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0.90</w:t>
            </w:r>
          </w:p>
        </w:tc>
        <w:tc>
          <w:tcPr>
            <w:tcW w:w="786" w:type="dxa"/>
            <w:tcBorders>
              <w:top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1.12</w:t>
            </w:r>
          </w:p>
        </w:tc>
        <w:tc>
          <w:tcPr>
            <w:tcW w:w="786" w:type="dxa"/>
            <w:tcBorders>
              <w:top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1.24</w:t>
            </w:r>
          </w:p>
        </w:tc>
        <w:tc>
          <w:tcPr>
            <w:tcW w:w="786" w:type="dxa"/>
            <w:tcBorders>
              <w:top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1.32</w:t>
            </w:r>
          </w:p>
        </w:tc>
        <w:tc>
          <w:tcPr>
            <w:tcW w:w="786" w:type="dxa"/>
            <w:tcBorders>
              <w:top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1.41</w:t>
            </w:r>
          </w:p>
        </w:tc>
        <w:tc>
          <w:tcPr>
            <w:tcW w:w="786" w:type="dxa"/>
            <w:tcBorders>
              <w:top w:val="single" w:sz="8" w:space="0" w:color="auto"/>
            </w:tcBorders>
            <w:shd w:val="clear" w:color="auto" w:fill="auto"/>
            <w:vAlign w:val="center"/>
          </w:tcPr>
          <w:p w:rsidR="0073700B" w:rsidRDefault="001A2FFC">
            <w:pPr>
              <w:pStyle w:val="af9"/>
              <w:spacing w:line="312" w:lineRule="auto"/>
              <w:rPr>
                <w:bCs/>
                <w:color w:val="000000"/>
                <w:sz w:val="21"/>
              </w:rPr>
            </w:pPr>
            <w:r>
              <w:rPr>
                <w:bCs/>
                <w:color w:val="000000"/>
                <w:sz w:val="21"/>
              </w:rPr>
              <w:t>1.45</w:t>
            </w:r>
          </w:p>
        </w:tc>
      </w:tr>
    </w:tbl>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b</w:t>
      </w:r>
      <w:r>
        <w:rPr>
          <w:rFonts w:hint="eastAsia"/>
          <w:bCs/>
          <w:color w:val="000000"/>
          <w:sz w:val="24"/>
          <w:szCs w:val="24"/>
        </w:rPr>
        <w:t>）</w:t>
      </w:r>
      <w:r>
        <w:rPr>
          <w:bCs/>
          <w:color w:val="000000"/>
          <w:sz w:val="24"/>
          <w:szCs w:val="24"/>
        </w:rPr>
        <w:t>未确知测度法</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第一步：</w:t>
      </w:r>
      <w:r>
        <w:rPr>
          <w:bCs/>
          <w:color w:val="000000"/>
          <w:sz w:val="24"/>
          <w:szCs w:val="24"/>
        </w:rPr>
        <w:t>建立隧道专项风险评估的风险事件评估指标体系。删除具有较大相关性的风险指标，选择具有代表性的风险指标，形成具有相互独立性的隧道风险指标体系，指标体系包含几个大类，各大类中包括多项指标，即评价因子。</w:t>
      </w:r>
    </w:p>
    <w:p w:rsidR="0073700B" w:rsidRDefault="001A2FFC" w:rsidP="00F80BAC">
      <w:pPr>
        <w:spacing w:beforeLines="50" w:before="156" w:line="360" w:lineRule="auto"/>
        <w:ind w:firstLineChars="200" w:firstLine="480"/>
        <w:rPr>
          <w:bCs/>
          <w:color w:val="000000"/>
        </w:rPr>
      </w:pPr>
      <w:r>
        <w:rPr>
          <w:bCs/>
          <w:color w:val="000000"/>
          <w:sz w:val="24"/>
          <w:szCs w:val="24"/>
        </w:rPr>
        <w:t>首先将定性指标通过相关文献及专家建议定量化，再运用分级标准化法将每个指标分为</w:t>
      </w:r>
      <w:r>
        <w:rPr>
          <w:bCs/>
          <w:color w:val="000000"/>
          <w:sz w:val="24"/>
          <w:szCs w:val="24"/>
        </w:rPr>
        <w:t>4</w:t>
      </w:r>
      <w:r>
        <w:rPr>
          <w:bCs/>
          <w:color w:val="000000"/>
          <w:sz w:val="24"/>
          <w:szCs w:val="24"/>
        </w:rPr>
        <w:t>级，建立评判集为</w:t>
      </w:r>
      <w:r>
        <w:rPr>
          <w:bCs/>
          <w:i/>
          <w:iCs/>
          <w:color w:val="000000"/>
          <w:sz w:val="24"/>
          <w:szCs w:val="24"/>
        </w:rPr>
        <w:t>U</w:t>
      </w:r>
      <w:r>
        <w:rPr>
          <w:bCs/>
          <w:color w:val="000000"/>
          <w:sz w:val="24"/>
          <w:szCs w:val="24"/>
        </w:rPr>
        <w:t>={</w:t>
      </w:r>
      <w:r>
        <w:rPr>
          <w:bCs/>
          <w:i/>
          <w:iCs/>
          <w:color w:val="000000"/>
          <w:sz w:val="24"/>
          <w:szCs w:val="24"/>
        </w:rPr>
        <w:t>C</w:t>
      </w:r>
      <w:r>
        <w:rPr>
          <w:bCs/>
          <w:color w:val="000000"/>
          <w:sz w:val="24"/>
          <w:szCs w:val="24"/>
          <w:vertAlign w:val="subscript"/>
        </w:rPr>
        <w:t>1</w:t>
      </w:r>
      <w:r>
        <w:rPr>
          <w:bCs/>
          <w:color w:val="000000"/>
          <w:sz w:val="24"/>
          <w:szCs w:val="24"/>
        </w:rPr>
        <w:t>,</w:t>
      </w:r>
      <w:r>
        <w:rPr>
          <w:bCs/>
          <w:i/>
          <w:iCs/>
          <w:color w:val="000000"/>
          <w:sz w:val="24"/>
          <w:szCs w:val="24"/>
        </w:rPr>
        <w:t>C</w:t>
      </w:r>
      <w:r>
        <w:rPr>
          <w:bCs/>
          <w:color w:val="000000"/>
          <w:sz w:val="24"/>
          <w:szCs w:val="24"/>
          <w:vertAlign w:val="subscript"/>
        </w:rPr>
        <w:t>2</w:t>
      </w:r>
      <w:r>
        <w:rPr>
          <w:bCs/>
          <w:color w:val="000000"/>
          <w:sz w:val="24"/>
          <w:szCs w:val="24"/>
        </w:rPr>
        <w:t>,</w:t>
      </w:r>
      <w:r>
        <w:rPr>
          <w:bCs/>
          <w:i/>
          <w:iCs/>
          <w:color w:val="000000"/>
          <w:sz w:val="24"/>
          <w:szCs w:val="24"/>
        </w:rPr>
        <w:t>C</w:t>
      </w:r>
      <w:r>
        <w:rPr>
          <w:bCs/>
          <w:color w:val="000000"/>
          <w:sz w:val="24"/>
          <w:szCs w:val="24"/>
          <w:vertAlign w:val="subscript"/>
        </w:rPr>
        <w:t>3</w:t>
      </w:r>
      <w:r>
        <w:rPr>
          <w:bCs/>
          <w:color w:val="000000"/>
          <w:sz w:val="24"/>
          <w:szCs w:val="24"/>
        </w:rPr>
        <w:t>,</w:t>
      </w:r>
      <w:r>
        <w:rPr>
          <w:bCs/>
          <w:i/>
          <w:iCs/>
          <w:color w:val="000000"/>
          <w:sz w:val="24"/>
          <w:szCs w:val="24"/>
        </w:rPr>
        <w:t>C</w:t>
      </w:r>
      <w:r>
        <w:rPr>
          <w:bCs/>
          <w:color w:val="000000"/>
          <w:sz w:val="24"/>
          <w:szCs w:val="24"/>
          <w:vertAlign w:val="subscript"/>
        </w:rPr>
        <w:t>4</w:t>
      </w:r>
      <w:r>
        <w:rPr>
          <w:bCs/>
          <w:color w:val="000000"/>
          <w:sz w:val="24"/>
          <w:szCs w:val="24"/>
        </w:rPr>
        <w:t>}</w:t>
      </w:r>
      <w:r>
        <w:rPr>
          <w:bCs/>
          <w:color w:val="000000"/>
          <w:sz w:val="24"/>
          <w:szCs w:val="24"/>
        </w:rPr>
        <w:t>，即</w:t>
      </w:r>
      <w:r>
        <w:rPr>
          <w:rFonts w:ascii="宋体" w:hAnsi="宋体" w:cs="宋体" w:hint="eastAsia"/>
          <w:bCs/>
          <w:color w:val="000000"/>
          <w:sz w:val="24"/>
          <w:szCs w:val="24"/>
        </w:rPr>
        <w:t>Ⅰ</w:t>
      </w:r>
      <w:r>
        <w:rPr>
          <w:bCs/>
          <w:color w:val="000000"/>
          <w:sz w:val="24"/>
          <w:szCs w:val="24"/>
        </w:rPr>
        <w:t>、</w:t>
      </w:r>
      <w:r>
        <w:rPr>
          <w:rFonts w:ascii="宋体" w:hAnsi="宋体" w:cs="宋体" w:hint="eastAsia"/>
          <w:bCs/>
          <w:color w:val="000000"/>
          <w:sz w:val="24"/>
          <w:szCs w:val="24"/>
        </w:rPr>
        <w:t>Ⅱ</w:t>
      </w:r>
      <w:r>
        <w:rPr>
          <w:bCs/>
          <w:color w:val="000000"/>
          <w:sz w:val="24"/>
          <w:szCs w:val="24"/>
        </w:rPr>
        <w:t>、</w:t>
      </w:r>
      <w:r>
        <w:rPr>
          <w:rFonts w:ascii="宋体" w:hAnsi="宋体" w:cs="宋体" w:hint="eastAsia"/>
          <w:bCs/>
          <w:color w:val="000000"/>
          <w:sz w:val="24"/>
          <w:szCs w:val="24"/>
        </w:rPr>
        <w:t>Ⅲ</w:t>
      </w:r>
      <w:r>
        <w:rPr>
          <w:bCs/>
          <w:color w:val="000000"/>
          <w:sz w:val="24"/>
          <w:szCs w:val="24"/>
        </w:rPr>
        <w:t>、</w:t>
      </w:r>
      <w:r>
        <w:rPr>
          <w:rFonts w:ascii="宋体" w:hAnsi="宋体" w:cs="宋体" w:hint="eastAsia"/>
          <w:bCs/>
          <w:color w:val="000000"/>
          <w:sz w:val="24"/>
          <w:szCs w:val="24"/>
        </w:rPr>
        <w:t>Ⅳ</w:t>
      </w:r>
      <w:r>
        <w:rPr>
          <w:bCs/>
          <w:color w:val="000000"/>
          <w:sz w:val="24"/>
          <w:szCs w:val="24"/>
        </w:rPr>
        <w:t>级，分别代表风险性极高、风险性高度、风险性中度和风险性低度，每级都根据专家建议设置一个取值标准，形成分级标准评定表：</w:t>
      </w:r>
    </w:p>
    <w:p w:rsidR="0073700B" w:rsidRDefault="001A2FFC">
      <w:pPr>
        <w:pStyle w:val="a6"/>
        <w:rPr>
          <w:rFonts w:ascii="黑体" w:eastAsia="黑体" w:hAnsi="黑体"/>
          <w:b w:val="0"/>
          <w:bCs/>
          <w:color w:val="000000"/>
        </w:rPr>
      </w:pPr>
      <w:bookmarkStart w:id="89" w:name="_Ref21348900"/>
      <w:r>
        <w:rPr>
          <w:rFonts w:ascii="黑体" w:eastAsia="黑体" w:hAnsi="黑体"/>
          <w:b w:val="0"/>
          <w:bCs/>
        </w:rPr>
        <w:lastRenderedPageBreak/>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32</w:t>
      </w:r>
      <w:r>
        <w:rPr>
          <w:rFonts w:ascii="黑体" w:eastAsia="黑体" w:hAnsi="黑体"/>
          <w:b w:val="0"/>
          <w:bCs/>
        </w:rPr>
        <w:fldChar w:fldCharType="end"/>
      </w:r>
      <w:bookmarkEnd w:id="89"/>
      <w:r>
        <w:rPr>
          <w:rFonts w:ascii="黑体" w:eastAsia="黑体" w:hAnsi="黑体"/>
          <w:b w:val="0"/>
          <w:bCs/>
        </w:rPr>
        <w:t xml:space="preserve">  </w:t>
      </w:r>
      <w:r>
        <w:rPr>
          <w:rFonts w:ascii="黑体" w:eastAsia="黑体" w:hAnsi="黑体"/>
          <w:b w:val="0"/>
          <w:bCs/>
          <w:color w:val="000000"/>
        </w:rPr>
        <w:t>分级标准评定表</w:t>
      </w:r>
    </w:p>
    <w:tbl>
      <w:tblPr>
        <w:tblW w:w="754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51"/>
        <w:gridCol w:w="1481"/>
        <w:gridCol w:w="1527"/>
        <w:gridCol w:w="1418"/>
        <w:gridCol w:w="1472"/>
      </w:tblGrid>
      <w:tr w:rsidR="0073700B">
        <w:trPr>
          <w:jc w:val="center"/>
        </w:trPr>
        <w:tc>
          <w:tcPr>
            <w:tcW w:w="1651" w:type="dxa"/>
            <w:vMerge w:val="restart"/>
            <w:tcBorders>
              <w:top w:val="single" w:sz="8" w:space="0" w:color="auto"/>
              <w:bottom w:val="single" w:sz="4"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评价因子</w:t>
            </w:r>
          </w:p>
        </w:tc>
        <w:tc>
          <w:tcPr>
            <w:tcW w:w="5898" w:type="dxa"/>
            <w:gridSpan w:val="4"/>
            <w:tcBorders>
              <w:top w:val="single" w:sz="8" w:space="0" w:color="auto"/>
              <w:bottom w:val="single" w:sz="4"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分级标准</w:t>
            </w:r>
          </w:p>
        </w:tc>
      </w:tr>
      <w:tr w:rsidR="0073700B">
        <w:trPr>
          <w:jc w:val="center"/>
        </w:trPr>
        <w:tc>
          <w:tcPr>
            <w:tcW w:w="1651" w:type="dxa"/>
            <w:vMerge/>
            <w:tcBorders>
              <w:top w:val="single" w:sz="4" w:space="0" w:color="auto"/>
              <w:bottom w:val="single" w:sz="8" w:space="0" w:color="auto"/>
            </w:tcBorders>
            <w:shd w:val="clear" w:color="auto" w:fill="auto"/>
            <w:vAlign w:val="center"/>
          </w:tcPr>
          <w:p w:rsidR="0073700B" w:rsidRDefault="0073700B">
            <w:pPr>
              <w:pStyle w:val="af8"/>
              <w:ind w:firstLineChars="0" w:firstLine="0"/>
              <w:jc w:val="center"/>
              <w:rPr>
                <w:rFonts w:ascii="Times New Roman" w:hAnsi="Times New Roman"/>
                <w:bCs/>
                <w:color w:val="000000"/>
              </w:rPr>
            </w:pPr>
          </w:p>
        </w:tc>
        <w:tc>
          <w:tcPr>
            <w:tcW w:w="1481" w:type="dxa"/>
            <w:tcBorders>
              <w:top w:val="single" w:sz="4"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宋体" w:hAnsi="宋体" w:cs="宋体" w:hint="eastAsia"/>
                <w:bCs/>
                <w:color w:val="000000"/>
              </w:rPr>
              <w:t>Ⅰ</w:t>
            </w:r>
            <w:r>
              <w:rPr>
                <w:rFonts w:ascii="Times New Roman" w:hAnsi="Times New Roman"/>
                <w:bCs/>
                <w:color w:val="000000"/>
              </w:rPr>
              <w:t>级</w:t>
            </w:r>
            <w:r>
              <w:rPr>
                <w:rFonts w:ascii="Times New Roman" w:hAnsi="Times New Roman"/>
                <w:bCs/>
                <w:color w:val="000000"/>
              </w:rPr>
              <w:t>(</w:t>
            </w:r>
            <w:r>
              <w:rPr>
                <w:rFonts w:ascii="Times New Roman" w:hAnsi="Times New Roman"/>
                <w:bCs/>
                <w:i/>
                <w:iCs/>
                <w:color w:val="000000"/>
              </w:rPr>
              <w:t>C</w:t>
            </w:r>
            <w:r>
              <w:rPr>
                <w:rFonts w:ascii="Times New Roman" w:hAnsi="Times New Roman"/>
                <w:bCs/>
                <w:color w:val="000000"/>
                <w:vertAlign w:val="subscript"/>
              </w:rPr>
              <w:t>1</w:t>
            </w:r>
            <w:r>
              <w:rPr>
                <w:rFonts w:ascii="Times New Roman" w:hAnsi="Times New Roman"/>
                <w:bCs/>
                <w:color w:val="000000"/>
              </w:rPr>
              <w:t>)</w:t>
            </w:r>
          </w:p>
        </w:tc>
        <w:tc>
          <w:tcPr>
            <w:tcW w:w="1527" w:type="dxa"/>
            <w:tcBorders>
              <w:top w:val="single" w:sz="4"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宋体" w:hAnsi="宋体" w:cs="宋体" w:hint="eastAsia"/>
                <w:bCs/>
                <w:color w:val="000000"/>
              </w:rPr>
              <w:t>Ⅱ</w:t>
            </w:r>
            <w:r>
              <w:rPr>
                <w:rFonts w:ascii="Times New Roman" w:hAnsi="Times New Roman"/>
                <w:bCs/>
                <w:color w:val="000000"/>
              </w:rPr>
              <w:t>级</w:t>
            </w:r>
            <w:r>
              <w:rPr>
                <w:rFonts w:ascii="Times New Roman" w:hAnsi="Times New Roman"/>
                <w:bCs/>
                <w:color w:val="000000"/>
              </w:rPr>
              <w:t>(</w:t>
            </w:r>
            <w:r>
              <w:rPr>
                <w:rFonts w:ascii="Times New Roman" w:hAnsi="Times New Roman"/>
                <w:bCs/>
                <w:i/>
                <w:iCs/>
                <w:color w:val="000000"/>
              </w:rPr>
              <w:t>C</w:t>
            </w:r>
            <w:r>
              <w:rPr>
                <w:rFonts w:ascii="Times New Roman" w:hAnsi="Times New Roman"/>
                <w:bCs/>
                <w:color w:val="000000"/>
                <w:vertAlign w:val="subscript"/>
              </w:rPr>
              <w:t>2</w:t>
            </w:r>
            <w:r>
              <w:rPr>
                <w:rFonts w:ascii="Times New Roman" w:hAnsi="Times New Roman"/>
                <w:bCs/>
                <w:color w:val="000000"/>
              </w:rPr>
              <w:t>)</w:t>
            </w:r>
          </w:p>
        </w:tc>
        <w:tc>
          <w:tcPr>
            <w:tcW w:w="1418" w:type="dxa"/>
            <w:tcBorders>
              <w:top w:val="single" w:sz="4"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宋体" w:hAnsi="宋体" w:cs="宋体" w:hint="eastAsia"/>
                <w:bCs/>
                <w:color w:val="000000"/>
              </w:rPr>
              <w:t>Ⅲ</w:t>
            </w:r>
            <w:r>
              <w:rPr>
                <w:rFonts w:ascii="Times New Roman" w:hAnsi="Times New Roman"/>
                <w:bCs/>
                <w:color w:val="000000"/>
              </w:rPr>
              <w:t>级</w:t>
            </w:r>
            <w:r>
              <w:rPr>
                <w:rFonts w:ascii="Times New Roman" w:hAnsi="Times New Roman"/>
                <w:bCs/>
                <w:color w:val="000000"/>
              </w:rPr>
              <w:t>(</w:t>
            </w:r>
            <w:r>
              <w:rPr>
                <w:rFonts w:ascii="Times New Roman" w:hAnsi="Times New Roman"/>
                <w:bCs/>
                <w:i/>
                <w:iCs/>
                <w:color w:val="000000"/>
              </w:rPr>
              <w:t>C</w:t>
            </w:r>
            <w:r>
              <w:rPr>
                <w:rFonts w:ascii="Times New Roman" w:hAnsi="Times New Roman"/>
                <w:bCs/>
                <w:color w:val="000000"/>
                <w:vertAlign w:val="subscript"/>
              </w:rPr>
              <w:t>3</w:t>
            </w:r>
            <w:r>
              <w:rPr>
                <w:rFonts w:ascii="Times New Roman" w:hAnsi="Times New Roman"/>
                <w:bCs/>
                <w:color w:val="000000"/>
              </w:rPr>
              <w:t>)</w:t>
            </w:r>
          </w:p>
        </w:tc>
        <w:tc>
          <w:tcPr>
            <w:tcW w:w="1472" w:type="dxa"/>
            <w:tcBorders>
              <w:top w:val="single" w:sz="4"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宋体" w:hAnsi="宋体" w:cs="宋体" w:hint="eastAsia"/>
                <w:bCs/>
                <w:color w:val="000000"/>
              </w:rPr>
              <w:t>Ⅳ</w:t>
            </w:r>
            <w:r>
              <w:rPr>
                <w:rFonts w:ascii="Times New Roman" w:hAnsi="Times New Roman"/>
                <w:bCs/>
                <w:color w:val="000000"/>
              </w:rPr>
              <w:t>级</w:t>
            </w:r>
            <w:r>
              <w:rPr>
                <w:rFonts w:ascii="Times New Roman" w:hAnsi="Times New Roman"/>
                <w:bCs/>
                <w:color w:val="000000"/>
              </w:rPr>
              <w:t>(</w:t>
            </w:r>
            <w:r>
              <w:rPr>
                <w:rFonts w:ascii="Times New Roman" w:hAnsi="Times New Roman"/>
                <w:bCs/>
                <w:i/>
                <w:iCs/>
                <w:color w:val="000000"/>
              </w:rPr>
              <w:t>C</w:t>
            </w:r>
            <w:r>
              <w:rPr>
                <w:rFonts w:ascii="Times New Roman" w:hAnsi="Times New Roman"/>
                <w:bCs/>
                <w:color w:val="000000"/>
                <w:vertAlign w:val="subscript"/>
              </w:rPr>
              <w:t>4</w:t>
            </w:r>
            <w:r>
              <w:rPr>
                <w:rFonts w:ascii="Times New Roman" w:hAnsi="Times New Roman"/>
                <w:bCs/>
                <w:color w:val="000000"/>
              </w:rPr>
              <w:t>)</w:t>
            </w:r>
          </w:p>
        </w:tc>
      </w:tr>
      <w:tr w:rsidR="0073700B">
        <w:trPr>
          <w:jc w:val="center"/>
        </w:trPr>
        <w:tc>
          <w:tcPr>
            <w:tcW w:w="1651" w:type="dxa"/>
            <w:tcBorders>
              <w:top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评价因子</w:t>
            </w:r>
            <w:r>
              <w:rPr>
                <w:rFonts w:ascii="Times New Roman" w:hAnsi="Times New Roman"/>
                <w:bCs/>
                <w:color w:val="000000"/>
              </w:rPr>
              <w:t>1</w:t>
            </w:r>
          </w:p>
        </w:tc>
        <w:tc>
          <w:tcPr>
            <w:tcW w:w="1481" w:type="dxa"/>
            <w:tcBorders>
              <w:top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r>
              <w:rPr>
                <w:rFonts w:ascii="Times New Roman" w:hAnsi="Times New Roman"/>
                <w:bCs/>
                <w:i/>
                <w:iCs/>
                <w:color w:val="000000"/>
              </w:rPr>
              <w:t>c</w:t>
            </w:r>
            <w:r>
              <w:rPr>
                <w:rFonts w:ascii="Times New Roman" w:hAnsi="Times New Roman"/>
                <w:bCs/>
                <w:i/>
                <w:iCs/>
                <w:color w:val="000000"/>
                <w:vertAlign w:val="subscript"/>
              </w:rPr>
              <w:t>1</w:t>
            </w:r>
          </w:p>
        </w:tc>
        <w:tc>
          <w:tcPr>
            <w:tcW w:w="1527" w:type="dxa"/>
            <w:tcBorders>
              <w:top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i/>
                <w:iCs/>
                <w:color w:val="000000"/>
              </w:rPr>
              <w:t>b</w:t>
            </w:r>
            <w:r>
              <w:rPr>
                <w:rFonts w:ascii="Times New Roman" w:hAnsi="Times New Roman"/>
                <w:bCs/>
                <w:i/>
                <w:iCs/>
                <w:color w:val="000000"/>
                <w:vertAlign w:val="subscript"/>
              </w:rPr>
              <w:t>1</w:t>
            </w:r>
            <w:r>
              <w:rPr>
                <w:rFonts w:ascii="Times New Roman" w:hAnsi="Times New Roman"/>
                <w:bCs/>
                <w:color w:val="000000"/>
              </w:rPr>
              <w:t>~</w:t>
            </w:r>
            <w:r>
              <w:rPr>
                <w:rFonts w:ascii="Times New Roman" w:hAnsi="Times New Roman"/>
                <w:bCs/>
                <w:i/>
                <w:iCs/>
                <w:color w:val="000000"/>
              </w:rPr>
              <w:t>c</w:t>
            </w:r>
            <w:r>
              <w:rPr>
                <w:rFonts w:ascii="Times New Roman" w:hAnsi="Times New Roman"/>
                <w:bCs/>
                <w:i/>
                <w:iCs/>
                <w:color w:val="000000"/>
                <w:vertAlign w:val="subscript"/>
              </w:rPr>
              <w:t>1</w:t>
            </w:r>
          </w:p>
        </w:tc>
        <w:tc>
          <w:tcPr>
            <w:tcW w:w="1418" w:type="dxa"/>
            <w:tcBorders>
              <w:top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i/>
                <w:iCs/>
                <w:color w:val="000000"/>
              </w:rPr>
              <w:t>a</w:t>
            </w:r>
            <w:r>
              <w:rPr>
                <w:rFonts w:ascii="Times New Roman" w:hAnsi="Times New Roman"/>
                <w:bCs/>
                <w:i/>
                <w:iCs/>
                <w:color w:val="000000"/>
                <w:vertAlign w:val="subscript"/>
              </w:rPr>
              <w:t>1</w:t>
            </w:r>
            <w:r>
              <w:rPr>
                <w:rFonts w:ascii="Times New Roman" w:hAnsi="Times New Roman"/>
                <w:bCs/>
                <w:color w:val="000000"/>
              </w:rPr>
              <w:t>~</w:t>
            </w:r>
            <w:r>
              <w:rPr>
                <w:rFonts w:ascii="Times New Roman" w:hAnsi="Times New Roman"/>
                <w:bCs/>
                <w:i/>
                <w:iCs/>
                <w:color w:val="000000"/>
              </w:rPr>
              <w:t>b</w:t>
            </w:r>
            <w:r>
              <w:rPr>
                <w:rFonts w:ascii="Times New Roman" w:hAnsi="Times New Roman"/>
                <w:bCs/>
                <w:i/>
                <w:iCs/>
                <w:color w:val="000000"/>
                <w:vertAlign w:val="subscript"/>
              </w:rPr>
              <w:t>1</w:t>
            </w:r>
          </w:p>
        </w:tc>
        <w:tc>
          <w:tcPr>
            <w:tcW w:w="1472" w:type="dxa"/>
            <w:tcBorders>
              <w:top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r>
              <w:rPr>
                <w:rFonts w:ascii="Times New Roman" w:hAnsi="Times New Roman"/>
                <w:bCs/>
                <w:i/>
                <w:iCs/>
                <w:color w:val="000000"/>
              </w:rPr>
              <w:t>a</w:t>
            </w:r>
            <w:r>
              <w:rPr>
                <w:rFonts w:ascii="Times New Roman" w:hAnsi="Times New Roman"/>
                <w:bCs/>
                <w:i/>
                <w:iCs/>
                <w:color w:val="000000"/>
                <w:vertAlign w:val="subscript"/>
              </w:rPr>
              <w:t>1</w:t>
            </w:r>
          </w:p>
        </w:tc>
      </w:tr>
      <w:tr w:rsidR="0073700B">
        <w:trPr>
          <w:jc w:val="center"/>
        </w:trPr>
        <w:tc>
          <w:tcPr>
            <w:tcW w:w="1651"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评价因子</w:t>
            </w:r>
            <w:r>
              <w:rPr>
                <w:rFonts w:ascii="Times New Roman" w:hAnsi="Times New Roman"/>
                <w:bCs/>
                <w:color w:val="000000"/>
              </w:rPr>
              <w:t>2</w:t>
            </w:r>
          </w:p>
        </w:tc>
        <w:tc>
          <w:tcPr>
            <w:tcW w:w="1481"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r>
              <w:rPr>
                <w:rFonts w:ascii="Times New Roman" w:hAnsi="Times New Roman"/>
                <w:bCs/>
                <w:i/>
                <w:iCs/>
                <w:color w:val="000000"/>
              </w:rPr>
              <w:t>c</w:t>
            </w:r>
            <w:r>
              <w:rPr>
                <w:rFonts w:ascii="Times New Roman" w:hAnsi="Times New Roman"/>
                <w:bCs/>
                <w:i/>
                <w:iCs/>
                <w:color w:val="000000"/>
                <w:vertAlign w:val="subscript"/>
              </w:rPr>
              <w:t>2</w:t>
            </w:r>
          </w:p>
        </w:tc>
        <w:tc>
          <w:tcPr>
            <w:tcW w:w="1527"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i/>
                <w:iCs/>
                <w:color w:val="000000"/>
              </w:rPr>
              <w:t>b</w:t>
            </w:r>
            <w:r>
              <w:rPr>
                <w:rFonts w:ascii="Times New Roman" w:hAnsi="Times New Roman"/>
                <w:bCs/>
                <w:i/>
                <w:iCs/>
                <w:color w:val="000000"/>
                <w:vertAlign w:val="subscript"/>
              </w:rPr>
              <w:t>2</w:t>
            </w:r>
            <w:r>
              <w:rPr>
                <w:rFonts w:ascii="Times New Roman" w:hAnsi="Times New Roman"/>
                <w:bCs/>
                <w:color w:val="000000"/>
              </w:rPr>
              <w:t>~</w:t>
            </w:r>
            <w:r>
              <w:rPr>
                <w:rFonts w:ascii="Times New Roman" w:hAnsi="Times New Roman"/>
                <w:bCs/>
                <w:i/>
                <w:iCs/>
                <w:color w:val="000000"/>
              </w:rPr>
              <w:t>c</w:t>
            </w:r>
            <w:r>
              <w:rPr>
                <w:rFonts w:ascii="Times New Roman" w:hAnsi="Times New Roman"/>
                <w:bCs/>
                <w:i/>
                <w:iCs/>
                <w:color w:val="000000"/>
                <w:vertAlign w:val="subscript"/>
              </w:rPr>
              <w:t>2</w:t>
            </w:r>
          </w:p>
        </w:tc>
        <w:tc>
          <w:tcPr>
            <w:tcW w:w="1418"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i/>
                <w:iCs/>
                <w:color w:val="000000"/>
              </w:rPr>
              <w:t>a</w:t>
            </w:r>
            <w:r>
              <w:rPr>
                <w:rFonts w:ascii="Times New Roman" w:hAnsi="Times New Roman"/>
                <w:bCs/>
                <w:i/>
                <w:iCs/>
                <w:color w:val="000000"/>
                <w:vertAlign w:val="subscript"/>
              </w:rPr>
              <w:t>2</w:t>
            </w:r>
            <w:r>
              <w:rPr>
                <w:rFonts w:ascii="Times New Roman" w:hAnsi="Times New Roman"/>
                <w:bCs/>
                <w:color w:val="000000"/>
              </w:rPr>
              <w:t>~</w:t>
            </w:r>
            <w:r>
              <w:rPr>
                <w:rFonts w:ascii="Times New Roman" w:hAnsi="Times New Roman"/>
                <w:bCs/>
                <w:i/>
                <w:iCs/>
                <w:color w:val="000000"/>
              </w:rPr>
              <w:t>b</w:t>
            </w:r>
            <w:r>
              <w:rPr>
                <w:rFonts w:ascii="Times New Roman" w:hAnsi="Times New Roman"/>
                <w:bCs/>
                <w:i/>
                <w:iCs/>
                <w:color w:val="000000"/>
                <w:vertAlign w:val="subscript"/>
              </w:rPr>
              <w:t>2</w:t>
            </w:r>
          </w:p>
        </w:tc>
        <w:tc>
          <w:tcPr>
            <w:tcW w:w="1472"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r>
              <w:rPr>
                <w:rFonts w:ascii="Times New Roman" w:hAnsi="Times New Roman"/>
                <w:bCs/>
                <w:i/>
                <w:iCs/>
                <w:color w:val="000000"/>
              </w:rPr>
              <w:t>a</w:t>
            </w:r>
            <w:r>
              <w:rPr>
                <w:rFonts w:ascii="Times New Roman" w:hAnsi="Times New Roman"/>
                <w:bCs/>
                <w:i/>
                <w:iCs/>
                <w:color w:val="000000"/>
                <w:vertAlign w:val="subscript"/>
              </w:rPr>
              <w:t>2</w:t>
            </w:r>
          </w:p>
        </w:tc>
      </w:tr>
      <w:tr w:rsidR="0073700B">
        <w:trPr>
          <w:jc w:val="center"/>
        </w:trPr>
        <w:tc>
          <w:tcPr>
            <w:tcW w:w="1651"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p>
        </w:tc>
        <w:tc>
          <w:tcPr>
            <w:tcW w:w="1481"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p>
        </w:tc>
        <w:tc>
          <w:tcPr>
            <w:tcW w:w="1527"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p>
        </w:tc>
        <w:tc>
          <w:tcPr>
            <w:tcW w:w="1418"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p>
        </w:tc>
        <w:tc>
          <w:tcPr>
            <w:tcW w:w="1472"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p>
        </w:tc>
      </w:tr>
      <w:tr w:rsidR="0073700B">
        <w:trPr>
          <w:jc w:val="center"/>
        </w:trPr>
        <w:tc>
          <w:tcPr>
            <w:tcW w:w="1651"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评价因子</w:t>
            </w:r>
            <w:r>
              <w:rPr>
                <w:rFonts w:ascii="Times New Roman" w:hAnsi="Times New Roman"/>
                <w:bCs/>
                <w:i/>
                <w:iCs/>
                <w:color w:val="000000"/>
              </w:rPr>
              <w:t>m</w:t>
            </w:r>
          </w:p>
        </w:tc>
        <w:tc>
          <w:tcPr>
            <w:tcW w:w="1481"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r>
              <w:rPr>
                <w:rFonts w:ascii="Times New Roman" w:hAnsi="Times New Roman"/>
                <w:bCs/>
                <w:i/>
                <w:iCs/>
                <w:color w:val="000000"/>
              </w:rPr>
              <w:t>c</w:t>
            </w:r>
            <w:r>
              <w:rPr>
                <w:rFonts w:ascii="Times New Roman" w:hAnsi="Times New Roman"/>
                <w:bCs/>
                <w:i/>
                <w:iCs/>
                <w:color w:val="000000"/>
                <w:vertAlign w:val="subscript"/>
              </w:rPr>
              <w:t>m</w:t>
            </w:r>
          </w:p>
        </w:tc>
        <w:tc>
          <w:tcPr>
            <w:tcW w:w="1527"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i/>
                <w:iCs/>
                <w:color w:val="000000"/>
              </w:rPr>
              <w:t>b</w:t>
            </w:r>
            <w:r>
              <w:rPr>
                <w:rFonts w:ascii="Times New Roman" w:hAnsi="Times New Roman"/>
                <w:bCs/>
                <w:i/>
                <w:iCs/>
                <w:color w:val="000000"/>
                <w:vertAlign w:val="subscript"/>
              </w:rPr>
              <w:t>m</w:t>
            </w:r>
            <w:r>
              <w:rPr>
                <w:rFonts w:ascii="Times New Roman" w:hAnsi="Times New Roman"/>
                <w:bCs/>
                <w:color w:val="000000"/>
              </w:rPr>
              <w:t>~</w:t>
            </w:r>
            <w:r>
              <w:rPr>
                <w:rFonts w:ascii="Times New Roman" w:hAnsi="Times New Roman"/>
                <w:bCs/>
                <w:i/>
                <w:iCs/>
                <w:color w:val="000000"/>
              </w:rPr>
              <w:t>c</w:t>
            </w:r>
            <w:r>
              <w:rPr>
                <w:rFonts w:ascii="Times New Roman" w:hAnsi="Times New Roman"/>
                <w:bCs/>
                <w:i/>
                <w:iCs/>
                <w:color w:val="000000"/>
                <w:vertAlign w:val="subscript"/>
              </w:rPr>
              <w:t>m</w:t>
            </w:r>
          </w:p>
        </w:tc>
        <w:tc>
          <w:tcPr>
            <w:tcW w:w="1418"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i/>
                <w:iCs/>
                <w:color w:val="000000"/>
              </w:rPr>
              <w:t>a</w:t>
            </w:r>
            <w:r>
              <w:rPr>
                <w:rFonts w:ascii="Times New Roman" w:hAnsi="Times New Roman"/>
                <w:bCs/>
                <w:i/>
                <w:iCs/>
                <w:color w:val="000000"/>
                <w:vertAlign w:val="subscript"/>
              </w:rPr>
              <w:t>m</w:t>
            </w:r>
            <w:r>
              <w:rPr>
                <w:rFonts w:ascii="Times New Roman" w:hAnsi="Times New Roman"/>
                <w:bCs/>
                <w:color w:val="000000"/>
              </w:rPr>
              <w:t>~</w:t>
            </w:r>
            <w:r>
              <w:rPr>
                <w:rFonts w:ascii="Times New Roman" w:hAnsi="Times New Roman"/>
                <w:bCs/>
                <w:i/>
                <w:iCs/>
                <w:color w:val="000000"/>
              </w:rPr>
              <w:t>b</w:t>
            </w:r>
            <w:r>
              <w:rPr>
                <w:rFonts w:ascii="Times New Roman" w:hAnsi="Times New Roman"/>
                <w:bCs/>
                <w:i/>
                <w:iCs/>
                <w:color w:val="000000"/>
                <w:vertAlign w:val="subscript"/>
              </w:rPr>
              <w:t>m</w:t>
            </w:r>
          </w:p>
        </w:tc>
        <w:tc>
          <w:tcPr>
            <w:tcW w:w="1472"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r>
              <w:rPr>
                <w:rFonts w:ascii="Times New Roman" w:hAnsi="Times New Roman"/>
                <w:bCs/>
                <w:i/>
                <w:iCs/>
                <w:color w:val="000000"/>
              </w:rPr>
              <w:t>a</w:t>
            </w:r>
            <w:r>
              <w:rPr>
                <w:rFonts w:ascii="Times New Roman" w:hAnsi="Times New Roman"/>
                <w:bCs/>
                <w:i/>
                <w:iCs/>
                <w:color w:val="000000"/>
                <w:vertAlign w:val="subscript"/>
              </w:rPr>
              <w:t>m</w:t>
            </w:r>
          </w:p>
        </w:tc>
      </w:tr>
    </w:tbl>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结合工程实际、相关规范和专家建议，对施工中隧道的各评价指标进行赋值，见</w:t>
      </w:r>
      <w:r>
        <w:fldChar w:fldCharType="begin"/>
      </w:r>
      <w:r>
        <w:instrText xml:space="preserve"> REF _Ref535833461 \h  \* MERGEFORMAT </w:instrText>
      </w:r>
      <w:r>
        <w:fldChar w:fldCharType="separate"/>
      </w:r>
      <w:r>
        <w:rPr>
          <w:bCs/>
          <w:sz w:val="24"/>
        </w:rPr>
        <w:t>表</w:t>
      </w:r>
      <w:r>
        <w:rPr>
          <w:bCs/>
          <w:sz w:val="24"/>
        </w:rPr>
        <w:t>6</w:t>
      </w:r>
      <w:r>
        <w:rPr>
          <w:bCs/>
          <w:sz w:val="24"/>
        </w:rPr>
        <w:noBreakHyphen/>
        <w:t>33</w:t>
      </w:r>
      <w:r>
        <w:rPr>
          <w:bCs/>
          <w:sz w:val="24"/>
        </w:rPr>
        <w:fldChar w:fldCharType="end"/>
      </w:r>
      <w:r>
        <w:rPr>
          <w:bCs/>
          <w:color w:val="000000"/>
          <w:sz w:val="24"/>
          <w:szCs w:val="24"/>
        </w:rPr>
        <w:t>。</w:t>
      </w:r>
    </w:p>
    <w:p w:rsidR="0073700B" w:rsidRDefault="001A2FFC">
      <w:pPr>
        <w:pStyle w:val="a6"/>
        <w:rPr>
          <w:rFonts w:ascii="黑体" w:eastAsia="黑体" w:hAnsi="黑体"/>
          <w:b w:val="0"/>
          <w:bCs/>
          <w:color w:val="000000"/>
        </w:rPr>
      </w:pPr>
      <w:bookmarkStart w:id="90" w:name="_Ref535833461"/>
      <w:r>
        <w:rPr>
          <w:rFonts w:ascii="黑体" w:eastAsia="黑体" w:hAnsi="黑体"/>
          <w:b w:val="0"/>
          <w:bCs/>
        </w:rPr>
        <w:t>表</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表</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33</w:t>
      </w:r>
      <w:r>
        <w:rPr>
          <w:rFonts w:ascii="黑体" w:eastAsia="黑体" w:hAnsi="黑体"/>
          <w:b w:val="0"/>
          <w:bCs/>
        </w:rPr>
        <w:fldChar w:fldCharType="end"/>
      </w:r>
      <w:bookmarkEnd w:id="90"/>
      <w:r>
        <w:rPr>
          <w:rFonts w:ascii="黑体" w:eastAsia="黑体" w:hAnsi="黑体"/>
          <w:b w:val="0"/>
          <w:bCs/>
          <w:color w:val="000000"/>
        </w:rPr>
        <w:t xml:space="preserve">  </w:t>
      </w:r>
      <w:r>
        <w:rPr>
          <w:rFonts w:ascii="黑体" w:eastAsia="黑体" w:hAnsi="黑体"/>
          <w:b w:val="0"/>
          <w:bCs/>
          <w:color w:val="000000"/>
        </w:rPr>
        <w:t>风险评估指标调查统计表</w:t>
      </w:r>
    </w:p>
    <w:tbl>
      <w:tblPr>
        <w:tblW w:w="7266" w:type="dxa"/>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28"/>
        <w:gridCol w:w="2419"/>
        <w:gridCol w:w="2419"/>
      </w:tblGrid>
      <w:tr w:rsidR="0073700B">
        <w:tc>
          <w:tcPr>
            <w:tcW w:w="2428" w:type="dxa"/>
            <w:tcBorders>
              <w:top w:val="single" w:sz="8"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评价指标</w:t>
            </w:r>
          </w:p>
        </w:tc>
        <w:tc>
          <w:tcPr>
            <w:tcW w:w="2419" w:type="dxa"/>
            <w:tcBorders>
              <w:top w:val="single" w:sz="8"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评价因子</w:t>
            </w:r>
          </w:p>
        </w:tc>
        <w:tc>
          <w:tcPr>
            <w:tcW w:w="2419" w:type="dxa"/>
            <w:tcBorders>
              <w:top w:val="single" w:sz="8"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评价赋值</w:t>
            </w:r>
          </w:p>
        </w:tc>
      </w:tr>
      <w:tr w:rsidR="0073700B">
        <w:tc>
          <w:tcPr>
            <w:tcW w:w="2428" w:type="dxa"/>
            <w:vMerge w:val="restart"/>
            <w:tcBorders>
              <w:top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评价指标</w:t>
            </w:r>
            <w:r>
              <w:rPr>
                <w:rFonts w:ascii="Times New Roman" w:hAnsi="Times New Roman"/>
                <w:bCs/>
                <w:color w:val="000000"/>
              </w:rPr>
              <w:t>1</w:t>
            </w:r>
          </w:p>
        </w:tc>
        <w:tc>
          <w:tcPr>
            <w:tcW w:w="2419" w:type="dxa"/>
            <w:tcBorders>
              <w:top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评价因子</w:t>
            </w:r>
            <w:r>
              <w:rPr>
                <w:rFonts w:ascii="Times New Roman" w:hAnsi="Times New Roman"/>
                <w:bCs/>
                <w:color w:val="000000"/>
              </w:rPr>
              <w:t>1</w:t>
            </w:r>
          </w:p>
        </w:tc>
        <w:tc>
          <w:tcPr>
            <w:tcW w:w="2419" w:type="dxa"/>
            <w:tcBorders>
              <w:top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i/>
                <w:iCs/>
                <w:color w:val="000000"/>
              </w:rPr>
            </w:pPr>
            <w:r>
              <w:rPr>
                <w:rFonts w:ascii="Times New Roman" w:hAnsi="Times New Roman"/>
                <w:bCs/>
                <w:i/>
                <w:iCs/>
                <w:color w:val="000000"/>
              </w:rPr>
              <w:t>α</w:t>
            </w:r>
          </w:p>
        </w:tc>
      </w:tr>
      <w:tr w:rsidR="0073700B">
        <w:tc>
          <w:tcPr>
            <w:tcW w:w="2428" w:type="dxa"/>
            <w:vMerge/>
            <w:shd w:val="clear" w:color="auto" w:fill="auto"/>
            <w:vAlign w:val="center"/>
          </w:tcPr>
          <w:p w:rsidR="0073700B" w:rsidRDefault="0073700B">
            <w:pPr>
              <w:pStyle w:val="af8"/>
              <w:ind w:firstLineChars="0" w:firstLine="0"/>
              <w:jc w:val="center"/>
              <w:rPr>
                <w:rFonts w:ascii="Times New Roman" w:hAnsi="Times New Roman"/>
                <w:bCs/>
                <w:color w:val="000000"/>
              </w:rPr>
            </w:pPr>
          </w:p>
        </w:tc>
        <w:tc>
          <w:tcPr>
            <w:tcW w:w="2419"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评价因子</w:t>
            </w:r>
            <w:r>
              <w:rPr>
                <w:rFonts w:ascii="Times New Roman" w:hAnsi="Times New Roman"/>
                <w:bCs/>
                <w:color w:val="000000"/>
              </w:rPr>
              <w:t>2</w:t>
            </w:r>
          </w:p>
        </w:tc>
        <w:tc>
          <w:tcPr>
            <w:tcW w:w="2419" w:type="dxa"/>
            <w:shd w:val="clear" w:color="auto" w:fill="auto"/>
            <w:vAlign w:val="center"/>
          </w:tcPr>
          <w:p w:rsidR="0073700B" w:rsidRDefault="001A2FFC">
            <w:pPr>
              <w:pStyle w:val="af8"/>
              <w:ind w:firstLineChars="0" w:firstLine="0"/>
              <w:jc w:val="center"/>
              <w:rPr>
                <w:rFonts w:ascii="Times New Roman" w:hAnsi="Times New Roman"/>
                <w:bCs/>
                <w:i/>
                <w:iCs/>
                <w:color w:val="000000"/>
              </w:rPr>
            </w:pPr>
            <w:r>
              <w:rPr>
                <w:rFonts w:ascii="Times New Roman" w:hAnsi="Times New Roman"/>
                <w:bCs/>
                <w:i/>
                <w:iCs/>
                <w:color w:val="000000"/>
              </w:rPr>
              <w:t>β</w:t>
            </w:r>
          </w:p>
        </w:tc>
      </w:tr>
      <w:tr w:rsidR="0073700B">
        <w:tc>
          <w:tcPr>
            <w:tcW w:w="2428"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p>
        </w:tc>
        <w:tc>
          <w:tcPr>
            <w:tcW w:w="2419"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w:t>
            </w:r>
          </w:p>
        </w:tc>
        <w:tc>
          <w:tcPr>
            <w:tcW w:w="2419" w:type="dxa"/>
            <w:shd w:val="clear" w:color="auto" w:fill="auto"/>
            <w:vAlign w:val="center"/>
          </w:tcPr>
          <w:p w:rsidR="0073700B" w:rsidRDefault="001A2FFC">
            <w:pPr>
              <w:pStyle w:val="af8"/>
              <w:ind w:firstLineChars="0" w:firstLine="0"/>
              <w:jc w:val="center"/>
              <w:rPr>
                <w:rFonts w:ascii="Times New Roman" w:hAnsi="Times New Roman"/>
                <w:bCs/>
                <w:i/>
                <w:iCs/>
                <w:color w:val="000000"/>
              </w:rPr>
            </w:pPr>
            <w:r>
              <w:rPr>
                <w:rFonts w:ascii="Times New Roman" w:hAnsi="Times New Roman"/>
                <w:bCs/>
                <w:i/>
                <w:iCs/>
                <w:color w:val="000000"/>
              </w:rPr>
              <w:t>…</w:t>
            </w:r>
          </w:p>
        </w:tc>
      </w:tr>
      <w:tr w:rsidR="0073700B">
        <w:tc>
          <w:tcPr>
            <w:tcW w:w="2428"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评价指标</w:t>
            </w:r>
            <w:r>
              <w:rPr>
                <w:rFonts w:ascii="Times New Roman" w:hAnsi="Times New Roman"/>
                <w:bCs/>
                <w:i/>
                <w:iCs/>
                <w:color w:val="000000"/>
              </w:rPr>
              <w:t>n</w:t>
            </w:r>
          </w:p>
        </w:tc>
        <w:tc>
          <w:tcPr>
            <w:tcW w:w="2419" w:type="dxa"/>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评价因子</w:t>
            </w:r>
            <w:r>
              <w:rPr>
                <w:rFonts w:ascii="Times New Roman" w:hAnsi="Times New Roman"/>
                <w:bCs/>
                <w:i/>
                <w:iCs/>
                <w:color w:val="000000"/>
              </w:rPr>
              <w:t>m</w:t>
            </w:r>
          </w:p>
        </w:tc>
        <w:tc>
          <w:tcPr>
            <w:tcW w:w="2419" w:type="dxa"/>
            <w:shd w:val="clear" w:color="auto" w:fill="auto"/>
            <w:vAlign w:val="center"/>
          </w:tcPr>
          <w:p w:rsidR="0073700B" w:rsidRDefault="001A2FFC">
            <w:pPr>
              <w:pStyle w:val="af8"/>
              <w:ind w:firstLineChars="0" w:firstLine="0"/>
              <w:jc w:val="center"/>
              <w:rPr>
                <w:rFonts w:ascii="Times New Roman" w:hAnsi="Times New Roman"/>
                <w:bCs/>
                <w:i/>
                <w:iCs/>
                <w:color w:val="000000"/>
              </w:rPr>
            </w:pPr>
            <w:r>
              <w:rPr>
                <w:rFonts w:ascii="Times New Roman" w:hAnsi="Times New Roman"/>
                <w:bCs/>
                <w:i/>
                <w:iCs/>
                <w:color w:val="000000"/>
              </w:rPr>
              <w:t>γ</w:t>
            </w:r>
          </w:p>
        </w:tc>
      </w:tr>
    </w:tbl>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第二步：</w:t>
      </w:r>
      <w:r>
        <w:rPr>
          <w:bCs/>
          <w:color w:val="000000"/>
          <w:sz w:val="24"/>
          <w:szCs w:val="24"/>
        </w:rPr>
        <w:t>建立隧道施工安全状态各影响因素的未确知测度函数。单指标测度函数的定义为：</w:t>
      </w:r>
    </w:p>
    <w:p w:rsidR="0073700B" w:rsidRDefault="001A2FFC" w:rsidP="00F80BAC">
      <w:pPr>
        <w:spacing w:beforeLines="50" w:before="156" w:line="360" w:lineRule="auto"/>
        <w:ind w:firstLineChars="200" w:firstLine="480"/>
        <w:jc w:val="right"/>
        <w:rPr>
          <w:bCs/>
          <w:color w:val="000000"/>
          <w:sz w:val="24"/>
          <w:szCs w:val="24"/>
        </w:rPr>
      </w:pPr>
      <w:r>
        <w:rPr>
          <w:bCs/>
          <w:position w:val="-24"/>
          <w:sz w:val="24"/>
          <w:szCs w:val="28"/>
        </w:rPr>
        <w:object w:dxaOrig="1777" w:dyaOrig="561">
          <v:shape id="_x0000_i1048" type="#_x0000_t75" style="width:88.7pt;height:28.15pt" o:ole="">
            <v:imagedata r:id="rId59" o:title=""/>
          </v:shape>
          <o:OLEObject Type="Embed" ProgID="Equation.DSMT4" ShapeID="_x0000_i1048" DrawAspect="Content" ObjectID="_1645534681" r:id="rId60"/>
        </w:object>
      </w:r>
      <w:r>
        <w:rPr>
          <w:bCs/>
          <w:color w:val="000000"/>
          <w:sz w:val="24"/>
          <w:szCs w:val="24"/>
        </w:rPr>
        <w:t xml:space="preserve">                         (7)</w:t>
      </w:r>
    </w:p>
    <w:p w:rsidR="0073700B" w:rsidRDefault="001A2FFC" w:rsidP="00F80BAC">
      <w:pPr>
        <w:spacing w:beforeLines="50" w:before="156" w:line="360" w:lineRule="auto"/>
        <w:ind w:firstLineChars="200" w:firstLine="480"/>
        <w:jc w:val="right"/>
        <w:rPr>
          <w:bCs/>
          <w:color w:val="000000"/>
          <w:sz w:val="24"/>
          <w:szCs w:val="24"/>
        </w:rPr>
      </w:pPr>
      <w:r>
        <w:rPr>
          <w:bCs/>
          <w:position w:val="-24"/>
          <w:sz w:val="24"/>
          <w:szCs w:val="28"/>
        </w:rPr>
        <w:object w:dxaOrig="1403" w:dyaOrig="561">
          <v:shape id="_x0000_i1049" type="#_x0000_t75" style="width:69.9pt;height:28.15pt" o:ole="">
            <v:imagedata r:id="rId61" o:title=""/>
          </v:shape>
          <o:OLEObject Type="Embed" ProgID="Equation.DSMT4" ShapeID="_x0000_i1049" DrawAspect="Content" ObjectID="_1645534682" r:id="rId62"/>
        </w:object>
      </w:r>
      <w:r>
        <w:rPr>
          <w:bCs/>
          <w:color w:val="000000"/>
          <w:sz w:val="24"/>
          <w:szCs w:val="24"/>
        </w:rPr>
        <w:t xml:space="preserve">                          (8)</w:t>
      </w:r>
    </w:p>
    <w:p w:rsidR="0073700B" w:rsidRDefault="001A2FFC" w:rsidP="00F80BAC">
      <w:pPr>
        <w:spacing w:beforeLines="50" w:before="156" w:line="360" w:lineRule="auto"/>
        <w:ind w:firstLineChars="200" w:firstLine="560"/>
        <w:jc w:val="right"/>
        <w:rPr>
          <w:bCs/>
          <w:color w:val="000000"/>
          <w:sz w:val="24"/>
          <w:szCs w:val="24"/>
        </w:rPr>
      </w:pPr>
      <w:r>
        <w:rPr>
          <w:bCs/>
          <w:position w:val="-30"/>
          <w:sz w:val="28"/>
          <w:szCs w:val="28"/>
        </w:rPr>
        <w:object w:dxaOrig="4844" w:dyaOrig="673">
          <v:shape id="_x0000_i1050" type="#_x0000_t75" style="width:242.1pt;height:33.4pt" o:ole="">
            <v:imagedata r:id="rId63" o:title=""/>
          </v:shape>
          <o:OLEObject Type="Embed" ProgID="Equation.DSMT4" ShapeID="_x0000_i1050" DrawAspect="Content" ObjectID="_1645534683" r:id="rId64"/>
        </w:object>
      </w:r>
      <w:r>
        <w:rPr>
          <w:bCs/>
          <w:color w:val="000000"/>
          <w:sz w:val="24"/>
          <w:szCs w:val="24"/>
        </w:rPr>
        <w:t xml:space="preserve">           (9)</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式中，</w:t>
      </w:r>
      <w:r>
        <w:rPr>
          <w:bCs/>
          <w:i/>
          <w:iCs/>
          <w:color w:val="000000"/>
          <w:sz w:val="24"/>
          <w:szCs w:val="24"/>
        </w:rPr>
        <w:t>i</w:t>
      </w:r>
      <w:r>
        <w:rPr>
          <w:bCs/>
          <w:color w:val="000000"/>
          <w:sz w:val="24"/>
          <w:szCs w:val="24"/>
        </w:rPr>
        <w:t>=1</w:t>
      </w:r>
      <w:r>
        <w:rPr>
          <w:bCs/>
          <w:color w:val="000000"/>
          <w:sz w:val="24"/>
          <w:szCs w:val="24"/>
        </w:rPr>
        <w:t>，</w:t>
      </w:r>
      <w:r>
        <w:rPr>
          <w:bCs/>
          <w:color w:val="000000"/>
          <w:sz w:val="24"/>
          <w:szCs w:val="24"/>
        </w:rPr>
        <w:t>2</w:t>
      </w:r>
      <w:r>
        <w:rPr>
          <w:bCs/>
          <w:color w:val="000000"/>
          <w:sz w:val="24"/>
          <w:szCs w:val="24"/>
        </w:rPr>
        <w:t>，</w:t>
      </w:r>
      <w:r>
        <w:rPr>
          <w:bCs/>
          <w:color w:val="000000"/>
          <w:sz w:val="24"/>
          <w:szCs w:val="24"/>
        </w:rPr>
        <w:t>…</w:t>
      </w:r>
      <w:r>
        <w:rPr>
          <w:bCs/>
          <w:color w:val="000000"/>
          <w:sz w:val="24"/>
          <w:szCs w:val="24"/>
        </w:rPr>
        <w:t>，</w:t>
      </w:r>
      <w:r>
        <w:rPr>
          <w:bCs/>
          <w:i/>
          <w:iCs/>
          <w:color w:val="000000"/>
          <w:sz w:val="24"/>
          <w:szCs w:val="24"/>
        </w:rPr>
        <w:t>n</w:t>
      </w:r>
      <w:r>
        <w:rPr>
          <w:bCs/>
          <w:color w:val="000000"/>
          <w:sz w:val="24"/>
          <w:szCs w:val="24"/>
        </w:rPr>
        <w:t>；</w:t>
      </w:r>
      <w:r>
        <w:rPr>
          <w:bCs/>
          <w:i/>
          <w:iCs/>
          <w:color w:val="000000"/>
          <w:sz w:val="24"/>
          <w:szCs w:val="24"/>
        </w:rPr>
        <w:t>j</w:t>
      </w:r>
      <w:r>
        <w:rPr>
          <w:bCs/>
          <w:color w:val="000000"/>
          <w:sz w:val="24"/>
          <w:szCs w:val="24"/>
        </w:rPr>
        <w:t>=1</w:t>
      </w:r>
      <w:r>
        <w:rPr>
          <w:bCs/>
          <w:color w:val="000000"/>
          <w:sz w:val="24"/>
          <w:szCs w:val="24"/>
        </w:rPr>
        <w:t>，</w:t>
      </w:r>
      <w:r>
        <w:rPr>
          <w:bCs/>
          <w:color w:val="000000"/>
          <w:sz w:val="24"/>
          <w:szCs w:val="24"/>
        </w:rPr>
        <w:t>2…</w:t>
      </w:r>
      <w:r>
        <w:rPr>
          <w:bCs/>
          <w:color w:val="000000"/>
          <w:sz w:val="24"/>
          <w:szCs w:val="24"/>
        </w:rPr>
        <w:t>，</w:t>
      </w:r>
      <w:r>
        <w:rPr>
          <w:bCs/>
          <w:i/>
          <w:iCs/>
          <w:color w:val="000000"/>
          <w:sz w:val="24"/>
          <w:szCs w:val="24"/>
        </w:rPr>
        <w:t>m</w:t>
      </w:r>
      <w:r>
        <w:rPr>
          <w:bCs/>
          <w:color w:val="000000"/>
          <w:sz w:val="24"/>
          <w:szCs w:val="24"/>
        </w:rPr>
        <w:t>；</w:t>
      </w:r>
      <w:r>
        <w:rPr>
          <w:bCs/>
          <w:i/>
          <w:iCs/>
          <w:color w:val="000000"/>
          <w:sz w:val="24"/>
          <w:szCs w:val="24"/>
        </w:rPr>
        <w:t>k</w:t>
      </w:r>
      <w:r>
        <w:rPr>
          <w:bCs/>
          <w:color w:val="000000"/>
          <w:sz w:val="24"/>
          <w:szCs w:val="24"/>
        </w:rPr>
        <w:t>=1</w:t>
      </w:r>
      <w:r>
        <w:rPr>
          <w:bCs/>
          <w:color w:val="000000"/>
          <w:sz w:val="24"/>
          <w:szCs w:val="24"/>
        </w:rPr>
        <w:t>，</w:t>
      </w:r>
      <w:r>
        <w:rPr>
          <w:bCs/>
          <w:color w:val="000000"/>
          <w:sz w:val="24"/>
          <w:szCs w:val="24"/>
        </w:rPr>
        <w:t>2</w:t>
      </w:r>
      <w:r>
        <w:rPr>
          <w:bCs/>
          <w:color w:val="000000"/>
          <w:sz w:val="24"/>
          <w:szCs w:val="24"/>
        </w:rPr>
        <w:t>，</w:t>
      </w:r>
      <w:r>
        <w:rPr>
          <w:bCs/>
          <w:color w:val="000000"/>
          <w:sz w:val="24"/>
          <w:szCs w:val="24"/>
        </w:rPr>
        <w:t>3</w:t>
      </w:r>
      <w:r>
        <w:rPr>
          <w:bCs/>
          <w:color w:val="000000"/>
          <w:sz w:val="24"/>
          <w:szCs w:val="24"/>
        </w:rPr>
        <w:t>，</w:t>
      </w:r>
      <w:r>
        <w:rPr>
          <w:bCs/>
          <w:color w:val="000000"/>
          <w:sz w:val="24"/>
          <w:szCs w:val="24"/>
        </w:rPr>
        <w:t>4</w:t>
      </w:r>
      <w:r>
        <w:rPr>
          <w:bCs/>
          <w:color w:val="000000"/>
          <w:sz w:val="24"/>
          <w:szCs w:val="24"/>
        </w:rPr>
        <w:t>；</w:t>
      </w:r>
      <w:r>
        <w:rPr>
          <w:bCs/>
          <w:i/>
          <w:iCs/>
          <w:color w:val="000000"/>
          <w:sz w:val="24"/>
          <w:szCs w:val="24"/>
        </w:rPr>
        <w:t>X</w:t>
      </w:r>
      <w:r>
        <w:rPr>
          <w:bCs/>
          <w:i/>
          <w:iCs/>
          <w:color w:val="000000"/>
          <w:sz w:val="24"/>
          <w:szCs w:val="24"/>
          <w:vertAlign w:val="subscript"/>
        </w:rPr>
        <w:t>i</w:t>
      </w:r>
      <w:r>
        <w:rPr>
          <w:bCs/>
          <w:color w:val="000000"/>
          <w:sz w:val="24"/>
          <w:szCs w:val="24"/>
        </w:rPr>
        <w:t>表示第</w:t>
      </w:r>
      <w:r>
        <w:rPr>
          <w:bCs/>
          <w:i/>
          <w:iCs/>
          <w:color w:val="000000"/>
          <w:sz w:val="24"/>
          <w:szCs w:val="24"/>
        </w:rPr>
        <w:t>i</w:t>
      </w:r>
      <w:r>
        <w:rPr>
          <w:bCs/>
          <w:color w:val="000000"/>
          <w:sz w:val="24"/>
          <w:szCs w:val="24"/>
        </w:rPr>
        <w:t>个指标的测量值；</w:t>
      </w:r>
      <w:r>
        <w:rPr>
          <w:bCs/>
          <w:i/>
          <w:iCs/>
          <w:color w:val="000000"/>
          <w:sz w:val="24"/>
          <w:szCs w:val="24"/>
        </w:rPr>
        <w:t>μ</w:t>
      </w:r>
      <w:r>
        <w:rPr>
          <w:bCs/>
          <w:color w:val="000000"/>
          <w:sz w:val="24"/>
          <w:szCs w:val="24"/>
        </w:rPr>
        <w:t>为未确知测度。</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根据上述</w:t>
      </w:r>
      <w:proofErr w:type="gramStart"/>
      <w:r>
        <w:rPr>
          <w:bCs/>
          <w:color w:val="000000"/>
          <w:sz w:val="24"/>
          <w:szCs w:val="24"/>
        </w:rPr>
        <w:t>单指标</w:t>
      </w:r>
      <w:proofErr w:type="gramEnd"/>
      <w:r>
        <w:rPr>
          <w:bCs/>
          <w:color w:val="000000"/>
          <w:sz w:val="24"/>
          <w:szCs w:val="24"/>
        </w:rPr>
        <w:t>测度的定义及</w:t>
      </w:r>
      <w:r>
        <w:fldChar w:fldCharType="begin"/>
      </w:r>
      <w:r>
        <w:instrText xml:space="preserve"> REF _Ref21348900 \h  \* MERGEFORMAT </w:instrText>
      </w:r>
      <w:r>
        <w:fldChar w:fldCharType="separate"/>
      </w:r>
      <w:r>
        <w:rPr>
          <w:bCs/>
          <w:sz w:val="24"/>
          <w:szCs w:val="24"/>
        </w:rPr>
        <w:t>表</w:t>
      </w:r>
      <w:r>
        <w:rPr>
          <w:bCs/>
          <w:sz w:val="24"/>
          <w:szCs w:val="24"/>
        </w:rPr>
        <w:t>6</w:t>
      </w:r>
      <w:r>
        <w:rPr>
          <w:bCs/>
          <w:sz w:val="24"/>
          <w:szCs w:val="24"/>
        </w:rPr>
        <w:noBreakHyphen/>
        <w:t>32</w:t>
      </w:r>
      <w:r>
        <w:rPr>
          <w:bCs/>
          <w:sz w:val="24"/>
          <w:szCs w:val="24"/>
        </w:rPr>
        <w:fldChar w:fldCharType="end"/>
      </w:r>
      <w:r>
        <w:rPr>
          <w:bCs/>
          <w:color w:val="000000"/>
          <w:sz w:val="24"/>
          <w:szCs w:val="24"/>
        </w:rPr>
        <w:t>和</w:t>
      </w:r>
      <w:r>
        <w:fldChar w:fldCharType="begin"/>
      </w:r>
      <w:r>
        <w:instrText xml:space="preserve"> REF _Ref535833461 \h  \* MERGEFORMAT </w:instrText>
      </w:r>
      <w:r>
        <w:fldChar w:fldCharType="separate"/>
      </w:r>
      <w:r>
        <w:rPr>
          <w:bCs/>
          <w:sz w:val="24"/>
        </w:rPr>
        <w:t>表</w:t>
      </w:r>
      <w:r>
        <w:rPr>
          <w:bCs/>
          <w:sz w:val="24"/>
        </w:rPr>
        <w:t>6</w:t>
      </w:r>
      <w:r>
        <w:rPr>
          <w:bCs/>
          <w:sz w:val="24"/>
        </w:rPr>
        <w:noBreakHyphen/>
        <w:t>33</w:t>
      </w:r>
      <w:r>
        <w:rPr>
          <w:bCs/>
          <w:sz w:val="24"/>
        </w:rPr>
        <w:fldChar w:fldCharType="end"/>
      </w:r>
      <w:r>
        <w:rPr>
          <w:bCs/>
          <w:color w:val="000000"/>
          <w:sz w:val="24"/>
          <w:szCs w:val="24"/>
        </w:rPr>
        <w:t>，构建</w:t>
      </w:r>
      <w:proofErr w:type="gramStart"/>
      <w:r>
        <w:rPr>
          <w:bCs/>
          <w:color w:val="000000"/>
          <w:sz w:val="24"/>
          <w:szCs w:val="24"/>
        </w:rPr>
        <w:t>单指标</w:t>
      </w:r>
      <w:proofErr w:type="gramEnd"/>
      <w:r>
        <w:rPr>
          <w:bCs/>
          <w:color w:val="000000"/>
          <w:sz w:val="24"/>
          <w:szCs w:val="24"/>
        </w:rPr>
        <w:t>测度函数</w:t>
      </w:r>
      <w:r>
        <w:rPr>
          <w:bCs/>
          <w:color w:val="000000"/>
          <w:sz w:val="24"/>
          <w:szCs w:val="24"/>
        </w:rPr>
        <w:t>(</w:t>
      </w:r>
      <w:r>
        <w:rPr>
          <w:bCs/>
          <w:color w:val="000000"/>
          <w:sz w:val="24"/>
          <w:szCs w:val="24"/>
        </w:rPr>
        <w:t>函数图形见</w:t>
      </w:r>
      <w:r>
        <w:fldChar w:fldCharType="begin"/>
      </w:r>
      <w:r>
        <w:instrText xml:space="preserve"> REF _Ref29324105 \h  \* MERGEFORMAT </w:instrText>
      </w:r>
      <w:r>
        <w:fldChar w:fldCharType="separate"/>
      </w:r>
      <w:r>
        <w:rPr>
          <w:sz w:val="24"/>
          <w:szCs w:val="24"/>
        </w:rPr>
        <w:t>图</w:t>
      </w:r>
      <w:r>
        <w:rPr>
          <w:sz w:val="24"/>
          <w:szCs w:val="24"/>
        </w:rPr>
        <w:t>6</w:t>
      </w:r>
      <w:r>
        <w:rPr>
          <w:sz w:val="24"/>
          <w:szCs w:val="24"/>
        </w:rPr>
        <w:noBreakHyphen/>
        <w:t>17</w:t>
      </w:r>
      <w:r>
        <w:rPr>
          <w:sz w:val="24"/>
          <w:szCs w:val="24"/>
        </w:rPr>
        <w:fldChar w:fldCharType="end"/>
      </w:r>
      <w:r>
        <w:rPr>
          <w:bCs/>
          <w:color w:val="000000"/>
          <w:sz w:val="24"/>
          <w:szCs w:val="24"/>
        </w:rPr>
        <w:t>、</w:t>
      </w:r>
      <w:r>
        <w:fldChar w:fldCharType="begin"/>
      </w:r>
      <w:r>
        <w:instrText xml:space="preserve"> REF _Ref29324107 \h  \* MERGEFORMAT </w:instrText>
      </w:r>
      <w:r>
        <w:fldChar w:fldCharType="separate"/>
      </w:r>
      <w:r>
        <w:rPr>
          <w:sz w:val="24"/>
          <w:szCs w:val="24"/>
        </w:rPr>
        <w:t>图</w:t>
      </w:r>
      <w:r>
        <w:rPr>
          <w:sz w:val="24"/>
          <w:szCs w:val="24"/>
        </w:rPr>
        <w:t>6</w:t>
      </w:r>
      <w:r>
        <w:rPr>
          <w:sz w:val="24"/>
          <w:szCs w:val="24"/>
        </w:rPr>
        <w:noBreakHyphen/>
        <w:t>18</w:t>
      </w:r>
      <w:r>
        <w:rPr>
          <w:sz w:val="24"/>
          <w:szCs w:val="24"/>
        </w:rPr>
        <w:fldChar w:fldCharType="end"/>
      </w:r>
      <w:r>
        <w:rPr>
          <w:bCs/>
          <w:color w:val="000000"/>
          <w:sz w:val="24"/>
          <w:szCs w:val="24"/>
        </w:rPr>
        <w:t>、</w:t>
      </w:r>
      <w:r>
        <w:fldChar w:fldCharType="begin"/>
      </w:r>
      <w:r>
        <w:instrText xml:space="preserve"> REF _Ref29324108 \h  \* MERGEFORMAT </w:instrText>
      </w:r>
      <w:r>
        <w:fldChar w:fldCharType="separate"/>
      </w:r>
      <w:r>
        <w:rPr>
          <w:sz w:val="24"/>
          <w:szCs w:val="24"/>
        </w:rPr>
        <w:t>图</w:t>
      </w:r>
      <w:r>
        <w:rPr>
          <w:sz w:val="24"/>
          <w:szCs w:val="24"/>
        </w:rPr>
        <w:t>6</w:t>
      </w:r>
      <w:r>
        <w:rPr>
          <w:sz w:val="24"/>
          <w:szCs w:val="24"/>
        </w:rPr>
        <w:noBreakHyphen/>
        <w:t>19</w:t>
      </w:r>
      <w:r>
        <w:rPr>
          <w:sz w:val="24"/>
          <w:szCs w:val="24"/>
        </w:rPr>
        <w:fldChar w:fldCharType="end"/>
      </w:r>
      <w:r>
        <w:rPr>
          <w:bCs/>
          <w:color w:val="000000"/>
          <w:sz w:val="24"/>
          <w:szCs w:val="24"/>
        </w:rPr>
        <w:t>)</w:t>
      </w:r>
      <w:r>
        <w:rPr>
          <w:bCs/>
          <w:color w:val="000000"/>
          <w:sz w:val="24"/>
          <w:szCs w:val="24"/>
        </w:rPr>
        <w:t>以便求得隧道施工各评价指标的测度。</w:t>
      </w:r>
    </w:p>
    <w:bookmarkStart w:id="91" w:name="_MON_1630132456"/>
    <w:bookmarkEnd w:id="91"/>
    <w:p w:rsidR="0073700B" w:rsidRDefault="001A2FFC">
      <w:pPr>
        <w:spacing w:line="360" w:lineRule="auto"/>
        <w:rPr>
          <w:bCs/>
          <w:color w:val="000000"/>
          <w:sz w:val="24"/>
          <w:szCs w:val="24"/>
        </w:rPr>
      </w:pPr>
      <w:r>
        <w:rPr>
          <w:bCs/>
        </w:rPr>
        <w:object w:dxaOrig="8416" w:dyaOrig="2824">
          <v:shape id="_x0000_i1051" type="#_x0000_t75" style="width:421.05pt;height:141.4pt" o:ole="">
            <v:imagedata r:id="rId65" o:title="" cropright="1911f"/>
          </v:shape>
          <o:OLEObject Type="Embed" ProgID="Word.Document.8" ShapeID="_x0000_i1051" DrawAspect="Content" ObjectID="_1645534684" r:id="rId66"/>
        </w:object>
      </w:r>
    </w:p>
    <w:p w:rsidR="0073700B" w:rsidRDefault="001A2FFC">
      <w:pPr>
        <w:pStyle w:val="a6"/>
        <w:rPr>
          <w:rFonts w:ascii="黑体" w:eastAsia="黑体" w:hAnsi="黑体"/>
          <w:b w:val="0"/>
          <w:bCs/>
          <w:color w:val="000000"/>
        </w:rPr>
      </w:pPr>
      <w:bookmarkStart w:id="92" w:name="_Ref29324105"/>
      <w:r>
        <w:rPr>
          <w:rFonts w:ascii="黑体" w:eastAsia="黑体" w:hAnsi="黑体"/>
          <w:b w:val="0"/>
          <w:bCs/>
        </w:rPr>
        <w:t>图</w:t>
      </w:r>
      <w:r>
        <w:rPr>
          <w:rFonts w:ascii="黑体" w:eastAsia="黑体" w:hAnsi="黑体"/>
          <w:b w:val="0"/>
          <w:bCs/>
        </w:rPr>
        <w:fldChar w:fldCharType="begin"/>
      </w:r>
      <w:r>
        <w:rPr>
          <w:rFonts w:ascii="黑体" w:eastAsia="黑体" w:hAnsi="黑体"/>
          <w:b w:val="0"/>
          <w:bCs/>
        </w:rPr>
        <w:instrText xml:space="preserve"> STYLEREF 3 \s </w:instrText>
      </w:r>
      <w:r>
        <w:rPr>
          <w:rFonts w:ascii="黑体" w:eastAsia="黑体" w:hAnsi="黑体"/>
          <w:b w:val="0"/>
          <w:bCs/>
        </w:rPr>
        <w:fldChar w:fldCharType="separate"/>
      </w:r>
      <w:r>
        <w:rPr>
          <w:rFonts w:ascii="黑体" w:eastAsia="黑体" w:hAnsi="黑体"/>
          <w:b w:val="0"/>
          <w:bCs/>
        </w:rPr>
        <w:t>6</w:t>
      </w:r>
      <w:r>
        <w:rPr>
          <w:rFonts w:ascii="黑体" w:eastAsia="黑体" w:hAnsi="黑体"/>
          <w:b w:val="0"/>
          <w:bCs/>
        </w:rPr>
        <w:fldChar w:fldCharType="end"/>
      </w:r>
      <w:r>
        <w:rPr>
          <w:rFonts w:ascii="黑体" w:eastAsia="黑体" w:hAnsi="黑体"/>
          <w:b w:val="0"/>
          <w:bCs/>
        </w:rPr>
        <w:noBreakHyphen/>
      </w:r>
      <w:r>
        <w:rPr>
          <w:rFonts w:ascii="黑体" w:eastAsia="黑体" w:hAnsi="黑体"/>
          <w:b w:val="0"/>
          <w:bCs/>
        </w:rPr>
        <w:fldChar w:fldCharType="begin"/>
      </w:r>
      <w:r>
        <w:rPr>
          <w:rFonts w:ascii="黑体" w:eastAsia="黑体" w:hAnsi="黑体"/>
          <w:b w:val="0"/>
          <w:bCs/>
        </w:rPr>
        <w:instrText xml:space="preserve"> SEQ </w:instrText>
      </w:r>
      <w:r>
        <w:rPr>
          <w:rFonts w:ascii="黑体" w:eastAsia="黑体" w:hAnsi="黑体"/>
          <w:b w:val="0"/>
          <w:bCs/>
        </w:rPr>
        <w:instrText>图</w:instrText>
      </w:r>
      <w:r>
        <w:rPr>
          <w:rFonts w:ascii="黑体" w:eastAsia="黑体" w:hAnsi="黑体"/>
          <w:b w:val="0"/>
          <w:bCs/>
        </w:rPr>
        <w:instrText xml:space="preserve"> \* ARABIC \s 3 </w:instrText>
      </w:r>
      <w:r>
        <w:rPr>
          <w:rFonts w:ascii="黑体" w:eastAsia="黑体" w:hAnsi="黑体"/>
          <w:b w:val="0"/>
          <w:bCs/>
        </w:rPr>
        <w:fldChar w:fldCharType="separate"/>
      </w:r>
      <w:r>
        <w:rPr>
          <w:rFonts w:ascii="黑体" w:eastAsia="黑体" w:hAnsi="黑体"/>
          <w:b w:val="0"/>
          <w:bCs/>
        </w:rPr>
        <w:t>17</w:t>
      </w:r>
      <w:r>
        <w:rPr>
          <w:rFonts w:ascii="黑体" w:eastAsia="黑体" w:hAnsi="黑体"/>
          <w:b w:val="0"/>
          <w:bCs/>
        </w:rPr>
        <w:fldChar w:fldCharType="end"/>
      </w:r>
      <w:bookmarkEnd w:id="92"/>
      <w:r>
        <w:rPr>
          <w:rFonts w:ascii="黑体" w:eastAsia="黑体" w:hAnsi="黑体"/>
          <w:b w:val="0"/>
          <w:bCs/>
        </w:rPr>
        <w:t xml:space="preserve">  </w:t>
      </w:r>
      <w:r>
        <w:rPr>
          <w:rFonts w:ascii="黑体" w:eastAsia="黑体" w:hAnsi="黑体"/>
          <w:b w:val="0"/>
          <w:bCs/>
          <w:color w:val="000000"/>
        </w:rPr>
        <w:t>评价因子</w:t>
      </w:r>
      <w:r>
        <w:rPr>
          <w:rFonts w:ascii="黑体" w:eastAsia="黑体" w:hAnsi="黑体"/>
          <w:b w:val="0"/>
          <w:bCs/>
          <w:color w:val="000000"/>
        </w:rPr>
        <w:t>1</w:t>
      </w:r>
      <w:r>
        <w:rPr>
          <w:rFonts w:ascii="黑体" w:eastAsia="黑体" w:hAnsi="黑体"/>
          <w:b w:val="0"/>
          <w:bCs/>
          <w:color w:val="000000"/>
        </w:rPr>
        <w:t>的</w:t>
      </w:r>
      <w:r>
        <w:rPr>
          <w:rFonts w:ascii="黑体" w:eastAsia="黑体" w:hAnsi="黑体"/>
          <w:b w:val="0"/>
          <w:bCs/>
          <w:color w:val="000000"/>
        </w:rPr>
        <w:t>未确知函数</w:t>
      </w:r>
    </w:p>
    <w:bookmarkStart w:id="93" w:name="_MON_1630135949"/>
    <w:bookmarkEnd w:id="93"/>
    <w:p w:rsidR="0073700B" w:rsidRDefault="001A2FFC">
      <w:pPr>
        <w:jc w:val="center"/>
        <w:rPr>
          <w:bCs/>
          <w:color w:val="000000"/>
        </w:rPr>
      </w:pPr>
      <w:r>
        <w:rPr>
          <w:bCs/>
        </w:rPr>
        <w:object w:dxaOrig="8416" w:dyaOrig="2805">
          <v:shape id="_x0000_i1052" type="#_x0000_t75" style="width:421.05pt;height:140.35pt" o:ole="">
            <v:imagedata r:id="rId67" o:title=""/>
          </v:shape>
          <o:OLEObject Type="Embed" ProgID="Word.Document.8" ShapeID="_x0000_i1052" DrawAspect="Content" ObjectID="_1645534685" r:id="rId68"/>
        </w:object>
      </w:r>
    </w:p>
    <w:p w:rsidR="0073700B" w:rsidRDefault="001A2FFC">
      <w:pPr>
        <w:pStyle w:val="a6"/>
        <w:rPr>
          <w:rFonts w:ascii="黑体" w:eastAsia="黑体" w:hAnsi="黑体"/>
          <w:b w:val="0"/>
          <w:bCs/>
          <w:color w:val="000000"/>
        </w:rPr>
      </w:pPr>
      <w:bookmarkStart w:id="94" w:name="_Ref29324107"/>
      <w:r>
        <w:rPr>
          <w:rFonts w:ascii="黑体" w:eastAsia="黑体" w:hAnsi="黑体"/>
          <w:b w:val="0"/>
          <w:bCs/>
          <w:szCs w:val="32"/>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18</w:t>
      </w:r>
      <w:r>
        <w:rPr>
          <w:rFonts w:ascii="黑体" w:eastAsia="黑体" w:hAnsi="黑体"/>
          <w:b w:val="0"/>
          <w:bCs/>
          <w:szCs w:val="32"/>
        </w:rPr>
        <w:fldChar w:fldCharType="end"/>
      </w:r>
      <w:bookmarkEnd w:id="94"/>
      <w:r>
        <w:rPr>
          <w:rFonts w:ascii="黑体" w:eastAsia="黑体" w:hAnsi="黑体"/>
          <w:b w:val="0"/>
          <w:bCs/>
          <w:szCs w:val="32"/>
        </w:rPr>
        <w:t xml:space="preserve">  </w:t>
      </w:r>
      <w:r>
        <w:rPr>
          <w:rFonts w:ascii="黑体" w:eastAsia="黑体" w:hAnsi="黑体"/>
          <w:b w:val="0"/>
          <w:bCs/>
          <w:color w:val="000000"/>
        </w:rPr>
        <w:t>X</w:t>
      </w:r>
      <w:r>
        <w:rPr>
          <w:rFonts w:ascii="黑体" w:eastAsia="黑体" w:hAnsi="黑体"/>
          <w:b w:val="0"/>
          <w:bCs/>
          <w:color w:val="000000"/>
        </w:rPr>
        <w:t>评价因子</w:t>
      </w:r>
      <w:r>
        <w:rPr>
          <w:rFonts w:ascii="黑体" w:eastAsia="黑体" w:hAnsi="黑体"/>
          <w:b w:val="0"/>
          <w:bCs/>
          <w:color w:val="000000"/>
        </w:rPr>
        <w:t>2</w:t>
      </w:r>
      <w:r>
        <w:rPr>
          <w:rFonts w:ascii="黑体" w:eastAsia="黑体" w:hAnsi="黑体"/>
          <w:b w:val="0"/>
          <w:bCs/>
          <w:color w:val="000000"/>
        </w:rPr>
        <w:t>的未确知函数</w:t>
      </w:r>
    </w:p>
    <w:bookmarkStart w:id="95" w:name="_MON_1630136397"/>
    <w:bookmarkEnd w:id="95"/>
    <w:p w:rsidR="0073700B" w:rsidRDefault="001A2FFC">
      <w:pPr>
        <w:jc w:val="center"/>
        <w:rPr>
          <w:rFonts w:eastAsia="黑体"/>
          <w:bCs/>
          <w:color w:val="000000"/>
          <w:sz w:val="24"/>
        </w:rPr>
      </w:pPr>
      <w:r>
        <w:rPr>
          <w:bCs/>
        </w:rPr>
        <w:object w:dxaOrig="8303" w:dyaOrig="2749">
          <v:shape id="_x0000_i1053" type="#_x0000_t75" style="width:415.3pt;height:137.2pt" o:ole="">
            <v:imagedata r:id="rId69" o:title=""/>
          </v:shape>
          <o:OLEObject Type="Embed" ProgID="Word.Document.8" ShapeID="_x0000_i1053" DrawAspect="Content" ObjectID="_1645534686" r:id="rId70"/>
        </w:object>
      </w:r>
    </w:p>
    <w:p w:rsidR="0073700B" w:rsidRDefault="001A2FFC">
      <w:pPr>
        <w:pStyle w:val="a6"/>
        <w:rPr>
          <w:rFonts w:ascii="黑体" w:eastAsia="黑体" w:hAnsi="黑体"/>
          <w:b w:val="0"/>
          <w:bCs/>
          <w:color w:val="000000"/>
          <w:sz w:val="22"/>
        </w:rPr>
      </w:pPr>
      <w:bookmarkStart w:id="96" w:name="_Ref29324108"/>
      <w:r>
        <w:rPr>
          <w:rFonts w:ascii="黑体" w:eastAsia="黑体" w:hAnsi="黑体"/>
          <w:b w:val="0"/>
          <w:bCs/>
          <w:szCs w:val="32"/>
        </w:rPr>
        <w:t>图</w:t>
      </w:r>
      <w:r>
        <w:rPr>
          <w:rFonts w:ascii="黑体" w:eastAsia="黑体" w:hAnsi="黑体"/>
          <w:b w:val="0"/>
          <w:bCs/>
          <w:szCs w:val="32"/>
        </w:rPr>
        <w:fldChar w:fldCharType="begin"/>
      </w:r>
      <w:r>
        <w:rPr>
          <w:rFonts w:ascii="黑体" w:eastAsia="黑体" w:hAnsi="黑体"/>
          <w:b w:val="0"/>
          <w:bCs/>
          <w:szCs w:val="32"/>
        </w:rPr>
        <w:instrText xml:space="preserve"> STYLEREF 3 \s </w:instrText>
      </w:r>
      <w:r>
        <w:rPr>
          <w:rFonts w:ascii="黑体" w:eastAsia="黑体" w:hAnsi="黑体"/>
          <w:b w:val="0"/>
          <w:bCs/>
          <w:szCs w:val="32"/>
        </w:rPr>
        <w:fldChar w:fldCharType="separate"/>
      </w:r>
      <w:r>
        <w:rPr>
          <w:rFonts w:ascii="黑体" w:eastAsia="黑体" w:hAnsi="黑体"/>
          <w:b w:val="0"/>
          <w:bCs/>
          <w:szCs w:val="32"/>
        </w:rPr>
        <w:t>6</w:t>
      </w:r>
      <w:r>
        <w:rPr>
          <w:rFonts w:ascii="黑体" w:eastAsia="黑体" w:hAnsi="黑体"/>
          <w:b w:val="0"/>
          <w:bCs/>
          <w:szCs w:val="32"/>
        </w:rPr>
        <w:fldChar w:fldCharType="end"/>
      </w:r>
      <w:r>
        <w:rPr>
          <w:rFonts w:ascii="黑体" w:eastAsia="黑体" w:hAnsi="黑体"/>
          <w:b w:val="0"/>
          <w:bCs/>
          <w:szCs w:val="32"/>
        </w:rPr>
        <w:noBreakHyphen/>
      </w:r>
      <w:r>
        <w:rPr>
          <w:rFonts w:ascii="黑体" w:eastAsia="黑体" w:hAnsi="黑体"/>
          <w:b w:val="0"/>
          <w:bCs/>
          <w:szCs w:val="32"/>
        </w:rPr>
        <w:fldChar w:fldCharType="begin"/>
      </w:r>
      <w:r>
        <w:rPr>
          <w:rFonts w:ascii="黑体" w:eastAsia="黑体" w:hAnsi="黑体"/>
          <w:b w:val="0"/>
          <w:bCs/>
          <w:szCs w:val="32"/>
        </w:rPr>
        <w:instrText xml:space="preserve"> SEQ </w:instrText>
      </w:r>
      <w:r>
        <w:rPr>
          <w:rFonts w:ascii="黑体" w:eastAsia="黑体" w:hAnsi="黑体"/>
          <w:b w:val="0"/>
          <w:bCs/>
          <w:szCs w:val="32"/>
        </w:rPr>
        <w:instrText>图</w:instrText>
      </w:r>
      <w:r>
        <w:rPr>
          <w:rFonts w:ascii="黑体" w:eastAsia="黑体" w:hAnsi="黑体"/>
          <w:b w:val="0"/>
          <w:bCs/>
          <w:szCs w:val="32"/>
        </w:rPr>
        <w:instrText xml:space="preserve"> \* ARABIC \s 3 </w:instrText>
      </w:r>
      <w:r>
        <w:rPr>
          <w:rFonts w:ascii="黑体" w:eastAsia="黑体" w:hAnsi="黑体"/>
          <w:b w:val="0"/>
          <w:bCs/>
          <w:szCs w:val="32"/>
        </w:rPr>
        <w:fldChar w:fldCharType="separate"/>
      </w:r>
      <w:r>
        <w:rPr>
          <w:rFonts w:ascii="黑体" w:eastAsia="黑体" w:hAnsi="黑体"/>
          <w:b w:val="0"/>
          <w:bCs/>
          <w:szCs w:val="32"/>
        </w:rPr>
        <w:t>19</w:t>
      </w:r>
      <w:r>
        <w:rPr>
          <w:rFonts w:ascii="黑体" w:eastAsia="黑体" w:hAnsi="黑体"/>
          <w:b w:val="0"/>
          <w:bCs/>
          <w:szCs w:val="32"/>
        </w:rPr>
        <w:fldChar w:fldCharType="end"/>
      </w:r>
      <w:bookmarkEnd w:id="96"/>
      <w:r>
        <w:rPr>
          <w:rFonts w:ascii="黑体" w:eastAsia="黑体" w:hAnsi="黑体"/>
          <w:b w:val="0"/>
          <w:bCs/>
          <w:szCs w:val="20"/>
        </w:rPr>
        <w:t xml:space="preserve">  </w:t>
      </w:r>
      <w:r>
        <w:rPr>
          <w:rFonts w:ascii="黑体" w:eastAsia="黑体" w:hAnsi="黑体"/>
          <w:b w:val="0"/>
          <w:bCs/>
          <w:color w:val="000000"/>
        </w:rPr>
        <w:t>X</w:t>
      </w:r>
      <w:r>
        <w:rPr>
          <w:rFonts w:ascii="黑体" w:eastAsia="黑体" w:hAnsi="黑体"/>
          <w:b w:val="0"/>
          <w:bCs/>
          <w:color w:val="000000"/>
        </w:rPr>
        <w:t>评价因子</w:t>
      </w:r>
      <w:r>
        <w:rPr>
          <w:rFonts w:ascii="黑体" w:eastAsia="黑体" w:hAnsi="黑体"/>
          <w:b w:val="0"/>
          <w:bCs/>
          <w:i/>
          <w:iCs/>
          <w:color w:val="000000"/>
        </w:rPr>
        <w:t>m</w:t>
      </w:r>
      <w:r>
        <w:rPr>
          <w:rFonts w:ascii="黑体" w:eastAsia="黑体" w:hAnsi="黑体"/>
          <w:b w:val="0"/>
          <w:bCs/>
          <w:color w:val="000000"/>
        </w:rPr>
        <w:t>的未确知函数</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将</w:t>
      </w:r>
      <w:r>
        <w:fldChar w:fldCharType="begin"/>
      </w:r>
      <w:r>
        <w:instrText xml:space="preserve"> REF _Ref535833461 \h  \* MERGEFORMAT </w:instrText>
      </w:r>
      <w:r>
        <w:fldChar w:fldCharType="separate"/>
      </w:r>
      <w:r>
        <w:rPr>
          <w:bCs/>
          <w:sz w:val="24"/>
          <w:szCs w:val="24"/>
        </w:rPr>
        <w:t>表</w:t>
      </w:r>
      <w:r>
        <w:rPr>
          <w:bCs/>
          <w:sz w:val="24"/>
          <w:szCs w:val="24"/>
        </w:rPr>
        <w:t>6</w:t>
      </w:r>
      <w:r>
        <w:rPr>
          <w:bCs/>
          <w:sz w:val="24"/>
          <w:szCs w:val="24"/>
        </w:rPr>
        <w:noBreakHyphen/>
        <w:t>33</w:t>
      </w:r>
      <w:r>
        <w:rPr>
          <w:bCs/>
          <w:sz w:val="24"/>
          <w:szCs w:val="24"/>
        </w:rPr>
        <w:fldChar w:fldCharType="end"/>
      </w:r>
      <w:r>
        <w:rPr>
          <w:bCs/>
          <w:color w:val="000000"/>
          <w:sz w:val="24"/>
          <w:szCs w:val="24"/>
        </w:rPr>
        <w:t>中评价因子代入上述的</w:t>
      </w:r>
      <w:proofErr w:type="gramStart"/>
      <w:r>
        <w:rPr>
          <w:bCs/>
          <w:color w:val="000000"/>
          <w:sz w:val="24"/>
          <w:szCs w:val="24"/>
        </w:rPr>
        <w:t>单指标</w:t>
      </w:r>
      <w:proofErr w:type="gramEnd"/>
      <w:r>
        <w:rPr>
          <w:bCs/>
          <w:color w:val="000000"/>
          <w:sz w:val="24"/>
          <w:szCs w:val="24"/>
        </w:rPr>
        <w:t>测度的函数中，可计算得到</w:t>
      </w:r>
      <w:proofErr w:type="gramStart"/>
      <w:r>
        <w:rPr>
          <w:bCs/>
          <w:color w:val="000000"/>
          <w:sz w:val="24"/>
          <w:szCs w:val="24"/>
        </w:rPr>
        <w:t>单指标</w:t>
      </w:r>
      <w:proofErr w:type="gramEnd"/>
      <w:r>
        <w:rPr>
          <w:bCs/>
          <w:color w:val="000000"/>
          <w:sz w:val="24"/>
          <w:szCs w:val="24"/>
        </w:rPr>
        <w:t>评价矩阵。</w:t>
      </w:r>
    </w:p>
    <w:p w:rsidR="0073700B" w:rsidRDefault="001A2FFC" w:rsidP="00F80BAC">
      <w:pPr>
        <w:spacing w:beforeLines="50" w:before="156" w:line="360" w:lineRule="auto"/>
        <w:ind w:firstLineChars="200" w:firstLine="480"/>
        <w:jc w:val="right"/>
        <w:rPr>
          <w:bCs/>
          <w:color w:val="000000"/>
          <w:sz w:val="24"/>
          <w:szCs w:val="24"/>
        </w:rPr>
      </w:pPr>
      <w:r>
        <w:rPr>
          <w:bCs/>
          <w:position w:val="-56"/>
          <w:sz w:val="24"/>
          <w:szCs w:val="28"/>
        </w:rPr>
        <w:object w:dxaOrig="3104" w:dyaOrig="1272">
          <v:shape id="_x0000_i1054" type="#_x0000_t75" style="width:154.95pt;height:63.65pt" o:ole="">
            <v:imagedata r:id="rId71" o:title=""/>
          </v:shape>
          <o:OLEObject Type="Embed" ProgID="Equation.DSMT4" ShapeID="_x0000_i1054" DrawAspect="Content" ObjectID="_1645534687" r:id="rId72"/>
        </w:object>
      </w:r>
      <w:r>
        <w:rPr>
          <w:bCs/>
          <w:color w:val="000000"/>
          <w:sz w:val="24"/>
          <w:szCs w:val="24"/>
        </w:rPr>
        <w:t xml:space="preserve">                      (10)</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第三步：</w:t>
      </w:r>
      <w:r>
        <w:rPr>
          <w:bCs/>
          <w:color w:val="000000"/>
          <w:sz w:val="24"/>
          <w:szCs w:val="24"/>
        </w:rPr>
        <w:t>利用信息熵理论计算各评估指标的指标权重。指标区分权重是指评价因子</w:t>
      </w:r>
      <w:r>
        <w:rPr>
          <w:bCs/>
          <w:i/>
          <w:iCs/>
          <w:color w:val="000000"/>
          <w:sz w:val="24"/>
          <w:szCs w:val="24"/>
        </w:rPr>
        <w:t>X</w:t>
      </w:r>
      <w:r>
        <w:rPr>
          <w:bCs/>
          <w:i/>
          <w:iCs/>
          <w:color w:val="000000"/>
          <w:sz w:val="24"/>
          <w:szCs w:val="24"/>
          <w:vertAlign w:val="subscript"/>
        </w:rPr>
        <w:t>i</w:t>
      </w:r>
      <w:r>
        <w:rPr>
          <w:bCs/>
          <w:color w:val="000000"/>
          <w:sz w:val="24"/>
          <w:szCs w:val="24"/>
        </w:rPr>
        <w:t>与其它因子相比具有的相对重要程度，记作</w:t>
      </w:r>
      <m:oMath>
        <m:sSub>
          <m:sSubPr>
            <m:ctrlPr>
              <w:rPr>
                <w:rFonts w:ascii="Cambria Math" w:hAnsi="Cambria Math"/>
                <w:bCs/>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j</m:t>
            </m:r>
          </m:sub>
        </m:sSub>
        <m:d>
          <m:dPr>
            <m:ctrlPr>
              <w:rPr>
                <w:rFonts w:ascii="Cambria Math" w:hAnsi="Cambria Math"/>
                <w:bCs/>
                <w:color w:val="000000"/>
                <w:sz w:val="24"/>
                <w:szCs w:val="24"/>
              </w:rPr>
            </m:ctrlPr>
          </m:dPr>
          <m:e>
            <m:sSub>
              <m:sSubPr>
                <m:ctrlPr>
                  <w:rPr>
                    <w:rFonts w:ascii="Cambria Math" w:hAnsi="Cambria Math"/>
                    <w:bCs/>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i</m:t>
                </m:r>
              </m:sub>
            </m:sSub>
          </m:e>
        </m:d>
        <m:r>
          <m:rPr>
            <m:sty m:val="p"/>
          </m:rPr>
          <w:rPr>
            <w:rFonts w:ascii="Cambria Math" w:hAnsi="Cambria Math"/>
            <w:color w:val="000000"/>
            <w:sz w:val="24"/>
            <w:szCs w:val="24"/>
          </w:rPr>
          <m:t>，</m:t>
        </m:r>
        <m:r>
          <m:rPr>
            <m:sty m:val="p"/>
          </m:rPr>
          <w:rPr>
            <w:rFonts w:ascii="Cambria Math" w:hAnsi="Cambria Math"/>
            <w:color w:val="000000"/>
            <w:sz w:val="24"/>
            <w:szCs w:val="24"/>
          </w:rPr>
          <m:t>0≤</m:t>
        </m:r>
        <m:sSub>
          <m:sSubPr>
            <m:ctrlPr>
              <w:rPr>
                <w:rFonts w:ascii="Cambria Math" w:hAnsi="Cambria Math"/>
                <w:bCs/>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j</m:t>
            </m:r>
          </m:sub>
        </m:sSub>
        <m:r>
          <m:rPr>
            <m:sty m:val="p"/>
          </m:rPr>
          <w:rPr>
            <w:rFonts w:ascii="Cambria Math" w:hAnsi="Cambria Math"/>
            <w:color w:val="000000"/>
            <w:sz w:val="24"/>
            <w:szCs w:val="24"/>
          </w:rPr>
          <m:t>≤1</m:t>
        </m:r>
      </m:oMath>
      <w:r>
        <w:rPr>
          <w:bCs/>
          <w:color w:val="000000"/>
          <w:sz w:val="24"/>
          <w:szCs w:val="24"/>
        </w:rPr>
        <w:t>。令：</w:t>
      </w:r>
    </w:p>
    <w:p w:rsidR="0073700B" w:rsidRDefault="001A2FFC" w:rsidP="00F80BAC">
      <w:pPr>
        <w:spacing w:beforeLines="50" w:before="156" w:line="360" w:lineRule="auto"/>
        <w:jc w:val="right"/>
        <w:rPr>
          <w:bCs/>
          <w:color w:val="000000"/>
          <w:sz w:val="24"/>
          <w:szCs w:val="24"/>
        </w:rPr>
      </w:pPr>
      <w:r>
        <w:rPr>
          <w:bCs/>
          <w:position w:val="-30"/>
          <w:sz w:val="24"/>
          <w:szCs w:val="28"/>
        </w:rPr>
        <w:object w:dxaOrig="2375" w:dyaOrig="729">
          <v:shape id="_x0000_i1055" type="#_x0000_t75" style="width:118.95pt;height:36.5pt" o:ole="">
            <v:imagedata r:id="rId73" o:title=""/>
          </v:shape>
          <o:OLEObject Type="Embed" ProgID="Equation.DSMT4" ShapeID="_x0000_i1055" DrawAspect="Content" ObjectID="_1645534688" r:id="rId74"/>
        </w:object>
      </w:r>
      <w:r>
        <w:rPr>
          <w:bCs/>
          <w:sz w:val="24"/>
          <w:szCs w:val="28"/>
        </w:rPr>
        <w:t xml:space="preserve"> </w:t>
      </w:r>
      <w:r>
        <w:rPr>
          <w:bCs/>
          <w:sz w:val="24"/>
          <w:szCs w:val="28"/>
        </w:rPr>
        <w:t xml:space="preserve">                    (11)</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式中：</w:t>
      </w:r>
      <m:oMath>
        <m:sSub>
          <m:sSubPr>
            <m:ctrlPr>
              <w:rPr>
                <w:rFonts w:ascii="Cambria Math" w:hAnsi="Cambria Math"/>
                <w:bCs/>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j</m:t>
            </m:r>
          </m:sub>
        </m:sSub>
      </m:oMath>
      <w:r>
        <w:rPr>
          <w:bCs/>
          <w:color w:val="000000"/>
          <w:sz w:val="24"/>
          <w:szCs w:val="24"/>
        </w:rPr>
        <w:t>为指标</w:t>
      </w:r>
      <w:r>
        <w:rPr>
          <w:bCs/>
          <w:i/>
          <w:iCs/>
          <w:color w:val="000000"/>
          <w:sz w:val="24"/>
          <w:szCs w:val="24"/>
        </w:rPr>
        <w:t>j</w:t>
      </w:r>
      <w:r>
        <w:rPr>
          <w:bCs/>
          <w:color w:val="000000"/>
          <w:sz w:val="24"/>
          <w:szCs w:val="24"/>
        </w:rPr>
        <w:t>提供的信息量；</w:t>
      </w:r>
      <w:r>
        <w:rPr>
          <w:bCs/>
          <w:i/>
          <w:iCs/>
          <w:color w:val="000000"/>
          <w:sz w:val="24"/>
          <w:szCs w:val="24"/>
        </w:rPr>
        <w:t>k</w:t>
      </w:r>
      <w:r>
        <w:rPr>
          <w:bCs/>
          <w:color w:val="000000"/>
          <w:sz w:val="24"/>
          <w:szCs w:val="24"/>
        </w:rPr>
        <w:t>为评价等级的数量；</w:t>
      </w:r>
      <m:oMath>
        <m:sSubSup>
          <m:sSubSupPr>
            <m:ctrlPr>
              <w:rPr>
                <w:rFonts w:ascii="Cambria Math" w:hAnsi="Cambria Math"/>
                <w:bCs/>
                <w:color w:val="000000"/>
                <w:sz w:val="24"/>
                <w:szCs w:val="24"/>
              </w:rPr>
            </m:ctrlPr>
          </m:sSubSupPr>
          <m:e>
            <m:r>
              <w:rPr>
                <w:rFonts w:ascii="Cambria Math" w:hAnsi="Cambria Math"/>
                <w:color w:val="000000"/>
                <w:sz w:val="24"/>
                <w:szCs w:val="24"/>
              </w:rPr>
              <m:t>μ</m:t>
            </m:r>
          </m:e>
          <m:sub>
            <m:r>
              <w:rPr>
                <w:rFonts w:ascii="Cambria Math" w:hAnsi="Cambria Math"/>
                <w:color w:val="000000"/>
                <w:sz w:val="24"/>
                <w:szCs w:val="24"/>
              </w:rPr>
              <m:t>ik</m:t>
            </m:r>
          </m:sub>
          <m:sup>
            <m:r>
              <w:rPr>
                <w:rFonts w:ascii="Cambria Math" w:hAnsi="Cambria Math"/>
                <w:color w:val="000000"/>
                <w:sz w:val="24"/>
                <w:szCs w:val="24"/>
              </w:rPr>
              <m:t>j</m:t>
            </m:r>
          </m:sup>
        </m:sSubSup>
      </m:oMath>
      <w:r>
        <w:rPr>
          <w:bCs/>
          <w:color w:val="000000"/>
          <w:sz w:val="24"/>
          <w:szCs w:val="24"/>
        </w:rPr>
        <w:t>为单指标测度。</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各指标的权重为：</w:t>
      </w:r>
    </w:p>
    <w:p w:rsidR="0073700B" w:rsidRDefault="0073700B" w:rsidP="00F80BAC">
      <w:pPr>
        <w:spacing w:beforeLines="50" w:before="156" w:line="360" w:lineRule="auto"/>
        <w:ind w:firstLineChars="200" w:firstLine="480"/>
        <w:rPr>
          <w:bCs/>
          <w:color w:val="000000"/>
          <w:sz w:val="24"/>
          <w:szCs w:val="24"/>
        </w:rPr>
      </w:pPr>
    </w:p>
    <w:p w:rsidR="0073700B" w:rsidRDefault="001A2FFC" w:rsidP="00F80BAC">
      <w:pPr>
        <w:spacing w:beforeLines="50" w:before="156" w:line="360" w:lineRule="auto"/>
        <w:ind w:firstLineChars="200" w:firstLine="480"/>
        <w:jc w:val="right"/>
        <w:rPr>
          <w:bCs/>
          <w:color w:val="000000"/>
          <w:sz w:val="24"/>
          <w:szCs w:val="24"/>
        </w:rPr>
      </w:pPr>
      <m:oMath>
        <m:sSub>
          <m:sSubPr>
            <m:ctrlPr>
              <w:rPr>
                <w:rFonts w:ascii="Cambria Math" w:hAnsi="Cambria Math"/>
                <w:bCs/>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j</m:t>
            </m:r>
          </m:sub>
        </m:sSub>
        <m:r>
          <m:rPr>
            <m:sty m:val="p"/>
          </m:rPr>
          <w:rPr>
            <w:rFonts w:ascii="Cambria Math" w:hAnsi="Cambria Math"/>
            <w:color w:val="000000"/>
            <w:sz w:val="24"/>
            <w:szCs w:val="24"/>
          </w:rPr>
          <m:t>=</m:t>
        </m:r>
        <m:f>
          <m:fPr>
            <m:type m:val="lin"/>
            <m:ctrlPr>
              <w:rPr>
                <w:rFonts w:ascii="Cambria Math" w:hAnsi="Cambria Math"/>
                <w:bCs/>
                <w:color w:val="000000"/>
                <w:sz w:val="24"/>
                <w:szCs w:val="24"/>
              </w:rPr>
            </m:ctrlPr>
          </m:fPr>
          <m:num>
            <m:sSub>
              <m:sSubPr>
                <m:ctrlPr>
                  <w:rPr>
                    <w:rFonts w:ascii="Cambria Math" w:hAnsi="Cambria Math"/>
                    <w:bCs/>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i</m:t>
                </m:r>
              </m:sub>
            </m:sSub>
          </m:num>
          <m:den>
            <m:nary>
              <m:naryPr>
                <m:chr m:val="∑"/>
                <m:limLoc m:val="undOvr"/>
                <m:ctrlPr>
                  <w:rPr>
                    <w:rFonts w:ascii="Cambria Math" w:hAnsi="Cambria Math"/>
                    <w:bCs/>
                    <w:color w:val="000000"/>
                    <w:sz w:val="24"/>
                    <w:szCs w:val="24"/>
                  </w:rPr>
                </m:ctrlPr>
              </m:naryPr>
              <m:sub>
                <m:r>
                  <w:rPr>
                    <w:rFonts w:ascii="Cambria Math" w:hAnsi="Cambria Math"/>
                    <w:color w:val="000000"/>
                    <w:sz w:val="24"/>
                    <w:szCs w:val="24"/>
                  </w:rPr>
                  <m:t>i</m:t>
                </m:r>
                <m:r>
                  <m:rPr>
                    <m:sty m:val="p"/>
                  </m:rPr>
                  <w:rPr>
                    <w:rFonts w:ascii="Cambria Math" w:hAnsi="Cambria Math"/>
                    <w:color w:val="000000"/>
                    <w:sz w:val="24"/>
                    <w:szCs w:val="24"/>
                  </w:rPr>
                  <m:t>=1</m:t>
                </m:r>
              </m:sub>
              <m:sup>
                <m:r>
                  <w:rPr>
                    <w:rFonts w:ascii="Cambria Math" w:hAnsi="Cambria Math"/>
                    <w:color w:val="000000"/>
                    <w:sz w:val="24"/>
                    <w:szCs w:val="24"/>
                  </w:rPr>
                  <m:t>m</m:t>
                </m:r>
              </m:sup>
              <m:e>
                <m:sSub>
                  <m:sSubPr>
                    <m:ctrlPr>
                      <w:rPr>
                        <w:rFonts w:ascii="Cambria Math" w:hAnsi="Cambria Math"/>
                        <w:bCs/>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i</m:t>
                    </m:r>
                  </m:sub>
                </m:sSub>
              </m:e>
            </m:nary>
          </m:den>
        </m:f>
      </m:oMath>
      <w:r>
        <w:rPr>
          <w:bCs/>
          <w:color w:val="000000"/>
          <w:sz w:val="24"/>
          <w:szCs w:val="24"/>
        </w:rPr>
        <w:t xml:space="preserve">                        (12)</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第四步：</w:t>
      </w:r>
      <w:r>
        <w:rPr>
          <w:bCs/>
          <w:color w:val="000000"/>
          <w:sz w:val="24"/>
          <w:szCs w:val="24"/>
        </w:rPr>
        <w:t>依照置信度识别准则判定等级。</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根据指标权重可得到综合测度</w:t>
      </w:r>
      <m:oMath>
        <m:sSub>
          <m:sSubPr>
            <m:ctrlPr>
              <w:rPr>
                <w:rFonts w:ascii="Cambria Math" w:hAnsi="Cambria Math"/>
                <w:bCs/>
                <w:color w:val="000000"/>
                <w:sz w:val="24"/>
                <w:szCs w:val="24"/>
              </w:rPr>
            </m:ctrlPr>
          </m:sSubPr>
          <m:e>
            <m:r>
              <w:rPr>
                <w:rFonts w:ascii="Cambria Math" w:hAnsi="Cambria Math"/>
                <w:color w:val="000000"/>
                <w:sz w:val="24"/>
                <w:szCs w:val="24"/>
              </w:rPr>
              <m:t>μ</m:t>
            </m:r>
          </m:e>
          <m:sub>
            <m:r>
              <w:rPr>
                <w:rFonts w:ascii="Cambria Math" w:hAnsi="Cambria Math"/>
                <w:color w:val="000000"/>
                <w:sz w:val="24"/>
                <w:szCs w:val="24"/>
              </w:rPr>
              <m:t>ik</m:t>
            </m:r>
          </m:sub>
        </m:sSub>
      </m:oMath>
      <w:r>
        <w:rPr>
          <w:bCs/>
          <w:color w:val="000000"/>
          <w:sz w:val="24"/>
          <w:szCs w:val="24"/>
        </w:rPr>
        <w:t>，</w:t>
      </w:r>
      <m:oMath>
        <m:sSub>
          <m:sSubPr>
            <m:ctrlPr>
              <w:rPr>
                <w:rFonts w:ascii="Cambria Math" w:hAnsi="Cambria Math"/>
                <w:bCs/>
                <w:color w:val="000000"/>
                <w:sz w:val="24"/>
                <w:szCs w:val="24"/>
              </w:rPr>
            </m:ctrlPr>
          </m:sSubPr>
          <m:e>
            <m:r>
              <w:rPr>
                <w:rFonts w:ascii="Cambria Math" w:hAnsi="Cambria Math"/>
                <w:color w:val="000000"/>
                <w:sz w:val="24"/>
                <w:szCs w:val="24"/>
              </w:rPr>
              <m:t>μ</m:t>
            </m:r>
          </m:e>
          <m:sub>
            <m:r>
              <w:rPr>
                <w:rFonts w:ascii="Cambria Math" w:hAnsi="Cambria Math"/>
                <w:color w:val="000000"/>
                <w:sz w:val="24"/>
                <w:szCs w:val="24"/>
              </w:rPr>
              <m:t>ik</m:t>
            </m:r>
          </m:sub>
        </m:sSub>
      </m:oMath>
      <w:r>
        <w:rPr>
          <w:bCs/>
          <w:color w:val="000000"/>
          <w:sz w:val="24"/>
          <w:szCs w:val="24"/>
        </w:rPr>
        <w:t>表示</w:t>
      </w:r>
      <w:r>
        <w:rPr>
          <w:bCs/>
          <w:i/>
          <w:iCs/>
          <w:color w:val="000000"/>
          <w:sz w:val="24"/>
          <w:szCs w:val="24"/>
        </w:rPr>
        <w:t>X</w:t>
      </w:r>
      <w:r>
        <w:rPr>
          <w:bCs/>
          <w:i/>
          <w:iCs/>
          <w:color w:val="000000"/>
          <w:sz w:val="24"/>
          <w:szCs w:val="24"/>
          <w:vertAlign w:val="subscript"/>
        </w:rPr>
        <w:t>i</w:t>
      </w:r>
      <w:r>
        <w:rPr>
          <w:bCs/>
          <w:color w:val="000000"/>
          <w:sz w:val="24"/>
          <w:szCs w:val="24"/>
        </w:rPr>
        <w:t>隶属于第</w:t>
      </w:r>
      <w:r>
        <w:rPr>
          <w:bCs/>
          <w:i/>
          <w:iCs/>
          <w:color w:val="000000"/>
          <w:sz w:val="24"/>
          <w:szCs w:val="24"/>
        </w:rPr>
        <w:t>k</w:t>
      </w:r>
      <w:r>
        <w:rPr>
          <w:bCs/>
          <w:color w:val="000000"/>
          <w:sz w:val="24"/>
          <w:szCs w:val="24"/>
        </w:rPr>
        <w:t>个等级的程度，即：</w:t>
      </w:r>
    </w:p>
    <w:p w:rsidR="0073700B" w:rsidRDefault="001A2FFC" w:rsidP="00F80BAC">
      <w:pPr>
        <w:spacing w:beforeLines="50" w:before="156" w:line="360" w:lineRule="auto"/>
        <w:ind w:firstLineChars="200" w:firstLine="480"/>
        <w:jc w:val="right"/>
        <w:rPr>
          <w:bCs/>
          <w:color w:val="000000"/>
          <w:sz w:val="24"/>
          <w:szCs w:val="24"/>
        </w:rPr>
      </w:pPr>
      <w:r>
        <w:rPr>
          <w:bCs/>
          <w:position w:val="-30"/>
          <w:sz w:val="24"/>
          <w:szCs w:val="28"/>
        </w:rPr>
        <w:object w:dxaOrig="1496" w:dyaOrig="729">
          <v:shape id="_x0000_i1056" type="#_x0000_t75" style="width:74.6pt;height:36.5pt" o:ole="">
            <v:imagedata r:id="rId75" o:title=""/>
          </v:shape>
          <o:OLEObject Type="Embed" ProgID="Equation.DSMT4" ShapeID="_x0000_i1056" DrawAspect="Content" ObjectID="_1645534689" r:id="rId76"/>
        </w:object>
      </w:r>
      <w:r>
        <w:rPr>
          <w:bCs/>
          <w:sz w:val="24"/>
          <w:szCs w:val="28"/>
        </w:rPr>
        <w:t>(</w:t>
      </w:r>
      <w:proofErr w:type="spellStart"/>
      <w:r>
        <w:rPr>
          <w:bCs/>
          <w:i/>
          <w:iCs/>
          <w:sz w:val="24"/>
          <w:szCs w:val="28"/>
        </w:rPr>
        <w:t>i</w:t>
      </w:r>
      <w:proofErr w:type="spellEnd"/>
      <w:r>
        <w:rPr>
          <w:bCs/>
          <w:sz w:val="24"/>
          <w:szCs w:val="28"/>
        </w:rPr>
        <w:t>=1</w:t>
      </w:r>
      <w:r>
        <w:rPr>
          <w:bCs/>
          <w:sz w:val="24"/>
          <w:szCs w:val="28"/>
        </w:rPr>
        <w:t>，</w:t>
      </w:r>
      <w:r>
        <w:rPr>
          <w:bCs/>
          <w:sz w:val="24"/>
          <w:szCs w:val="28"/>
        </w:rPr>
        <w:t>2…</w:t>
      </w:r>
      <w:r>
        <w:rPr>
          <w:bCs/>
          <w:sz w:val="24"/>
          <w:szCs w:val="28"/>
        </w:rPr>
        <w:t>，</w:t>
      </w:r>
      <w:r>
        <w:rPr>
          <w:bCs/>
          <w:i/>
          <w:iCs/>
          <w:sz w:val="24"/>
          <w:szCs w:val="28"/>
        </w:rPr>
        <w:t>n</w:t>
      </w:r>
      <w:r>
        <w:rPr>
          <w:bCs/>
          <w:sz w:val="24"/>
          <w:szCs w:val="28"/>
        </w:rPr>
        <w:t>；</w:t>
      </w:r>
      <w:r>
        <w:rPr>
          <w:bCs/>
          <w:i/>
          <w:iCs/>
          <w:sz w:val="24"/>
          <w:szCs w:val="28"/>
        </w:rPr>
        <w:t>k</w:t>
      </w:r>
      <w:r>
        <w:rPr>
          <w:bCs/>
          <w:sz w:val="24"/>
          <w:szCs w:val="28"/>
        </w:rPr>
        <w:t>=1</w:t>
      </w:r>
      <w:r>
        <w:rPr>
          <w:bCs/>
          <w:sz w:val="24"/>
          <w:szCs w:val="28"/>
        </w:rPr>
        <w:t>，</w:t>
      </w:r>
      <w:r>
        <w:rPr>
          <w:bCs/>
          <w:sz w:val="24"/>
          <w:szCs w:val="28"/>
        </w:rPr>
        <w:t>2</w:t>
      </w:r>
      <w:r>
        <w:rPr>
          <w:bCs/>
          <w:sz w:val="24"/>
          <w:szCs w:val="28"/>
        </w:rPr>
        <w:t>，</w:t>
      </w:r>
      <w:r>
        <w:rPr>
          <w:bCs/>
          <w:sz w:val="24"/>
          <w:szCs w:val="28"/>
        </w:rPr>
        <w:t>3</w:t>
      </w:r>
      <w:r>
        <w:rPr>
          <w:bCs/>
          <w:sz w:val="24"/>
          <w:szCs w:val="28"/>
        </w:rPr>
        <w:t>，</w:t>
      </w:r>
      <w:r>
        <w:rPr>
          <w:bCs/>
          <w:sz w:val="24"/>
          <w:szCs w:val="28"/>
        </w:rPr>
        <w:t xml:space="preserve">4)       </w:t>
      </w:r>
      <w:r>
        <w:rPr>
          <w:bCs/>
          <w:color w:val="000000"/>
          <w:sz w:val="24"/>
          <w:szCs w:val="24"/>
        </w:rPr>
        <w:t>(13)</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得综合测度评价矩阵：</w:t>
      </w:r>
    </w:p>
    <w:p w:rsidR="0073700B" w:rsidRDefault="001A2FFC" w:rsidP="00F80BAC">
      <w:pPr>
        <w:spacing w:beforeLines="50" w:before="156" w:line="360" w:lineRule="auto"/>
        <w:ind w:firstLineChars="200" w:firstLine="480"/>
        <w:jc w:val="right"/>
        <w:rPr>
          <w:bCs/>
          <w:color w:val="000000"/>
          <w:sz w:val="24"/>
          <w:szCs w:val="24"/>
        </w:rPr>
      </w:pPr>
      <m:oMath>
        <m:sSub>
          <m:sSubPr>
            <m:ctrlPr>
              <w:rPr>
                <w:rFonts w:ascii="Cambria Math" w:hAnsi="Cambria Math"/>
                <w:bCs/>
                <w:color w:val="000000"/>
                <w:sz w:val="24"/>
                <w:szCs w:val="24"/>
              </w:rPr>
            </m:ctrlPr>
          </m:sSubPr>
          <m:e>
            <m:d>
              <m:dPr>
                <m:ctrlPr>
                  <w:rPr>
                    <w:rFonts w:ascii="Cambria Math" w:hAnsi="Cambria Math"/>
                    <w:bCs/>
                    <w:color w:val="000000"/>
                    <w:sz w:val="24"/>
                    <w:szCs w:val="24"/>
                  </w:rPr>
                </m:ctrlPr>
              </m:dPr>
              <m:e>
                <m:sSub>
                  <m:sSubPr>
                    <m:ctrlPr>
                      <w:rPr>
                        <w:rFonts w:ascii="Cambria Math" w:hAnsi="Cambria Math"/>
                        <w:bCs/>
                        <w:color w:val="000000"/>
                        <w:sz w:val="24"/>
                        <w:szCs w:val="24"/>
                      </w:rPr>
                    </m:ctrlPr>
                  </m:sSubPr>
                  <m:e>
                    <m:r>
                      <w:rPr>
                        <w:rFonts w:ascii="Cambria Math" w:hAnsi="Cambria Math"/>
                        <w:color w:val="000000"/>
                        <w:sz w:val="24"/>
                        <w:szCs w:val="24"/>
                      </w:rPr>
                      <m:t>μ</m:t>
                    </m:r>
                  </m:e>
                  <m:sub>
                    <m:r>
                      <w:rPr>
                        <w:rFonts w:ascii="Cambria Math" w:hAnsi="Cambria Math"/>
                        <w:color w:val="000000"/>
                        <w:sz w:val="24"/>
                        <w:szCs w:val="24"/>
                      </w:rPr>
                      <m:t>ik</m:t>
                    </m:r>
                  </m:sub>
                </m:sSub>
              </m:e>
            </m:d>
          </m:e>
          <m:sub>
            <m:r>
              <w:rPr>
                <w:rFonts w:ascii="Cambria Math" w:hAnsi="Cambria Math"/>
                <w:color w:val="000000"/>
                <w:sz w:val="24"/>
                <w:szCs w:val="24"/>
              </w:rPr>
              <m:t>n</m:t>
            </m:r>
            <m:r>
              <m:rPr>
                <m:sty m:val="p"/>
              </m:rPr>
              <w:rPr>
                <w:rFonts w:ascii="Cambria Math" w:hAnsi="Cambria Math"/>
                <w:color w:val="000000"/>
                <w:sz w:val="24"/>
                <w:szCs w:val="24"/>
              </w:rPr>
              <m:t>×</m:t>
            </m:r>
            <m:r>
              <w:rPr>
                <w:rFonts w:ascii="Cambria Math" w:hAnsi="Cambria Math"/>
                <w:color w:val="000000"/>
                <w:sz w:val="24"/>
                <w:szCs w:val="24"/>
              </w:rPr>
              <m:t>k</m:t>
            </m:r>
          </m:sub>
        </m:sSub>
        <m:r>
          <m:rPr>
            <m:sty m:val="p"/>
          </m:rPr>
          <w:rPr>
            <w:rFonts w:ascii="Cambria Math" w:hAnsi="Cambria Math"/>
            <w:color w:val="000000"/>
            <w:sz w:val="24"/>
            <w:szCs w:val="24"/>
          </w:rPr>
          <m:t>=</m:t>
        </m:r>
        <m:d>
          <m:dPr>
            <m:begChr m:val="["/>
            <m:endChr m:val="]"/>
            <m:ctrlPr>
              <w:rPr>
                <w:rFonts w:ascii="Cambria Math" w:hAnsi="Cambria Math"/>
                <w:bCs/>
                <w:color w:val="000000"/>
                <w:sz w:val="24"/>
                <w:szCs w:val="24"/>
              </w:rPr>
            </m:ctrlPr>
          </m:dPr>
          <m:e>
            <m:m>
              <m:mPr>
                <m:mcs>
                  <m:mc>
                    <m:mcPr>
                      <m:count m:val="3"/>
                      <m:mcJc m:val="center"/>
                    </m:mcPr>
                  </m:mc>
                </m:mcs>
                <m:ctrlPr>
                  <w:rPr>
                    <w:rFonts w:ascii="Cambria Math" w:hAnsi="Cambria Math"/>
                    <w:bCs/>
                    <w:color w:val="000000"/>
                    <w:sz w:val="24"/>
                    <w:szCs w:val="24"/>
                  </w:rPr>
                </m:ctrlPr>
              </m:mPr>
              <m:mr>
                <m:e>
                  <m:sSub>
                    <m:sSubPr>
                      <m:ctrlPr>
                        <w:rPr>
                          <w:rFonts w:ascii="Cambria Math" w:hAnsi="Cambria Math"/>
                          <w:bCs/>
                          <w:color w:val="000000"/>
                          <w:sz w:val="24"/>
                          <w:szCs w:val="24"/>
                        </w:rPr>
                      </m:ctrlPr>
                    </m:sSubPr>
                    <m:e>
                      <m:r>
                        <w:rPr>
                          <w:rFonts w:ascii="Cambria Math" w:hAnsi="Cambria Math"/>
                          <w:color w:val="000000"/>
                          <w:sz w:val="24"/>
                          <w:szCs w:val="24"/>
                        </w:rPr>
                        <m:t>μ</m:t>
                      </m:r>
                    </m:e>
                    <m:sub>
                      <m:r>
                        <m:rPr>
                          <m:sty m:val="p"/>
                        </m:rPr>
                        <w:rPr>
                          <w:rFonts w:ascii="Cambria Math" w:hAnsi="Cambria Math"/>
                          <w:color w:val="000000"/>
                          <w:sz w:val="24"/>
                          <w:szCs w:val="24"/>
                        </w:rPr>
                        <m:t>11</m:t>
                      </m:r>
                    </m:sub>
                  </m:sSub>
                </m:e>
                <m:e>
                  <m:r>
                    <m:rPr>
                      <m:sty m:val="p"/>
                    </m:rPr>
                    <w:rPr>
                      <w:rFonts w:ascii="Cambria Math" w:hAnsi="Cambria Math"/>
                      <w:color w:val="000000"/>
                      <w:sz w:val="24"/>
                      <w:szCs w:val="24"/>
                    </w:rPr>
                    <m:t>⋯</m:t>
                  </m:r>
                </m:e>
                <m:e>
                  <m:sSub>
                    <m:sSubPr>
                      <m:ctrlPr>
                        <w:rPr>
                          <w:rFonts w:ascii="Cambria Math" w:hAnsi="Cambria Math"/>
                          <w:bCs/>
                          <w:color w:val="000000"/>
                          <w:sz w:val="24"/>
                          <w:szCs w:val="24"/>
                        </w:rPr>
                      </m:ctrlPr>
                    </m:sSubPr>
                    <m:e>
                      <m:r>
                        <w:rPr>
                          <w:rFonts w:ascii="Cambria Math" w:hAnsi="Cambria Math"/>
                          <w:color w:val="000000"/>
                          <w:sz w:val="24"/>
                          <w:szCs w:val="24"/>
                        </w:rPr>
                        <m:t>μ</m:t>
                      </m:r>
                    </m:e>
                    <m:sub>
                      <m:r>
                        <m:rPr>
                          <m:sty m:val="p"/>
                        </m:rPr>
                        <w:rPr>
                          <w:rFonts w:ascii="Cambria Math" w:hAnsi="Cambria Math"/>
                          <w:color w:val="000000"/>
                          <w:sz w:val="24"/>
                          <w:szCs w:val="24"/>
                        </w:rPr>
                        <m:t>14</m:t>
                      </m:r>
                    </m:sub>
                  </m:sSub>
                </m:e>
              </m:mr>
              <m:mr>
                <m:e>
                  <m:r>
                    <m:rPr>
                      <m:sty m:val="p"/>
                    </m:rPr>
                    <w:rPr>
                      <w:rFonts w:ascii="Cambria Math" w:hAnsi="Cambria Math"/>
                      <w:color w:val="000000"/>
                      <w:sz w:val="24"/>
                      <w:szCs w:val="24"/>
                    </w:rPr>
                    <m:t>⋮</m:t>
                  </m:r>
                </m:e>
                <m:e>
                  <m:r>
                    <m:rPr>
                      <m:sty m:val="p"/>
                    </m:rPr>
                    <w:rPr>
                      <w:rFonts w:ascii="Cambria Math" w:hAnsi="Cambria Math"/>
                      <w:color w:val="000000"/>
                      <w:sz w:val="24"/>
                      <w:szCs w:val="24"/>
                    </w:rPr>
                    <m:t>⋱</m:t>
                  </m:r>
                </m:e>
                <m:e>
                  <m:r>
                    <m:rPr>
                      <m:sty m:val="p"/>
                    </m:rPr>
                    <w:rPr>
                      <w:rFonts w:ascii="Cambria Math" w:hAnsi="Cambria Math"/>
                      <w:color w:val="000000"/>
                      <w:sz w:val="24"/>
                      <w:szCs w:val="24"/>
                    </w:rPr>
                    <m:t>⋮</m:t>
                  </m:r>
                </m:e>
              </m:mr>
              <m:mr>
                <m:e>
                  <m:sSub>
                    <m:sSubPr>
                      <m:ctrlPr>
                        <w:rPr>
                          <w:rFonts w:ascii="Cambria Math" w:hAnsi="Cambria Math"/>
                          <w:bCs/>
                          <w:color w:val="000000"/>
                          <w:sz w:val="24"/>
                          <w:szCs w:val="24"/>
                        </w:rPr>
                      </m:ctrlPr>
                    </m:sSubPr>
                    <m:e>
                      <m:r>
                        <w:rPr>
                          <w:rFonts w:ascii="Cambria Math" w:hAnsi="Cambria Math"/>
                          <w:color w:val="000000"/>
                          <w:sz w:val="24"/>
                          <w:szCs w:val="24"/>
                        </w:rPr>
                        <m:t>μ</m:t>
                      </m:r>
                    </m:e>
                    <m:sub>
                      <m:r>
                        <w:rPr>
                          <w:rFonts w:ascii="Cambria Math" w:hAnsi="Cambria Math"/>
                          <w:color w:val="000000"/>
                          <w:sz w:val="24"/>
                          <w:szCs w:val="24"/>
                        </w:rPr>
                        <m:t>n</m:t>
                      </m:r>
                      <m:r>
                        <m:rPr>
                          <m:sty m:val="p"/>
                        </m:rPr>
                        <w:rPr>
                          <w:rFonts w:ascii="Cambria Math" w:hAnsi="Cambria Math"/>
                          <w:color w:val="000000"/>
                          <w:sz w:val="24"/>
                          <w:szCs w:val="24"/>
                        </w:rPr>
                        <m:t>1</m:t>
                      </m:r>
                    </m:sub>
                  </m:sSub>
                </m:e>
                <m:e>
                  <m:r>
                    <m:rPr>
                      <m:sty m:val="p"/>
                    </m:rPr>
                    <w:rPr>
                      <w:rFonts w:ascii="Cambria Math" w:hAnsi="Cambria Math"/>
                      <w:color w:val="000000"/>
                      <w:sz w:val="24"/>
                      <w:szCs w:val="24"/>
                    </w:rPr>
                    <m:t>⋯</m:t>
                  </m:r>
                </m:e>
                <m:e>
                  <m:sSub>
                    <m:sSubPr>
                      <m:ctrlPr>
                        <w:rPr>
                          <w:rFonts w:ascii="Cambria Math" w:hAnsi="Cambria Math"/>
                          <w:bCs/>
                          <w:color w:val="000000"/>
                          <w:sz w:val="24"/>
                          <w:szCs w:val="24"/>
                        </w:rPr>
                      </m:ctrlPr>
                    </m:sSubPr>
                    <m:e>
                      <m:r>
                        <w:rPr>
                          <w:rFonts w:ascii="Cambria Math" w:hAnsi="Cambria Math"/>
                          <w:color w:val="000000"/>
                          <w:sz w:val="24"/>
                          <w:szCs w:val="24"/>
                        </w:rPr>
                        <m:t>μ</m:t>
                      </m:r>
                    </m:e>
                    <m:sub>
                      <m:r>
                        <w:rPr>
                          <w:rFonts w:ascii="Cambria Math" w:hAnsi="Cambria Math"/>
                          <w:color w:val="000000"/>
                          <w:sz w:val="24"/>
                          <w:szCs w:val="24"/>
                        </w:rPr>
                        <m:t>n</m:t>
                      </m:r>
                      <m:r>
                        <m:rPr>
                          <m:sty m:val="p"/>
                        </m:rPr>
                        <w:rPr>
                          <w:rFonts w:ascii="Cambria Math" w:hAnsi="Cambria Math"/>
                          <w:color w:val="000000"/>
                          <w:sz w:val="24"/>
                          <w:szCs w:val="24"/>
                        </w:rPr>
                        <m:t>4</m:t>
                      </m:r>
                    </m:sub>
                  </m:sSub>
                </m:e>
              </m:mr>
            </m:m>
          </m:e>
        </m:d>
      </m:oMath>
      <w:r>
        <w:rPr>
          <w:bCs/>
          <w:color w:val="000000"/>
          <w:sz w:val="24"/>
          <w:szCs w:val="24"/>
        </w:rPr>
        <w:t xml:space="preserve">                     (14)</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t>为了得到最优评价结果，引入置信度评价准则，设</w:t>
      </w:r>
      <w:r>
        <w:rPr>
          <w:bCs/>
          <w:i/>
          <w:iCs/>
          <w:color w:val="000000"/>
          <w:sz w:val="24"/>
          <w:szCs w:val="24"/>
        </w:rPr>
        <w:t>λ</w:t>
      </w:r>
      <w:r>
        <w:rPr>
          <w:bCs/>
          <w:color w:val="000000"/>
          <w:sz w:val="24"/>
          <w:szCs w:val="24"/>
        </w:rPr>
        <w:t>为置信度</w:t>
      </w:r>
      <w:r>
        <w:rPr>
          <w:bCs/>
          <w:color w:val="000000"/>
          <w:sz w:val="24"/>
          <w:szCs w:val="24"/>
        </w:rPr>
        <w:t>(</w:t>
      </w:r>
      <w:r>
        <w:rPr>
          <w:bCs/>
          <w:i/>
          <w:iCs/>
          <w:color w:val="000000"/>
          <w:sz w:val="24"/>
          <w:szCs w:val="24"/>
        </w:rPr>
        <w:t>λ</w:t>
      </w:r>
      <w:r>
        <w:rPr>
          <w:bCs/>
          <w:color w:val="000000"/>
          <w:sz w:val="24"/>
          <w:szCs w:val="24"/>
        </w:rPr>
        <w:t>≥0.5)</w:t>
      </w:r>
      <w:r>
        <w:rPr>
          <w:bCs/>
          <w:color w:val="000000"/>
          <w:sz w:val="24"/>
          <w:szCs w:val="24"/>
        </w:rPr>
        <w:t>。若评价空间</w:t>
      </w:r>
      <w:r>
        <w:rPr>
          <w:bCs/>
          <w:color w:val="000000"/>
          <w:sz w:val="24"/>
          <w:szCs w:val="24"/>
        </w:rPr>
        <w:t>{</w:t>
      </w:r>
      <w:r>
        <w:rPr>
          <w:bCs/>
          <w:i/>
          <w:iCs/>
          <w:color w:val="000000"/>
          <w:sz w:val="24"/>
          <w:szCs w:val="24"/>
        </w:rPr>
        <w:t>C</w:t>
      </w:r>
      <w:r>
        <w:rPr>
          <w:bCs/>
          <w:color w:val="000000"/>
          <w:sz w:val="24"/>
          <w:szCs w:val="24"/>
          <w:vertAlign w:val="subscript"/>
        </w:rPr>
        <w:t>1,</w:t>
      </w:r>
      <w:r>
        <w:rPr>
          <w:bCs/>
          <w:i/>
          <w:iCs/>
          <w:color w:val="000000"/>
          <w:sz w:val="24"/>
          <w:szCs w:val="24"/>
        </w:rPr>
        <w:t>C</w:t>
      </w:r>
      <w:r>
        <w:rPr>
          <w:bCs/>
          <w:color w:val="000000"/>
          <w:sz w:val="24"/>
          <w:szCs w:val="24"/>
          <w:vertAlign w:val="subscript"/>
        </w:rPr>
        <w:t>2</w:t>
      </w:r>
      <w:r>
        <w:rPr>
          <w:bCs/>
          <w:color w:val="000000"/>
          <w:sz w:val="24"/>
          <w:szCs w:val="24"/>
        </w:rPr>
        <w:t>,…,</w:t>
      </w:r>
      <w:r>
        <w:rPr>
          <w:bCs/>
          <w:i/>
          <w:iCs/>
          <w:color w:val="000000"/>
          <w:sz w:val="24"/>
          <w:szCs w:val="24"/>
        </w:rPr>
        <w:t>C</w:t>
      </w:r>
      <w:r>
        <w:rPr>
          <w:bCs/>
          <w:i/>
          <w:iCs/>
          <w:color w:val="000000"/>
          <w:sz w:val="24"/>
          <w:szCs w:val="24"/>
          <w:vertAlign w:val="subscript"/>
        </w:rPr>
        <w:t>p</w:t>
      </w:r>
      <w:r>
        <w:rPr>
          <w:bCs/>
          <w:color w:val="000000"/>
          <w:sz w:val="24"/>
          <w:szCs w:val="24"/>
        </w:rPr>
        <w:t>}</w:t>
      </w:r>
      <w:r>
        <w:rPr>
          <w:bCs/>
          <w:color w:val="000000"/>
          <w:sz w:val="24"/>
          <w:szCs w:val="24"/>
        </w:rPr>
        <w:t>是有序的，且</w:t>
      </w:r>
      <w:r>
        <w:rPr>
          <w:bCs/>
          <w:i/>
          <w:iCs/>
          <w:color w:val="000000"/>
          <w:sz w:val="24"/>
          <w:szCs w:val="24"/>
        </w:rPr>
        <w:t>C</w:t>
      </w:r>
      <w:r>
        <w:rPr>
          <w:bCs/>
          <w:i/>
          <w:iCs/>
          <w:color w:val="000000"/>
          <w:sz w:val="24"/>
          <w:szCs w:val="24"/>
          <w:vertAlign w:val="subscript"/>
        </w:rPr>
        <w:t>1</w:t>
      </w:r>
      <w:r>
        <w:rPr>
          <w:bCs/>
          <w:color w:val="000000"/>
          <w:sz w:val="24"/>
          <w:szCs w:val="24"/>
        </w:rPr>
        <w:t>＞</w:t>
      </w:r>
      <w:r>
        <w:rPr>
          <w:bCs/>
          <w:i/>
          <w:iCs/>
          <w:color w:val="000000"/>
          <w:sz w:val="24"/>
          <w:szCs w:val="24"/>
        </w:rPr>
        <w:t>C</w:t>
      </w:r>
      <w:r>
        <w:rPr>
          <w:bCs/>
          <w:color w:val="000000"/>
          <w:sz w:val="24"/>
          <w:szCs w:val="24"/>
          <w:vertAlign w:val="subscript"/>
        </w:rPr>
        <w:t>2</w:t>
      </w:r>
      <w:r>
        <w:rPr>
          <w:bCs/>
          <w:color w:val="000000"/>
          <w:sz w:val="24"/>
          <w:szCs w:val="24"/>
        </w:rPr>
        <w:t>＞</w:t>
      </w:r>
      <w:r>
        <w:rPr>
          <w:bCs/>
          <w:color w:val="000000"/>
          <w:sz w:val="24"/>
          <w:szCs w:val="24"/>
        </w:rPr>
        <w:t>…</w:t>
      </w:r>
      <w:r>
        <w:rPr>
          <w:bCs/>
          <w:color w:val="000000"/>
          <w:sz w:val="24"/>
          <w:szCs w:val="24"/>
        </w:rPr>
        <w:t>＞</w:t>
      </w:r>
      <w:r>
        <w:rPr>
          <w:bCs/>
          <w:i/>
          <w:iCs/>
          <w:color w:val="000000"/>
          <w:sz w:val="24"/>
          <w:szCs w:val="24"/>
        </w:rPr>
        <w:t>C</w:t>
      </w:r>
      <w:r>
        <w:rPr>
          <w:bCs/>
          <w:i/>
          <w:iCs/>
          <w:color w:val="000000"/>
          <w:sz w:val="24"/>
          <w:szCs w:val="24"/>
          <w:vertAlign w:val="subscript"/>
        </w:rPr>
        <w:t>p</w:t>
      </w:r>
      <w:r>
        <w:rPr>
          <w:bCs/>
          <w:color w:val="000000"/>
          <w:sz w:val="24"/>
          <w:szCs w:val="24"/>
        </w:rPr>
        <w:t>，令：</w:t>
      </w:r>
    </w:p>
    <w:p w:rsidR="0073700B" w:rsidRDefault="001A2FFC" w:rsidP="00F80BAC">
      <w:pPr>
        <w:spacing w:beforeLines="50" w:before="156" w:line="360" w:lineRule="auto"/>
        <w:ind w:firstLineChars="200" w:firstLine="480"/>
        <w:jc w:val="right"/>
        <w:rPr>
          <w:bCs/>
          <w:color w:val="000000"/>
          <w:sz w:val="24"/>
          <w:szCs w:val="24"/>
        </w:rPr>
      </w:pPr>
      <m:oMath>
        <m:sSub>
          <m:sSubPr>
            <m:ctrlPr>
              <w:rPr>
                <w:rFonts w:ascii="Cambria Math" w:hAnsi="Cambria Math"/>
                <w:bCs/>
                <w:color w:val="000000"/>
                <w:sz w:val="24"/>
                <w:szCs w:val="24"/>
              </w:rPr>
            </m:ctrlPr>
          </m:sSubPr>
          <m:e>
            <m:r>
              <w:rPr>
                <w:rFonts w:ascii="Cambria Math" w:hAnsi="Cambria Math"/>
                <w:color w:val="000000"/>
                <w:sz w:val="24"/>
                <w:szCs w:val="24"/>
              </w:rPr>
              <m:t>k</m:t>
            </m:r>
          </m:e>
          <m:sub>
            <m:r>
              <m:rPr>
                <m:sty m:val="p"/>
              </m:rPr>
              <w:rPr>
                <w:rFonts w:ascii="Cambria Math" w:hAnsi="Cambria Math"/>
                <w:color w:val="000000"/>
                <w:sz w:val="24"/>
                <w:szCs w:val="24"/>
              </w:rPr>
              <m:t>0</m:t>
            </m:r>
          </m:sub>
        </m:sSub>
        <m:r>
          <m:rPr>
            <m:sty m:val="p"/>
          </m:rPr>
          <w:rPr>
            <w:rFonts w:ascii="Cambria Math" w:hAnsi="Cambria Math"/>
            <w:color w:val="000000"/>
            <w:sz w:val="24"/>
            <w:szCs w:val="24"/>
          </w:rPr>
          <m:t>=min</m:t>
        </m:r>
        <m:d>
          <m:dPr>
            <m:begChr m:val="{"/>
            <m:endChr m:val="}"/>
            <m:ctrlPr>
              <w:rPr>
                <w:rFonts w:ascii="Cambria Math" w:hAnsi="Cambria Math"/>
                <w:bCs/>
                <w:color w:val="000000"/>
                <w:sz w:val="24"/>
                <w:szCs w:val="24"/>
              </w:rPr>
            </m:ctrlPr>
          </m:dPr>
          <m:e>
            <m:r>
              <w:rPr>
                <w:rFonts w:ascii="Cambria Math" w:hAnsi="Cambria Math"/>
                <w:color w:val="000000"/>
                <w:sz w:val="24"/>
                <w:szCs w:val="24"/>
              </w:rPr>
              <m:t>k</m:t>
            </m:r>
            <m:r>
              <m:rPr>
                <m:sty m:val="p"/>
              </m:rPr>
              <w:rPr>
                <w:rFonts w:ascii="Cambria Math" w:hAnsi="Cambria Math"/>
                <w:color w:val="000000"/>
                <w:sz w:val="24"/>
                <w:szCs w:val="24"/>
              </w:rPr>
              <m:t>:</m:t>
            </m:r>
            <m:nary>
              <m:naryPr>
                <m:chr m:val="∑"/>
                <m:limLoc m:val="undOvr"/>
                <m:ctrlPr>
                  <w:rPr>
                    <w:rFonts w:ascii="Cambria Math" w:hAnsi="Cambria Math"/>
                    <w:bCs/>
                    <w:color w:val="000000"/>
                    <w:sz w:val="24"/>
                    <w:szCs w:val="24"/>
                  </w:rPr>
                </m:ctrlPr>
              </m:naryPr>
              <m:sub>
                <m:r>
                  <w:rPr>
                    <w:rFonts w:ascii="Cambria Math" w:hAnsi="Cambria Math"/>
                    <w:color w:val="000000"/>
                    <w:sz w:val="24"/>
                    <w:szCs w:val="24"/>
                  </w:rPr>
                  <m:t>i</m:t>
                </m:r>
                <m:r>
                  <m:rPr>
                    <m:sty m:val="p"/>
                  </m:rPr>
                  <w:rPr>
                    <w:rFonts w:ascii="Cambria Math" w:hAnsi="Cambria Math"/>
                    <w:color w:val="000000"/>
                    <w:sz w:val="24"/>
                    <w:szCs w:val="24"/>
                  </w:rPr>
                  <m:t>=1</m:t>
                </m:r>
              </m:sub>
              <m:sup>
                <m:r>
                  <w:rPr>
                    <w:rFonts w:ascii="Cambria Math" w:hAnsi="Cambria Math"/>
                    <w:color w:val="000000"/>
                    <w:sz w:val="24"/>
                    <w:szCs w:val="24"/>
                  </w:rPr>
                  <m:t>k</m:t>
                </m:r>
              </m:sup>
              <m:e>
                <m:sSub>
                  <m:sSubPr>
                    <m:ctrlPr>
                      <w:rPr>
                        <w:rFonts w:ascii="Cambria Math" w:hAnsi="Cambria Math"/>
                        <w:bCs/>
                        <w:color w:val="000000"/>
                        <w:sz w:val="24"/>
                        <w:szCs w:val="24"/>
                      </w:rPr>
                    </m:ctrlPr>
                  </m:sSubPr>
                  <m:e>
                    <m:r>
                      <w:rPr>
                        <w:rFonts w:ascii="Cambria Math" w:hAnsi="Cambria Math"/>
                        <w:color w:val="000000"/>
                        <w:sz w:val="24"/>
                        <w:szCs w:val="24"/>
                      </w:rPr>
                      <m:t>μ</m:t>
                    </m:r>
                  </m:e>
                  <m:sub>
                    <m:r>
                      <w:rPr>
                        <w:rFonts w:ascii="Cambria Math" w:hAnsi="Cambria Math"/>
                        <w:color w:val="000000"/>
                        <w:sz w:val="24"/>
                        <w:szCs w:val="24"/>
                      </w:rPr>
                      <m:t>il</m:t>
                    </m:r>
                  </m:sub>
                </m:sSub>
                <m:r>
                  <m:rPr>
                    <m:sty m:val="p"/>
                  </m:rPr>
                  <w:rPr>
                    <w:rFonts w:ascii="Cambria Math" w:hAnsi="Cambria Math"/>
                    <w:color w:val="000000"/>
                    <w:sz w:val="24"/>
                    <w:szCs w:val="24"/>
                  </w:rPr>
                  <m:t>≥</m:t>
                </m:r>
                <m:r>
                  <w:rPr>
                    <w:rFonts w:ascii="Cambria Math" w:hAnsi="Cambria Math"/>
                    <w:color w:val="000000"/>
                    <w:sz w:val="24"/>
                    <w:szCs w:val="24"/>
                  </w:rPr>
                  <m:t>λ</m:t>
                </m:r>
                <m:r>
                  <m:rPr>
                    <m:sty m:val="p"/>
                  </m:rPr>
                  <w:rPr>
                    <w:rFonts w:ascii="Cambria Math" w:hAnsi="Cambria Math"/>
                    <w:color w:val="000000"/>
                    <w:sz w:val="24"/>
                    <w:szCs w:val="24"/>
                  </w:rPr>
                  <m:t>,</m:t>
                </m:r>
                <m:d>
                  <m:dPr>
                    <m:ctrlPr>
                      <w:rPr>
                        <w:rFonts w:ascii="Cambria Math" w:hAnsi="Cambria Math"/>
                        <w:bCs/>
                        <w:color w:val="000000"/>
                        <w:sz w:val="24"/>
                        <w:szCs w:val="24"/>
                      </w:rPr>
                    </m:ctrlPr>
                  </m:dPr>
                  <m:e>
                    <m:r>
                      <w:rPr>
                        <w:rFonts w:ascii="Cambria Math" w:hAnsi="Cambria Math"/>
                        <w:color w:val="000000"/>
                        <w:sz w:val="24"/>
                        <w:szCs w:val="24"/>
                      </w:rPr>
                      <m:t>k</m:t>
                    </m:r>
                    <m:r>
                      <m:rPr>
                        <m:sty m:val="p"/>
                      </m:rPr>
                      <w:rPr>
                        <w:rFonts w:ascii="Cambria Math" w:hAnsi="Cambria Math"/>
                        <w:color w:val="000000"/>
                        <w:sz w:val="24"/>
                        <w:szCs w:val="24"/>
                      </w:rPr>
                      <m:t>=1,2,⋯,</m:t>
                    </m:r>
                    <m:r>
                      <w:rPr>
                        <w:rFonts w:ascii="Cambria Math" w:hAnsi="Cambria Math"/>
                        <w:color w:val="000000"/>
                        <w:sz w:val="24"/>
                        <w:szCs w:val="24"/>
                      </w:rPr>
                      <m:t>p</m:t>
                    </m:r>
                  </m:e>
                </m:d>
              </m:e>
            </m:nary>
          </m:e>
        </m:d>
      </m:oMath>
      <w:r>
        <w:rPr>
          <w:bCs/>
          <w:color w:val="000000"/>
          <w:sz w:val="24"/>
          <w:szCs w:val="24"/>
        </w:rPr>
        <w:t xml:space="preserve">              (15)</w:t>
      </w:r>
    </w:p>
    <w:p w:rsidR="0073700B" w:rsidRDefault="001A2FFC" w:rsidP="00F80BAC">
      <w:pPr>
        <w:spacing w:beforeLines="50" w:before="156" w:line="360" w:lineRule="auto"/>
        <w:ind w:firstLineChars="200" w:firstLine="480"/>
        <w:rPr>
          <w:bCs/>
          <w:color w:val="000000"/>
          <w:sz w:val="24"/>
          <w:szCs w:val="24"/>
        </w:rPr>
      </w:pPr>
      <w:r>
        <w:rPr>
          <w:bCs/>
          <w:color w:val="000000"/>
          <w:sz w:val="24"/>
          <w:szCs w:val="24"/>
        </w:rPr>
        <w:lastRenderedPageBreak/>
        <w:t>则认为优化对象</w:t>
      </w:r>
      <w:r>
        <w:rPr>
          <w:bCs/>
          <w:i/>
          <w:iCs/>
          <w:color w:val="000000"/>
          <w:sz w:val="24"/>
          <w:szCs w:val="24"/>
        </w:rPr>
        <w:t>R</w:t>
      </w:r>
      <w:r>
        <w:rPr>
          <w:bCs/>
          <w:i/>
          <w:iCs/>
          <w:color w:val="000000"/>
          <w:sz w:val="24"/>
          <w:szCs w:val="24"/>
          <w:vertAlign w:val="subscript"/>
        </w:rPr>
        <w:t>i</w:t>
      </w:r>
      <w:r>
        <w:rPr>
          <w:bCs/>
          <w:color w:val="000000"/>
          <w:sz w:val="24"/>
          <w:szCs w:val="24"/>
        </w:rPr>
        <w:t>属于第</w:t>
      </w:r>
      <w:r>
        <w:rPr>
          <w:bCs/>
          <w:i/>
          <w:iCs/>
          <w:color w:val="000000"/>
          <w:sz w:val="24"/>
          <w:szCs w:val="24"/>
        </w:rPr>
        <w:t>k</w:t>
      </w:r>
      <w:r>
        <w:rPr>
          <w:bCs/>
          <w:color w:val="000000"/>
          <w:sz w:val="24"/>
          <w:szCs w:val="24"/>
          <w:vertAlign w:val="subscript"/>
        </w:rPr>
        <w:t>0</w:t>
      </w:r>
      <w:r>
        <w:rPr>
          <w:bCs/>
          <w:color w:val="000000"/>
          <w:sz w:val="24"/>
          <w:szCs w:val="24"/>
        </w:rPr>
        <w:t>个评价类</w:t>
      </w:r>
      <w:r>
        <w:rPr>
          <w:bCs/>
          <w:i/>
          <w:iCs/>
          <w:color w:val="000000"/>
          <w:sz w:val="24"/>
          <w:szCs w:val="24"/>
        </w:rPr>
        <w:t>C</w:t>
      </w:r>
      <w:r>
        <w:rPr>
          <w:bCs/>
          <w:i/>
          <w:iCs/>
          <w:color w:val="000000"/>
          <w:sz w:val="24"/>
          <w:szCs w:val="24"/>
          <w:vertAlign w:val="subscript"/>
        </w:rPr>
        <w:t>k0</w:t>
      </w:r>
      <w:r>
        <w:rPr>
          <w:bCs/>
          <w:color w:val="000000"/>
          <w:sz w:val="24"/>
          <w:szCs w:val="24"/>
        </w:rPr>
        <w:t>。</w:t>
      </w:r>
    </w:p>
    <w:p w:rsidR="0073700B" w:rsidRDefault="001A2FFC" w:rsidP="00F80BAC">
      <w:pPr>
        <w:spacing w:beforeLines="50" w:before="156" w:line="360" w:lineRule="auto"/>
        <w:ind w:firstLineChars="200" w:firstLine="480"/>
        <w:rPr>
          <w:bCs/>
          <w:color w:val="000000"/>
          <w:sz w:val="24"/>
          <w:szCs w:val="24"/>
        </w:rPr>
      </w:pPr>
      <w:r>
        <w:rPr>
          <w:rFonts w:hint="eastAsia"/>
          <w:bCs/>
          <w:color w:val="000000"/>
          <w:sz w:val="24"/>
          <w:szCs w:val="24"/>
        </w:rPr>
        <w:t>第五步：</w:t>
      </w:r>
      <w:r>
        <w:rPr>
          <w:bCs/>
          <w:color w:val="000000"/>
          <w:sz w:val="24"/>
          <w:szCs w:val="24"/>
        </w:rPr>
        <w:t>根据风险事件发生的可能性、严重程度等级，采用风险矩阵法确定重大风险源的施工安全风险等级。并将专项风险评估的风险等级用不同颜色在施工、形象进度图中标识出来，形成施工安全风险分布图，并附于评估报告中，同时以列表方式将不同施工区段的重大风险源列表说明。</w:t>
      </w:r>
    </w:p>
    <w:p w:rsidR="0073700B" w:rsidRDefault="001A2FFC">
      <w:pPr>
        <w:pStyle w:val="3"/>
        <w:ind w:left="0" w:firstLine="480"/>
        <w:rPr>
          <w:b/>
          <w:bCs w:val="0"/>
        </w:rPr>
      </w:pPr>
      <w:r>
        <w:rPr>
          <w:b/>
          <w:bCs w:val="0"/>
        </w:rPr>
        <w:t xml:space="preserve">. </w:t>
      </w:r>
      <w:r>
        <w:rPr>
          <w:b/>
          <w:bCs w:val="0"/>
        </w:rPr>
        <w:t>风险控制</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1</w:t>
      </w:r>
      <w:r>
        <w:rPr>
          <w:rFonts w:hint="eastAsia"/>
          <w:bCs/>
          <w:sz w:val="24"/>
          <w:szCs w:val="20"/>
        </w:rPr>
        <w:t>）</w:t>
      </w:r>
      <w:r>
        <w:rPr>
          <w:bCs/>
          <w:sz w:val="24"/>
          <w:szCs w:val="20"/>
        </w:rPr>
        <w:t>一般要求</w:t>
      </w:r>
    </w:p>
    <w:p w:rsidR="0073700B" w:rsidRDefault="001A2FFC" w:rsidP="00F80BAC">
      <w:pPr>
        <w:spacing w:beforeLines="50" w:before="156" w:line="360" w:lineRule="auto"/>
        <w:ind w:firstLineChars="200" w:firstLine="480"/>
        <w:rPr>
          <w:bCs/>
          <w:sz w:val="24"/>
          <w:szCs w:val="20"/>
        </w:rPr>
      </w:pPr>
      <w:r>
        <w:rPr>
          <w:bCs/>
          <w:sz w:val="24"/>
          <w:szCs w:val="20"/>
        </w:rPr>
        <w:t>风险控制措施是风险评估的最终目的，应根据风险源辨识、风险分析、风险估测的结果，特别是风险分析的结果，从管理手段、技术手段、安全教育、应急救援等方面提出风险控制措施建议。</w:t>
      </w:r>
    </w:p>
    <w:p w:rsidR="0073700B" w:rsidRDefault="001A2FFC" w:rsidP="00F80BAC">
      <w:pPr>
        <w:spacing w:beforeLines="50" w:before="156" w:line="360" w:lineRule="auto"/>
        <w:ind w:firstLineChars="200" w:firstLine="480"/>
        <w:rPr>
          <w:bCs/>
          <w:sz w:val="24"/>
          <w:szCs w:val="20"/>
        </w:rPr>
      </w:pPr>
      <w:r>
        <w:rPr>
          <w:bCs/>
          <w:sz w:val="24"/>
          <w:szCs w:val="20"/>
        </w:rPr>
        <w:t>我国要求隧道施工必须遵守国家和行业的质量验收标准，建立完善的质量</w:t>
      </w:r>
      <w:r>
        <w:rPr>
          <w:bCs/>
          <w:sz w:val="24"/>
          <w:szCs w:val="20"/>
        </w:rPr>
        <w:t>保证体系，制定切实可行的质量管理制度和措施，确保工程质量；必须遵守国家的劳动保护法规，积极改善隧道施工条件，制定切实可行的防止噪声、粉尘、废水污染环境的措施，保护原有植被地貌，对施工废弃物应妥善处理，做到文明施工；必须遵守国家关于生态保护、环境保护的法律法规，保护原有植被地貌，施工废弃物应妥善处理，做到文明施工。</w:t>
      </w:r>
    </w:p>
    <w:p w:rsidR="0073700B" w:rsidRDefault="001A2FFC" w:rsidP="00F80BAC">
      <w:pPr>
        <w:spacing w:beforeLines="50" w:before="156" w:line="360" w:lineRule="auto"/>
        <w:ind w:firstLineChars="200" w:firstLine="480"/>
        <w:rPr>
          <w:bCs/>
          <w:sz w:val="24"/>
          <w:szCs w:val="20"/>
        </w:rPr>
      </w:pPr>
      <w:r>
        <w:rPr>
          <w:bCs/>
          <w:sz w:val="24"/>
          <w:szCs w:val="20"/>
        </w:rPr>
        <w:t>因评估对象和作用不同，本标准将总体和专项风险评估的控制对策区别开来。</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对于总体风险评估结果，其作用主要是配置人员、装备等资源，以及作为是否开展专项风险评估的依据，因此，总体风险评估的控制对策是围</w:t>
      </w:r>
      <w:r>
        <w:rPr>
          <w:bCs/>
          <w:sz w:val="24"/>
          <w:szCs w:val="20"/>
        </w:rPr>
        <w:t>绕这些方面展开。值得注意的是，由于隧道选线等设计均具有较为充分的依据，所以总体风险评估的控制对策未涉及隧道选线、大的设计变更等方面的内容。</w:t>
      </w:r>
    </w:p>
    <w:p w:rsidR="0073700B" w:rsidRDefault="001A2FFC" w:rsidP="00F80BAC">
      <w:pPr>
        <w:spacing w:beforeLines="50" w:before="156" w:line="360" w:lineRule="auto"/>
        <w:ind w:firstLineChars="200" w:firstLine="480"/>
        <w:rPr>
          <w:bCs/>
          <w:sz w:val="24"/>
          <w:szCs w:val="20"/>
        </w:rPr>
      </w:pPr>
      <w:r>
        <w:rPr>
          <w:rFonts w:hint="eastAsia"/>
          <w:bCs/>
          <w:sz w:val="24"/>
          <w:szCs w:val="20"/>
        </w:rPr>
        <w:t>②</w:t>
      </w:r>
      <w:r>
        <w:rPr>
          <w:bCs/>
          <w:sz w:val="24"/>
          <w:szCs w:val="20"/>
        </w:rPr>
        <w:t>因专项风险评估对隧道施工具有直接指导意义，所以专项风险评估的控制对策是围绕施工和更为具体的控制措施展开。根据不同的风险等级提出分级控制措施，确定层级责任和责任人，实施现场管理和监控预警，根据风险等级的不同分别采取不同的针对措施。</w:t>
      </w:r>
    </w:p>
    <w:p w:rsidR="0073700B" w:rsidRDefault="001A2FFC" w:rsidP="00F80BAC">
      <w:pPr>
        <w:spacing w:beforeLines="50" w:before="156" w:line="360" w:lineRule="auto"/>
        <w:ind w:firstLineChars="200" w:firstLine="480"/>
        <w:rPr>
          <w:bCs/>
          <w:sz w:val="24"/>
          <w:szCs w:val="20"/>
        </w:rPr>
      </w:pPr>
      <w:r>
        <w:rPr>
          <w:bCs/>
          <w:sz w:val="24"/>
          <w:szCs w:val="20"/>
        </w:rPr>
        <w:t>日常管理是施工单位按照国家、行业或地方的有关安全生产的法律法规、</w:t>
      </w:r>
      <w:r>
        <w:rPr>
          <w:bCs/>
          <w:sz w:val="24"/>
          <w:szCs w:val="20"/>
        </w:rPr>
        <w:lastRenderedPageBreak/>
        <w:t>标准规范等制定风险控制措施，对工程实行日常管理</w:t>
      </w:r>
      <w:r>
        <w:rPr>
          <w:rFonts w:hint="eastAsia"/>
          <w:bCs/>
          <w:sz w:val="24"/>
          <w:szCs w:val="20"/>
        </w:rPr>
        <w:t>。</w:t>
      </w:r>
    </w:p>
    <w:p w:rsidR="0073700B" w:rsidRDefault="001A2FFC" w:rsidP="00F80BAC">
      <w:pPr>
        <w:spacing w:beforeLines="50" w:before="156" w:line="360" w:lineRule="auto"/>
        <w:ind w:firstLineChars="200" w:firstLine="480"/>
        <w:rPr>
          <w:bCs/>
          <w:sz w:val="24"/>
          <w:szCs w:val="20"/>
        </w:rPr>
      </w:pPr>
      <w:r>
        <w:rPr>
          <w:bCs/>
          <w:sz w:val="24"/>
          <w:szCs w:val="20"/>
        </w:rPr>
        <w:t>监控预警是施工单位或业主委</w:t>
      </w:r>
      <w:r>
        <w:rPr>
          <w:bCs/>
          <w:sz w:val="24"/>
          <w:szCs w:val="20"/>
        </w:rPr>
        <w:t>托第三方监控单位，对风险源采取监控和预警预报体系，明确预警预报标准，通过对施工监控数据的动态管理，及时掌握其发展状态，发现异常或超过警戒值，应及时采取规避措施</w:t>
      </w:r>
      <w:r>
        <w:rPr>
          <w:rFonts w:hint="eastAsia"/>
          <w:bCs/>
          <w:sz w:val="24"/>
          <w:szCs w:val="20"/>
        </w:rPr>
        <w:t>。</w:t>
      </w:r>
    </w:p>
    <w:p w:rsidR="0073700B" w:rsidRDefault="001A2FFC" w:rsidP="00F80BAC">
      <w:pPr>
        <w:spacing w:beforeLines="50" w:before="156" w:line="360" w:lineRule="auto"/>
        <w:ind w:firstLineChars="200" w:firstLine="480"/>
        <w:rPr>
          <w:bCs/>
          <w:sz w:val="24"/>
          <w:szCs w:val="20"/>
        </w:rPr>
      </w:pPr>
      <w:r>
        <w:rPr>
          <w:bCs/>
          <w:sz w:val="24"/>
          <w:szCs w:val="20"/>
        </w:rPr>
        <w:t>专项整治是指在分析风险原因的基础上对重大风险源采取专项整治措施，包括对完善设计方案、调整施工方法和组织、加强安全措施、改善施工环境、加强现场管和提高人员素质等多方面的综合考虑，必要时须暂停施工，全面整治</w:t>
      </w:r>
      <w:r>
        <w:rPr>
          <w:rFonts w:hint="eastAsia"/>
          <w:bCs/>
          <w:sz w:val="24"/>
          <w:szCs w:val="20"/>
        </w:rPr>
        <w:t>。</w:t>
      </w:r>
    </w:p>
    <w:p w:rsidR="0073700B" w:rsidRDefault="001A2FFC" w:rsidP="00F80BAC">
      <w:pPr>
        <w:spacing w:beforeLines="50" w:before="156" w:line="360" w:lineRule="auto"/>
        <w:ind w:firstLineChars="200" w:firstLine="480"/>
        <w:rPr>
          <w:bCs/>
          <w:sz w:val="24"/>
          <w:szCs w:val="20"/>
        </w:rPr>
      </w:pPr>
      <w:r>
        <w:rPr>
          <w:bCs/>
          <w:sz w:val="24"/>
          <w:szCs w:val="20"/>
        </w:rPr>
        <w:t>应急准备是除采取以上控制措施外，还应提出典型重大风险事件的应急预案，做好事故应急处置准备工作。应根据风险事件类型和发展态势，对采用专项整治不能及时控制风险的，制定应急措施，做好应急准备，确保事故不造成严重后果。</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2</w:t>
      </w:r>
      <w:r>
        <w:rPr>
          <w:rFonts w:hint="eastAsia"/>
          <w:bCs/>
          <w:sz w:val="24"/>
          <w:szCs w:val="20"/>
        </w:rPr>
        <w:t>）</w:t>
      </w:r>
      <w:r>
        <w:rPr>
          <w:bCs/>
          <w:sz w:val="24"/>
          <w:szCs w:val="20"/>
        </w:rPr>
        <w:t>风险控制措施</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总体风险评估应重点提出风险控制的方向与总体思路，以及安全管理力量投入、资源（财、物）配置、对施工单位的要求。</w:t>
      </w:r>
    </w:p>
    <w:p w:rsidR="0073700B" w:rsidRDefault="001A2FFC" w:rsidP="00F80BAC">
      <w:pPr>
        <w:spacing w:beforeLines="50" w:before="156" w:line="360" w:lineRule="auto"/>
        <w:ind w:firstLineChars="200" w:firstLine="480"/>
        <w:rPr>
          <w:bCs/>
          <w:sz w:val="24"/>
          <w:szCs w:val="20"/>
        </w:rPr>
      </w:pPr>
      <w:r>
        <w:rPr>
          <w:rFonts w:hint="eastAsia"/>
          <w:bCs/>
          <w:sz w:val="24"/>
          <w:szCs w:val="20"/>
        </w:rPr>
        <w:t>②</w:t>
      </w:r>
      <w:r>
        <w:rPr>
          <w:bCs/>
          <w:sz w:val="24"/>
          <w:szCs w:val="20"/>
        </w:rPr>
        <w:t>专项风险评估应针对风险源提出系统全面、重点突出的控制措施建议，作为现场安全管理、专项施工方案编制和完善、安全交底和应急处置的依据。专项风险评估中风险等级为较大风险</w:t>
      </w:r>
      <w:r>
        <w:rPr>
          <w:bCs/>
          <w:sz w:val="24"/>
          <w:szCs w:val="20"/>
        </w:rPr>
        <w:t xml:space="preserve"> (</w:t>
      </w:r>
      <w:r>
        <w:rPr>
          <w:rFonts w:ascii="宋体" w:hAnsi="宋体" w:cs="宋体" w:hint="eastAsia"/>
          <w:bCs/>
          <w:sz w:val="24"/>
          <w:szCs w:val="20"/>
        </w:rPr>
        <w:t>Ⅱ</w:t>
      </w:r>
      <w:r>
        <w:rPr>
          <w:bCs/>
          <w:sz w:val="24"/>
          <w:szCs w:val="20"/>
        </w:rPr>
        <w:t>级</w:t>
      </w:r>
      <w:r>
        <w:rPr>
          <w:bCs/>
          <w:sz w:val="24"/>
          <w:szCs w:val="20"/>
        </w:rPr>
        <w:t>)</w:t>
      </w:r>
      <w:r>
        <w:rPr>
          <w:bCs/>
          <w:sz w:val="24"/>
          <w:szCs w:val="20"/>
        </w:rPr>
        <w:t>及以上时，应分析主控因素指标，提出有针对性的措施降低风险。</w:t>
      </w:r>
    </w:p>
    <w:p w:rsidR="0073700B" w:rsidRDefault="001A2FFC" w:rsidP="00F80BAC">
      <w:pPr>
        <w:spacing w:beforeLines="50" w:before="156" w:line="360" w:lineRule="auto"/>
        <w:ind w:firstLineChars="200" w:firstLine="480"/>
        <w:rPr>
          <w:bCs/>
          <w:sz w:val="24"/>
          <w:szCs w:val="20"/>
        </w:rPr>
      </w:pPr>
      <w:r>
        <w:rPr>
          <w:rFonts w:hint="eastAsia"/>
          <w:bCs/>
          <w:sz w:val="24"/>
          <w:szCs w:val="20"/>
        </w:rPr>
        <w:t>③</w:t>
      </w:r>
      <w:r>
        <w:rPr>
          <w:bCs/>
          <w:sz w:val="24"/>
          <w:szCs w:val="20"/>
        </w:rPr>
        <w:t>应按照隧道工程专项风险评估的结论，充分考虑工程实际情况，按照不同风险等级，制定适宜的重大风险源风险控制措施。当风险产生的后果可能为突发性事故（坍塌、瓦斯爆炸、涌水突泥等）时，风险处理必须明确设计措施和预案、施工工序、注意事项、监控要求和施工应急措施等，并进行有效的风险管理。</w:t>
      </w:r>
    </w:p>
    <w:p w:rsidR="0073700B" w:rsidRDefault="001A2FFC" w:rsidP="00F80BAC">
      <w:pPr>
        <w:spacing w:beforeLines="50" w:before="156" w:line="360" w:lineRule="auto"/>
        <w:ind w:firstLineChars="200" w:firstLine="480"/>
        <w:rPr>
          <w:bCs/>
          <w:sz w:val="24"/>
          <w:szCs w:val="20"/>
        </w:rPr>
      </w:pPr>
      <w:r>
        <w:rPr>
          <w:rFonts w:hint="eastAsia"/>
          <w:bCs/>
          <w:sz w:val="24"/>
          <w:szCs w:val="20"/>
        </w:rPr>
        <w:t>④</w:t>
      </w:r>
      <w:r>
        <w:rPr>
          <w:bCs/>
          <w:sz w:val="24"/>
          <w:szCs w:val="20"/>
        </w:rPr>
        <w:t>风险控制措施包括调整施工方案、加强安全措施等。</w:t>
      </w:r>
    </w:p>
    <w:p w:rsidR="0073700B" w:rsidRDefault="001A2FFC" w:rsidP="00F80BAC">
      <w:pPr>
        <w:spacing w:beforeLines="50" w:before="156" w:line="360" w:lineRule="auto"/>
        <w:ind w:firstLineChars="200" w:firstLine="480"/>
        <w:rPr>
          <w:bCs/>
          <w:sz w:val="24"/>
          <w:szCs w:val="20"/>
        </w:rPr>
      </w:pPr>
      <w:r>
        <w:rPr>
          <w:rFonts w:hint="eastAsia"/>
          <w:bCs/>
          <w:sz w:val="24"/>
          <w:szCs w:val="20"/>
        </w:rPr>
        <w:t>⑤</w:t>
      </w:r>
      <w:r>
        <w:rPr>
          <w:bCs/>
          <w:sz w:val="24"/>
          <w:szCs w:val="20"/>
        </w:rPr>
        <w:t>调整施工方案主要包括：</w:t>
      </w:r>
    </w:p>
    <w:p w:rsidR="0073700B" w:rsidRDefault="001A2FFC" w:rsidP="00F80BAC">
      <w:pPr>
        <w:spacing w:beforeLines="50" w:before="156" w:line="360" w:lineRule="auto"/>
        <w:ind w:firstLineChars="200" w:firstLine="480"/>
        <w:rPr>
          <w:bCs/>
          <w:sz w:val="24"/>
          <w:szCs w:val="20"/>
        </w:rPr>
      </w:pPr>
      <w:r>
        <w:rPr>
          <w:bCs/>
          <w:sz w:val="24"/>
          <w:szCs w:val="20"/>
        </w:rPr>
        <w:lastRenderedPageBreak/>
        <w:t>a</w:t>
      </w:r>
      <w:r>
        <w:rPr>
          <w:rFonts w:hint="eastAsia"/>
          <w:bCs/>
          <w:sz w:val="24"/>
          <w:szCs w:val="20"/>
        </w:rPr>
        <w:t>）</w:t>
      </w:r>
      <w:r>
        <w:rPr>
          <w:bCs/>
          <w:sz w:val="24"/>
          <w:szCs w:val="20"/>
        </w:rPr>
        <w:t>合理调整施工顺序。对施工工序从时间顺序和空间次序上进行合理调整或优化，降低施工风险。</w:t>
      </w:r>
    </w:p>
    <w:p w:rsidR="0073700B" w:rsidRDefault="001A2FFC" w:rsidP="00F80BAC">
      <w:pPr>
        <w:spacing w:beforeLines="50" w:before="156" w:line="360" w:lineRule="auto"/>
        <w:ind w:firstLineChars="200" w:firstLine="480"/>
        <w:rPr>
          <w:bCs/>
          <w:sz w:val="24"/>
          <w:szCs w:val="20"/>
        </w:rPr>
      </w:pPr>
      <w:r>
        <w:rPr>
          <w:bCs/>
          <w:sz w:val="24"/>
          <w:szCs w:val="20"/>
        </w:rPr>
        <w:t>b</w:t>
      </w:r>
      <w:r>
        <w:rPr>
          <w:rFonts w:hint="eastAsia"/>
          <w:bCs/>
          <w:sz w:val="24"/>
          <w:szCs w:val="20"/>
        </w:rPr>
        <w:t>）</w:t>
      </w:r>
      <w:r>
        <w:rPr>
          <w:bCs/>
          <w:sz w:val="24"/>
          <w:szCs w:val="20"/>
        </w:rPr>
        <w:t>改进施工工艺。从专用设备、施工方法、工艺参数上改进，预防和减少发生事故。</w:t>
      </w:r>
    </w:p>
    <w:p w:rsidR="0073700B" w:rsidRDefault="001A2FFC" w:rsidP="00F80BAC">
      <w:pPr>
        <w:spacing w:beforeLines="50" w:before="156" w:line="360" w:lineRule="auto"/>
        <w:ind w:firstLineChars="200" w:firstLine="480"/>
        <w:rPr>
          <w:bCs/>
          <w:sz w:val="24"/>
          <w:szCs w:val="20"/>
        </w:rPr>
      </w:pPr>
      <w:r>
        <w:rPr>
          <w:rFonts w:hint="eastAsia"/>
          <w:bCs/>
          <w:sz w:val="24"/>
          <w:szCs w:val="20"/>
        </w:rPr>
        <w:t>⑥</w:t>
      </w:r>
      <w:r>
        <w:rPr>
          <w:bCs/>
          <w:sz w:val="24"/>
          <w:szCs w:val="20"/>
        </w:rPr>
        <w:t>加强安全措施，除应执行现行的有关标准、规范外，还应根据实际工程特点，采取有效、可操作性强的安全措施，降低施工安全风险。主要包括：</w:t>
      </w:r>
    </w:p>
    <w:p w:rsidR="0073700B" w:rsidRDefault="001A2FFC" w:rsidP="00F80BAC">
      <w:pPr>
        <w:spacing w:beforeLines="50" w:before="156" w:line="360" w:lineRule="auto"/>
        <w:ind w:firstLineChars="200" w:firstLine="480"/>
        <w:rPr>
          <w:bCs/>
          <w:sz w:val="24"/>
          <w:szCs w:val="20"/>
        </w:rPr>
      </w:pPr>
      <w:r>
        <w:rPr>
          <w:bCs/>
          <w:sz w:val="24"/>
          <w:szCs w:val="20"/>
        </w:rPr>
        <w:t>a</w:t>
      </w:r>
      <w:r>
        <w:rPr>
          <w:rFonts w:hint="eastAsia"/>
          <w:bCs/>
          <w:sz w:val="24"/>
          <w:szCs w:val="20"/>
        </w:rPr>
        <w:t>）</w:t>
      </w:r>
      <w:r>
        <w:rPr>
          <w:bCs/>
          <w:sz w:val="24"/>
          <w:szCs w:val="20"/>
        </w:rPr>
        <w:t>安全管理措施。包括监测预警、对不安全场所进行安全隔离或加固防护、设立警告标志、人工警戒或专人指挥等。</w:t>
      </w:r>
    </w:p>
    <w:p w:rsidR="0073700B" w:rsidRDefault="001A2FFC" w:rsidP="00F80BAC">
      <w:pPr>
        <w:spacing w:beforeLines="50" w:before="156" w:line="360" w:lineRule="auto"/>
        <w:ind w:firstLineChars="200" w:firstLine="480"/>
        <w:rPr>
          <w:bCs/>
          <w:sz w:val="24"/>
          <w:szCs w:val="20"/>
        </w:rPr>
      </w:pPr>
      <w:r>
        <w:rPr>
          <w:bCs/>
          <w:sz w:val="24"/>
          <w:szCs w:val="20"/>
        </w:rPr>
        <w:t>b</w:t>
      </w:r>
      <w:r>
        <w:rPr>
          <w:rFonts w:hint="eastAsia"/>
          <w:bCs/>
          <w:sz w:val="24"/>
          <w:szCs w:val="20"/>
        </w:rPr>
        <w:t>）</w:t>
      </w:r>
      <w:r>
        <w:rPr>
          <w:bCs/>
          <w:sz w:val="24"/>
          <w:szCs w:val="20"/>
        </w:rPr>
        <w:t>安全替代措施。对人工直接操作有较大风险的，宜用机械或其它方式替代人工操作。</w:t>
      </w:r>
    </w:p>
    <w:p w:rsidR="0073700B" w:rsidRDefault="001A2FFC" w:rsidP="00F80BAC">
      <w:pPr>
        <w:spacing w:beforeLines="50" w:before="156" w:line="360" w:lineRule="auto"/>
        <w:ind w:firstLineChars="200" w:firstLine="480"/>
        <w:rPr>
          <w:bCs/>
          <w:sz w:val="24"/>
          <w:szCs w:val="20"/>
        </w:rPr>
      </w:pPr>
      <w:r>
        <w:rPr>
          <w:bCs/>
          <w:sz w:val="24"/>
          <w:szCs w:val="20"/>
        </w:rPr>
        <w:t>c</w:t>
      </w:r>
      <w:r>
        <w:rPr>
          <w:rFonts w:hint="eastAsia"/>
          <w:bCs/>
          <w:sz w:val="24"/>
          <w:szCs w:val="20"/>
        </w:rPr>
        <w:t>）</w:t>
      </w:r>
      <w:r>
        <w:rPr>
          <w:bCs/>
          <w:sz w:val="24"/>
          <w:szCs w:val="20"/>
        </w:rPr>
        <w:t>应急救援措施。制定应急预案和做好应急准备，明确关键岗位应急职责、危险作业应急处置措施。</w:t>
      </w:r>
    </w:p>
    <w:p w:rsidR="0073700B" w:rsidRDefault="001A2FFC" w:rsidP="00F80BAC">
      <w:pPr>
        <w:spacing w:beforeLines="50" w:before="156" w:line="360" w:lineRule="auto"/>
        <w:ind w:firstLineChars="200" w:firstLine="480"/>
        <w:outlineLvl w:val="3"/>
        <w:rPr>
          <w:bCs/>
          <w:sz w:val="24"/>
          <w:szCs w:val="20"/>
        </w:rPr>
      </w:pPr>
      <w:r>
        <w:rPr>
          <w:rFonts w:hint="eastAsia"/>
          <w:bCs/>
          <w:sz w:val="24"/>
          <w:szCs w:val="20"/>
        </w:rPr>
        <w:t>（</w:t>
      </w:r>
      <w:r>
        <w:rPr>
          <w:rFonts w:hint="eastAsia"/>
          <w:bCs/>
          <w:sz w:val="24"/>
          <w:szCs w:val="20"/>
        </w:rPr>
        <w:t>3</w:t>
      </w:r>
      <w:r>
        <w:rPr>
          <w:rFonts w:hint="eastAsia"/>
          <w:bCs/>
          <w:sz w:val="24"/>
          <w:szCs w:val="20"/>
        </w:rPr>
        <w:t>）</w:t>
      </w:r>
      <w:r>
        <w:rPr>
          <w:bCs/>
          <w:sz w:val="24"/>
          <w:szCs w:val="20"/>
        </w:rPr>
        <w:t>风险控制预期效果评估</w:t>
      </w:r>
    </w:p>
    <w:p w:rsidR="0073700B" w:rsidRDefault="001A2FFC" w:rsidP="00F80BAC">
      <w:pPr>
        <w:spacing w:beforeLines="50" w:before="156" w:line="360" w:lineRule="auto"/>
        <w:ind w:firstLineChars="200" w:firstLine="480"/>
        <w:rPr>
          <w:bCs/>
          <w:sz w:val="24"/>
          <w:szCs w:val="20"/>
        </w:rPr>
      </w:pPr>
      <w:r>
        <w:rPr>
          <w:rFonts w:hint="eastAsia"/>
          <w:bCs/>
          <w:sz w:val="24"/>
          <w:szCs w:val="20"/>
        </w:rPr>
        <w:t>①</w:t>
      </w:r>
      <w:r>
        <w:rPr>
          <w:bCs/>
          <w:sz w:val="24"/>
          <w:szCs w:val="20"/>
        </w:rPr>
        <w:t>专项风险等级评估为较大风险</w:t>
      </w:r>
      <w:r>
        <w:rPr>
          <w:bCs/>
          <w:sz w:val="24"/>
          <w:szCs w:val="20"/>
        </w:rPr>
        <w:t>(</w:t>
      </w:r>
      <w:r>
        <w:rPr>
          <w:rFonts w:ascii="宋体" w:hAnsi="宋体" w:cs="宋体" w:hint="eastAsia"/>
          <w:bCs/>
          <w:sz w:val="24"/>
          <w:szCs w:val="20"/>
        </w:rPr>
        <w:t>Ⅱ</w:t>
      </w:r>
      <w:r>
        <w:rPr>
          <w:bCs/>
          <w:sz w:val="24"/>
          <w:szCs w:val="20"/>
        </w:rPr>
        <w:t>级</w:t>
      </w:r>
      <w:r>
        <w:rPr>
          <w:bCs/>
          <w:sz w:val="24"/>
          <w:szCs w:val="20"/>
        </w:rPr>
        <w:t>)</w:t>
      </w:r>
      <w:r>
        <w:rPr>
          <w:bCs/>
          <w:sz w:val="24"/>
          <w:szCs w:val="20"/>
        </w:rPr>
        <w:t>、重大风险</w:t>
      </w:r>
      <w:r>
        <w:rPr>
          <w:bCs/>
          <w:sz w:val="24"/>
          <w:szCs w:val="20"/>
        </w:rPr>
        <w:t>(</w:t>
      </w:r>
      <w:r>
        <w:rPr>
          <w:rFonts w:ascii="宋体" w:hAnsi="宋体" w:cs="宋体" w:hint="eastAsia"/>
          <w:bCs/>
          <w:sz w:val="24"/>
          <w:szCs w:val="20"/>
        </w:rPr>
        <w:t>Ⅰ</w:t>
      </w:r>
      <w:r>
        <w:rPr>
          <w:bCs/>
          <w:sz w:val="24"/>
          <w:szCs w:val="20"/>
        </w:rPr>
        <w:t>级</w:t>
      </w:r>
      <w:r>
        <w:rPr>
          <w:bCs/>
          <w:sz w:val="24"/>
          <w:szCs w:val="20"/>
        </w:rPr>
        <w:t>)</w:t>
      </w:r>
      <w:r>
        <w:rPr>
          <w:bCs/>
          <w:sz w:val="24"/>
          <w:szCs w:val="20"/>
        </w:rPr>
        <w:t>的风险事件一旦发生，会造成较大的人身伤亡和财产损失等。因此，有必要开展风险控制预期效果评估，包括对风险控制措施制定情况的确认评价以及风险控制措施实施后的预期效果评估。</w:t>
      </w:r>
    </w:p>
    <w:p w:rsidR="0073700B" w:rsidRDefault="001A2FFC" w:rsidP="00F80BAC">
      <w:pPr>
        <w:spacing w:beforeLines="50" w:before="156" w:line="360" w:lineRule="auto"/>
        <w:ind w:firstLineChars="200" w:firstLine="480"/>
        <w:rPr>
          <w:bCs/>
          <w:sz w:val="24"/>
          <w:szCs w:val="20"/>
        </w:rPr>
      </w:pPr>
      <w:r>
        <w:rPr>
          <w:bCs/>
          <w:sz w:val="24"/>
          <w:szCs w:val="20"/>
        </w:rPr>
        <w:t>风险控制措施制定情况的确认评价过程中采用的安全检查表，应包含方案中采取的风险控制措施，以确定风险控制措施是否有完整、可行、有效，同时对风险控制措施的问题和不足进行记录，以便后期进一步完善风险控制措施。</w:t>
      </w:r>
    </w:p>
    <w:p w:rsidR="0073700B" w:rsidRDefault="001A2FFC" w:rsidP="00F80BAC">
      <w:pPr>
        <w:spacing w:beforeLines="50" w:before="156" w:line="360" w:lineRule="auto"/>
        <w:ind w:firstLineChars="200" w:firstLine="480"/>
        <w:rPr>
          <w:bCs/>
          <w:sz w:val="24"/>
          <w:szCs w:val="20"/>
        </w:rPr>
      </w:pPr>
      <w:r>
        <w:rPr>
          <w:bCs/>
          <w:sz w:val="24"/>
          <w:szCs w:val="20"/>
        </w:rPr>
        <w:t>安全检查表法是依据相关的标准、规范，对工程、系统中已知的危险类别、设计缺陷以及与一般工</w:t>
      </w:r>
      <w:r>
        <w:rPr>
          <w:bCs/>
          <w:sz w:val="24"/>
          <w:szCs w:val="20"/>
        </w:rPr>
        <w:t>艺设备、操作、管理有关的潜在危险性和有害性进行判别检查。适用于工程、系统的各个阶段，是系统安全工程的一种最基础、最简便、广泛应用的系统危险性评价方法。</w:t>
      </w:r>
    </w:p>
    <w:p w:rsidR="0073700B" w:rsidRDefault="001A2FFC" w:rsidP="00F80BAC">
      <w:pPr>
        <w:spacing w:beforeLines="50" w:before="156" w:line="360" w:lineRule="auto"/>
        <w:ind w:firstLineChars="200" w:firstLine="480"/>
        <w:rPr>
          <w:bCs/>
          <w:sz w:val="24"/>
          <w:szCs w:val="20"/>
        </w:rPr>
      </w:pPr>
      <w:r>
        <w:rPr>
          <w:rFonts w:hint="eastAsia"/>
          <w:bCs/>
          <w:sz w:val="24"/>
          <w:szCs w:val="20"/>
        </w:rPr>
        <w:t>②</w:t>
      </w:r>
      <w:r>
        <w:rPr>
          <w:bCs/>
          <w:sz w:val="24"/>
          <w:szCs w:val="20"/>
        </w:rPr>
        <w:t>本条介绍了采取风险控制措施后预期风险的评审方式。评审依据是典型施工情况与风险控制措施制定的情况。</w:t>
      </w:r>
    </w:p>
    <w:p w:rsidR="0073700B" w:rsidRDefault="001A2FFC" w:rsidP="00F80BAC">
      <w:pPr>
        <w:spacing w:beforeLines="50" w:before="156" w:line="360" w:lineRule="auto"/>
        <w:ind w:firstLineChars="200" w:firstLine="480"/>
        <w:rPr>
          <w:bCs/>
          <w:sz w:val="24"/>
          <w:szCs w:val="20"/>
        </w:rPr>
      </w:pPr>
      <w:r>
        <w:rPr>
          <w:bCs/>
          <w:sz w:val="24"/>
          <w:szCs w:val="20"/>
        </w:rPr>
        <w:lastRenderedPageBreak/>
        <w:t>以评审结论为基础，通过风险矩阵法，确定采取措施后预期风险等级。预期风险等级共有四级：较小风险</w:t>
      </w:r>
      <w:r>
        <w:rPr>
          <w:bCs/>
          <w:sz w:val="24"/>
          <w:szCs w:val="20"/>
        </w:rPr>
        <w:t>(</w:t>
      </w:r>
      <w:r>
        <w:rPr>
          <w:rFonts w:ascii="宋体" w:hAnsi="宋体" w:cs="宋体" w:hint="eastAsia"/>
          <w:bCs/>
          <w:sz w:val="24"/>
          <w:szCs w:val="20"/>
        </w:rPr>
        <w:t>Ⅳ</w:t>
      </w:r>
      <w:r>
        <w:rPr>
          <w:bCs/>
          <w:sz w:val="24"/>
          <w:szCs w:val="20"/>
        </w:rPr>
        <w:t>级</w:t>
      </w:r>
      <w:r>
        <w:rPr>
          <w:bCs/>
          <w:sz w:val="24"/>
          <w:szCs w:val="20"/>
        </w:rPr>
        <w:t>)</w:t>
      </w:r>
      <w:r>
        <w:rPr>
          <w:bCs/>
          <w:sz w:val="24"/>
          <w:szCs w:val="20"/>
        </w:rPr>
        <w:t>、一般风险</w:t>
      </w:r>
      <w:r>
        <w:rPr>
          <w:bCs/>
          <w:sz w:val="24"/>
          <w:szCs w:val="20"/>
        </w:rPr>
        <w:t>(</w:t>
      </w:r>
      <w:r>
        <w:rPr>
          <w:rFonts w:ascii="宋体" w:hAnsi="宋体" w:cs="宋体" w:hint="eastAsia"/>
          <w:bCs/>
          <w:sz w:val="24"/>
          <w:szCs w:val="20"/>
        </w:rPr>
        <w:t>Ⅲ</w:t>
      </w:r>
      <w:r>
        <w:rPr>
          <w:bCs/>
          <w:sz w:val="24"/>
          <w:szCs w:val="20"/>
        </w:rPr>
        <w:t>级</w:t>
      </w:r>
      <w:r>
        <w:rPr>
          <w:bCs/>
          <w:sz w:val="24"/>
          <w:szCs w:val="20"/>
        </w:rPr>
        <w:t>)</w:t>
      </w:r>
      <w:r>
        <w:rPr>
          <w:bCs/>
          <w:sz w:val="24"/>
          <w:szCs w:val="20"/>
        </w:rPr>
        <w:t>、较大风险</w:t>
      </w:r>
      <w:r>
        <w:rPr>
          <w:bCs/>
          <w:sz w:val="24"/>
          <w:szCs w:val="20"/>
        </w:rPr>
        <w:t>(</w:t>
      </w:r>
      <w:r>
        <w:rPr>
          <w:rFonts w:ascii="宋体" w:hAnsi="宋体" w:cs="宋体" w:hint="eastAsia"/>
          <w:bCs/>
          <w:sz w:val="24"/>
          <w:szCs w:val="20"/>
        </w:rPr>
        <w:t>Ⅱ</w:t>
      </w:r>
      <w:r>
        <w:rPr>
          <w:bCs/>
          <w:sz w:val="24"/>
          <w:szCs w:val="20"/>
        </w:rPr>
        <w:t>级</w:t>
      </w:r>
      <w:r>
        <w:rPr>
          <w:bCs/>
          <w:sz w:val="24"/>
          <w:szCs w:val="20"/>
        </w:rPr>
        <w:t>)</w:t>
      </w:r>
      <w:r>
        <w:rPr>
          <w:bCs/>
          <w:sz w:val="24"/>
          <w:szCs w:val="20"/>
        </w:rPr>
        <w:t>、重大风险</w:t>
      </w:r>
      <w:r>
        <w:rPr>
          <w:bCs/>
          <w:sz w:val="24"/>
          <w:szCs w:val="20"/>
        </w:rPr>
        <w:t>(</w:t>
      </w:r>
      <w:r>
        <w:rPr>
          <w:rFonts w:ascii="宋体" w:hAnsi="宋体" w:cs="宋体" w:hint="eastAsia"/>
          <w:bCs/>
          <w:sz w:val="24"/>
          <w:szCs w:val="20"/>
        </w:rPr>
        <w:t>Ⅰ</w:t>
      </w:r>
      <w:r>
        <w:rPr>
          <w:bCs/>
          <w:sz w:val="24"/>
          <w:szCs w:val="20"/>
        </w:rPr>
        <w:t>级</w:t>
      </w:r>
      <w:r>
        <w:rPr>
          <w:bCs/>
          <w:sz w:val="24"/>
          <w:szCs w:val="20"/>
        </w:rPr>
        <w:t>)</w:t>
      </w:r>
      <w:r>
        <w:rPr>
          <w:bCs/>
          <w:sz w:val="24"/>
          <w:szCs w:val="20"/>
        </w:rPr>
        <w:t>。</w:t>
      </w:r>
    </w:p>
    <w:p w:rsidR="0073700B" w:rsidRDefault="001A2FFC" w:rsidP="00F80BAC">
      <w:pPr>
        <w:spacing w:beforeLines="50" w:before="156" w:line="360" w:lineRule="auto"/>
        <w:ind w:firstLineChars="200" w:firstLine="480"/>
        <w:rPr>
          <w:bCs/>
          <w:sz w:val="24"/>
          <w:szCs w:val="20"/>
        </w:rPr>
      </w:pPr>
      <w:r>
        <w:rPr>
          <w:rFonts w:hint="eastAsia"/>
          <w:bCs/>
          <w:sz w:val="24"/>
          <w:szCs w:val="20"/>
        </w:rPr>
        <w:t>③</w:t>
      </w:r>
      <w:r>
        <w:rPr>
          <w:bCs/>
          <w:sz w:val="24"/>
          <w:szCs w:val="20"/>
        </w:rPr>
        <w:t>风险控制预期效果评估报告宜以报表形式反映，报表中应包含风险控制措施的制定情况、采取措施后预期风险的等</w:t>
      </w:r>
      <w:r>
        <w:rPr>
          <w:bCs/>
          <w:sz w:val="24"/>
          <w:szCs w:val="20"/>
        </w:rPr>
        <w:t>级、完善风险控制措施的建议等。</w:t>
      </w:r>
    </w:p>
    <w:p w:rsidR="0073700B" w:rsidRDefault="001A2FFC">
      <w:pPr>
        <w:pStyle w:val="3"/>
        <w:ind w:left="0" w:firstLine="480"/>
        <w:rPr>
          <w:b/>
          <w:bCs w:val="0"/>
        </w:rPr>
      </w:pPr>
      <w:r>
        <w:rPr>
          <w:b/>
          <w:bCs w:val="0"/>
        </w:rPr>
        <w:t xml:space="preserve">. </w:t>
      </w:r>
      <w:r>
        <w:rPr>
          <w:b/>
          <w:bCs w:val="0"/>
        </w:rPr>
        <w:t>风险评估报告编制</w:t>
      </w:r>
    </w:p>
    <w:p w:rsidR="0073700B" w:rsidRDefault="001A2FFC">
      <w:pPr>
        <w:spacing w:line="360" w:lineRule="auto"/>
        <w:ind w:firstLineChars="200" w:firstLine="480"/>
        <w:outlineLvl w:val="3"/>
        <w:rPr>
          <w:bCs/>
          <w:sz w:val="24"/>
          <w:szCs w:val="20"/>
        </w:rPr>
      </w:pPr>
      <w:r>
        <w:rPr>
          <w:rFonts w:hint="eastAsia"/>
          <w:bCs/>
          <w:sz w:val="24"/>
          <w:szCs w:val="20"/>
        </w:rPr>
        <w:t>（</w:t>
      </w:r>
      <w:r>
        <w:rPr>
          <w:rFonts w:hint="eastAsia"/>
          <w:bCs/>
          <w:sz w:val="24"/>
          <w:szCs w:val="20"/>
        </w:rPr>
        <w:t>1</w:t>
      </w:r>
      <w:r>
        <w:rPr>
          <w:rFonts w:hint="eastAsia"/>
          <w:bCs/>
          <w:sz w:val="24"/>
          <w:szCs w:val="20"/>
        </w:rPr>
        <w:t>）</w:t>
      </w:r>
      <w:r>
        <w:rPr>
          <w:bCs/>
          <w:sz w:val="24"/>
          <w:szCs w:val="20"/>
        </w:rPr>
        <w:t>一般要求</w:t>
      </w:r>
    </w:p>
    <w:p w:rsidR="0073700B" w:rsidRDefault="001A2FFC" w:rsidP="00F80BAC">
      <w:pPr>
        <w:spacing w:beforeLines="50" w:before="156" w:line="360" w:lineRule="auto"/>
        <w:ind w:firstLineChars="200" w:firstLine="480"/>
        <w:rPr>
          <w:bCs/>
          <w:sz w:val="24"/>
          <w:szCs w:val="20"/>
        </w:rPr>
      </w:pPr>
      <w:r>
        <w:rPr>
          <w:rFonts w:hint="eastAsia"/>
          <w:bCs/>
          <w:sz w:val="24"/>
          <w:szCs w:val="20"/>
        </w:rPr>
        <w:t>①本标准</w:t>
      </w:r>
      <w:r>
        <w:rPr>
          <w:bCs/>
          <w:sz w:val="24"/>
          <w:szCs w:val="20"/>
        </w:rPr>
        <w:t>给出了风险评估报告编制内容的整体要求。工作记录就是指专项评估流程图中所列的各个表格，评估结果主要是重大风险源的情况总结，控制措施建议就是应采取、宜采取的主要措施。另外，专家调查过程中的各类问卷结果也应附到报告中。</w:t>
      </w:r>
    </w:p>
    <w:p w:rsidR="0073700B" w:rsidRDefault="001A2FFC" w:rsidP="00F80BAC">
      <w:pPr>
        <w:spacing w:beforeLines="50" w:before="156" w:line="360" w:lineRule="auto"/>
        <w:ind w:firstLineChars="200" w:firstLine="480"/>
        <w:outlineLvl w:val="3"/>
        <w:rPr>
          <w:bCs/>
          <w:sz w:val="24"/>
          <w:szCs w:val="20"/>
        </w:rPr>
      </w:pPr>
      <w:r>
        <w:rPr>
          <w:rFonts w:hint="eastAsia"/>
          <w:bCs/>
          <w:sz w:val="24"/>
          <w:szCs w:val="20"/>
        </w:rPr>
        <w:t>（</w:t>
      </w:r>
      <w:r>
        <w:rPr>
          <w:rFonts w:hint="eastAsia"/>
          <w:bCs/>
          <w:sz w:val="24"/>
          <w:szCs w:val="20"/>
        </w:rPr>
        <w:t>2</w:t>
      </w:r>
      <w:r>
        <w:rPr>
          <w:rFonts w:hint="eastAsia"/>
          <w:bCs/>
          <w:sz w:val="24"/>
          <w:szCs w:val="20"/>
        </w:rPr>
        <w:t>）</w:t>
      </w:r>
      <w:r>
        <w:rPr>
          <w:bCs/>
          <w:sz w:val="24"/>
          <w:szCs w:val="20"/>
        </w:rPr>
        <w:t>风险评估报告编制内容</w:t>
      </w:r>
    </w:p>
    <w:p w:rsidR="0073700B" w:rsidRDefault="001A2FFC" w:rsidP="00F80BAC">
      <w:pPr>
        <w:spacing w:beforeLines="50" w:before="156" w:line="360" w:lineRule="auto"/>
        <w:ind w:firstLineChars="200" w:firstLine="480"/>
        <w:rPr>
          <w:bCs/>
          <w:sz w:val="24"/>
          <w:szCs w:val="20"/>
        </w:rPr>
      </w:pPr>
      <w:r>
        <w:rPr>
          <w:rFonts w:hint="eastAsia"/>
          <w:bCs/>
          <w:sz w:val="24"/>
          <w:szCs w:val="20"/>
        </w:rPr>
        <w:t>②本标准</w:t>
      </w:r>
      <w:r>
        <w:rPr>
          <w:bCs/>
          <w:sz w:val="24"/>
          <w:szCs w:val="20"/>
        </w:rPr>
        <w:t>给出了</w:t>
      </w:r>
      <w:bookmarkStart w:id="97" w:name="_Hlk13124605"/>
      <w:r>
        <w:rPr>
          <w:bCs/>
          <w:sz w:val="24"/>
          <w:szCs w:val="20"/>
        </w:rPr>
        <w:t>总体风险评估报告</w:t>
      </w:r>
      <w:bookmarkEnd w:id="97"/>
      <w:r>
        <w:rPr>
          <w:bCs/>
          <w:sz w:val="24"/>
          <w:szCs w:val="20"/>
        </w:rPr>
        <w:t>、专项风险评估报告内容要求，部分工程某些内容可能没有。另外，在内容序编排上也可以前后调整，但应包含规定的主要内容。</w:t>
      </w:r>
    </w:p>
    <w:p w:rsidR="0073700B" w:rsidRDefault="001A2FFC" w:rsidP="00F80BAC">
      <w:pPr>
        <w:spacing w:beforeLines="50" w:before="156" w:line="360" w:lineRule="auto"/>
        <w:ind w:firstLineChars="200" w:firstLine="480"/>
        <w:outlineLvl w:val="3"/>
        <w:rPr>
          <w:bCs/>
          <w:sz w:val="24"/>
          <w:szCs w:val="20"/>
        </w:rPr>
      </w:pPr>
      <w:r>
        <w:rPr>
          <w:rFonts w:hint="eastAsia"/>
          <w:bCs/>
          <w:sz w:val="24"/>
          <w:szCs w:val="20"/>
        </w:rPr>
        <w:t>（</w:t>
      </w:r>
      <w:r>
        <w:rPr>
          <w:rFonts w:hint="eastAsia"/>
          <w:bCs/>
          <w:sz w:val="24"/>
          <w:szCs w:val="20"/>
        </w:rPr>
        <w:t>3</w:t>
      </w:r>
      <w:r>
        <w:rPr>
          <w:rFonts w:hint="eastAsia"/>
          <w:bCs/>
          <w:sz w:val="24"/>
          <w:szCs w:val="20"/>
        </w:rPr>
        <w:t>）</w:t>
      </w:r>
      <w:r>
        <w:rPr>
          <w:bCs/>
          <w:sz w:val="24"/>
          <w:szCs w:val="20"/>
        </w:rPr>
        <w:t>风险评估报告评审</w:t>
      </w:r>
    </w:p>
    <w:p w:rsidR="0073700B" w:rsidRDefault="001A2FFC" w:rsidP="00F80BAC">
      <w:pPr>
        <w:spacing w:beforeLines="50" w:before="156" w:line="360" w:lineRule="auto"/>
        <w:ind w:firstLineChars="200" w:firstLine="480"/>
        <w:rPr>
          <w:bCs/>
          <w:sz w:val="24"/>
          <w:szCs w:val="20"/>
        </w:rPr>
      </w:pPr>
      <w:r>
        <w:rPr>
          <w:rFonts w:hint="eastAsia"/>
          <w:bCs/>
          <w:sz w:val="24"/>
          <w:szCs w:val="20"/>
        </w:rPr>
        <w:t>①本标准</w:t>
      </w:r>
      <w:r>
        <w:rPr>
          <w:bCs/>
          <w:sz w:val="24"/>
          <w:szCs w:val="20"/>
        </w:rPr>
        <w:t>给出了风险评估报告评审的要求</w:t>
      </w:r>
      <w:r>
        <w:rPr>
          <w:rFonts w:hint="eastAsia"/>
          <w:bCs/>
          <w:sz w:val="24"/>
          <w:szCs w:val="20"/>
        </w:rPr>
        <w:t>。</w:t>
      </w:r>
    </w:p>
    <w:p w:rsidR="0073700B" w:rsidRDefault="001A2FFC">
      <w:pPr>
        <w:widowControl/>
        <w:jc w:val="left"/>
        <w:rPr>
          <w:bCs/>
          <w:sz w:val="24"/>
          <w:szCs w:val="20"/>
        </w:rPr>
      </w:pPr>
      <w:r>
        <w:rPr>
          <w:bCs/>
          <w:sz w:val="24"/>
          <w:szCs w:val="20"/>
        </w:rPr>
        <w:br w:type="page"/>
      </w:r>
    </w:p>
    <w:p w:rsidR="0073700B" w:rsidRDefault="001A2FFC">
      <w:pPr>
        <w:pStyle w:val="3"/>
        <w:numPr>
          <w:ilvl w:val="0"/>
          <w:numId w:val="0"/>
        </w:numPr>
        <w:ind w:left="426"/>
        <w:rPr>
          <w:b/>
          <w:bCs w:val="0"/>
        </w:rPr>
      </w:pPr>
      <w:r>
        <w:rPr>
          <w:b/>
          <w:bCs w:val="0"/>
        </w:rPr>
        <w:lastRenderedPageBreak/>
        <w:t xml:space="preserve">9. </w:t>
      </w:r>
      <w:r>
        <w:rPr>
          <w:b/>
          <w:bCs w:val="0"/>
        </w:rPr>
        <w:t>附录</w:t>
      </w:r>
      <w:r>
        <w:rPr>
          <w:b/>
          <w:bCs w:val="0"/>
        </w:rPr>
        <w:t>A.1</w:t>
      </w:r>
      <w:r>
        <w:rPr>
          <w:b/>
          <w:bCs w:val="0"/>
        </w:rPr>
        <w:t>（资料性附录）隧道施工前洞口失稳</w:t>
      </w:r>
      <w:bookmarkStart w:id="98" w:name="_Hlk21275775"/>
      <w:r>
        <w:rPr>
          <w:b/>
          <w:bCs w:val="0"/>
        </w:rPr>
        <w:t>风险事件</w:t>
      </w:r>
      <w:bookmarkEnd w:id="98"/>
      <w:r>
        <w:rPr>
          <w:b/>
          <w:bCs w:val="0"/>
        </w:rPr>
        <w:t>可能性评估指标体系</w:t>
      </w:r>
    </w:p>
    <w:p w:rsidR="0073700B" w:rsidRDefault="001A2FFC" w:rsidP="00F80BAC">
      <w:pPr>
        <w:pStyle w:val="af7"/>
        <w:spacing w:beforeLines="50" w:before="156" w:line="360" w:lineRule="auto"/>
        <w:ind w:firstLine="480"/>
        <w:rPr>
          <w:rFonts w:ascii="Times New Roman"/>
          <w:bCs/>
          <w:sz w:val="24"/>
          <w:szCs w:val="24"/>
        </w:rPr>
      </w:pPr>
      <w:bookmarkStart w:id="99" w:name="_Hlk536126671"/>
      <w:r>
        <w:rPr>
          <w:rFonts w:ascii="Times New Roman"/>
          <w:bCs/>
          <w:sz w:val="24"/>
          <w:szCs w:val="24"/>
        </w:rPr>
        <w:t>根据前期现行指南的研究成果和专家意见，从隧道建设规模、地形特征、地质条件、水文地质条件等四个方面建立施工前洞口失稳</w:t>
      </w:r>
      <w:r>
        <w:rPr>
          <w:rFonts w:ascii="Times New Roman"/>
          <w:bCs/>
          <w:sz w:val="24"/>
        </w:rPr>
        <w:t>风险事件</w:t>
      </w:r>
      <w:r>
        <w:rPr>
          <w:rFonts w:ascii="Times New Roman"/>
          <w:bCs/>
          <w:sz w:val="24"/>
          <w:szCs w:val="24"/>
        </w:rPr>
        <w:t>可能性评估指标体系。</w:t>
      </w:r>
      <w:bookmarkEnd w:id="99"/>
      <w:r>
        <w:rPr>
          <w:rFonts w:ascii="Times New Roman"/>
          <w:bCs/>
          <w:sz w:val="24"/>
          <w:szCs w:val="24"/>
        </w:rPr>
        <w:t>其中建设规模包含了隧道开挖跨度一项指标，地形特征包含了洞口浅埋段长度、洞口偏压角度等指标，地质条件包含了围岩级别</w:t>
      </w:r>
      <w:r>
        <w:rPr>
          <w:rFonts w:ascii="Times New Roman"/>
          <w:bCs/>
          <w:sz w:val="24"/>
          <w:szCs w:val="24"/>
        </w:rPr>
        <w:t>([BQ]</w:t>
      </w:r>
      <w:r>
        <w:rPr>
          <w:rFonts w:ascii="Times New Roman"/>
          <w:bCs/>
          <w:sz w:val="24"/>
          <w:szCs w:val="24"/>
        </w:rPr>
        <w:t>值</w:t>
      </w:r>
      <w:r>
        <w:rPr>
          <w:rFonts w:ascii="Times New Roman"/>
          <w:bCs/>
          <w:sz w:val="24"/>
          <w:szCs w:val="24"/>
        </w:rPr>
        <w:t>)</w:t>
      </w:r>
      <w:r>
        <w:rPr>
          <w:rFonts w:ascii="Times New Roman"/>
          <w:bCs/>
          <w:sz w:val="24"/>
          <w:szCs w:val="24"/>
        </w:rPr>
        <w:t>、坡体结构等指标，水文地质条件包含了年平均降水量指标。</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bCs/>
          <w:sz w:val="24"/>
          <w:szCs w:val="24"/>
        </w:rPr>
        <w:t>1</w:t>
      </w:r>
      <w:r>
        <w:rPr>
          <w:rFonts w:ascii="Times New Roman" w:hint="eastAsia"/>
          <w:bCs/>
          <w:sz w:val="24"/>
          <w:szCs w:val="24"/>
        </w:rPr>
        <w:t>）</w:t>
      </w:r>
      <w:r>
        <w:rPr>
          <w:rFonts w:ascii="Times New Roman"/>
          <w:bCs/>
          <w:sz w:val="24"/>
          <w:szCs w:val="24"/>
        </w:rPr>
        <w:t>隧道开挖跨度</w:t>
      </w:r>
      <w:r>
        <w:rPr>
          <w:rFonts w:ascii="Times New Roman"/>
          <w:bCs/>
          <w:i/>
          <w:iCs/>
          <w:sz w:val="24"/>
          <w:szCs w:val="24"/>
        </w:rPr>
        <w:t>X</w:t>
      </w:r>
      <w:r>
        <w:rPr>
          <w:rFonts w:ascii="Times New Roman"/>
          <w:bCs/>
          <w:sz w:val="24"/>
          <w:szCs w:val="24"/>
          <w:vertAlign w:val="subscript"/>
        </w:rPr>
        <w:t>11</w:t>
      </w:r>
      <w:r>
        <w:rPr>
          <w:rFonts w:ascii="Times New Roman"/>
          <w:bCs/>
          <w:sz w:val="24"/>
          <w:szCs w:val="24"/>
        </w:rPr>
        <w:t>，参考《公路隧道施工技术细则》（</w:t>
      </w:r>
      <w:r>
        <w:rPr>
          <w:rFonts w:ascii="Times New Roman"/>
          <w:bCs/>
          <w:sz w:val="24"/>
          <w:szCs w:val="24"/>
        </w:rPr>
        <w:t>JTG/T F60-</w:t>
      </w:r>
      <w:r>
        <w:rPr>
          <w:rFonts w:ascii="Times New Roman"/>
          <w:bCs/>
          <w:sz w:val="24"/>
          <w:szCs w:val="24"/>
        </w:rPr>
        <w:t>2009</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NE.Ref.{F4E528C8-A036-4623-81A7-8AD375B5F5BB}</w:instrText>
      </w:r>
      <w:r>
        <w:rPr>
          <w:rFonts w:ascii="Times New Roman"/>
          <w:bCs/>
          <w:sz w:val="24"/>
          <w:szCs w:val="24"/>
        </w:rPr>
        <w:fldChar w:fldCharType="separate"/>
      </w:r>
      <w:r>
        <w:rPr>
          <w:rFonts w:ascii="Times New Roman"/>
          <w:color w:val="080000"/>
          <w:sz w:val="24"/>
          <w:szCs w:val="24"/>
          <w:vertAlign w:val="superscript"/>
        </w:rPr>
        <w:t>[14]</w:t>
      </w:r>
      <w:r>
        <w:rPr>
          <w:rFonts w:ascii="Times New Roman"/>
          <w:bCs/>
          <w:sz w:val="24"/>
          <w:szCs w:val="24"/>
        </w:rPr>
        <w:fldChar w:fldCharType="end"/>
      </w:r>
      <w:r>
        <w:rPr>
          <w:rFonts w:ascii="Times New Roman"/>
          <w:bCs/>
          <w:sz w:val="24"/>
          <w:szCs w:val="24"/>
        </w:rPr>
        <w:t>，按开挖宽度</w:t>
      </w:r>
      <w:r>
        <w:rPr>
          <w:rFonts w:ascii="Times New Roman"/>
          <w:bCs/>
          <w:i/>
          <w:iCs/>
          <w:sz w:val="24"/>
          <w:szCs w:val="24"/>
        </w:rPr>
        <w:t>B</w:t>
      </w:r>
      <w:r>
        <w:rPr>
          <w:rFonts w:ascii="Times New Roman"/>
          <w:bCs/>
          <w:sz w:val="24"/>
          <w:szCs w:val="24"/>
        </w:rPr>
        <w:t>可将隧道划分为小跨度隧道、中跨度隧道、大跨度隧道、超大跨度隧道，开挖宽度</w:t>
      </w:r>
      <w:r>
        <w:rPr>
          <w:rFonts w:ascii="Times New Roman"/>
          <w:bCs/>
          <w:i/>
          <w:iCs/>
          <w:sz w:val="24"/>
          <w:szCs w:val="24"/>
        </w:rPr>
        <w:t>B</w:t>
      </w:r>
      <w:r>
        <w:rPr>
          <w:rFonts w:ascii="Times New Roman"/>
          <w:bCs/>
          <w:sz w:val="24"/>
          <w:szCs w:val="24"/>
        </w:rPr>
        <w:t>越大，隧道断面开挖持续时间较长，支护结构难以快速封闭成环，安全性问题越突出。</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bCs/>
          <w:sz w:val="24"/>
          <w:szCs w:val="24"/>
        </w:rPr>
        <w:t>2</w:t>
      </w:r>
      <w:r>
        <w:rPr>
          <w:rFonts w:ascii="Times New Roman" w:hint="eastAsia"/>
          <w:bCs/>
          <w:sz w:val="24"/>
          <w:szCs w:val="24"/>
        </w:rPr>
        <w:t>）</w:t>
      </w:r>
      <w:r>
        <w:rPr>
          <w:rFonts w:ascii="Times New Roman"/>
          <w:bCs/>
          <w:sz w:val="24"/>
          <w:szCs w:val="24"/>
        </w:rPr>
        <w:t>洞口浅埋段长度</w:t>
      </w:r>
      <w:r>
        <w:rPr>
          <w:rFonts w:ascii="Times New Roman"/>
          <w:bCs/>
          <w:i/>
          <w:iCs/>
          <w:sz w:val="24"/>
          <w:szCs w:val="24"/>
        </w:rPr>
        <w:t>X</w:t>
      </w:r>
      <w:r>
        <w:rPr>
          <w:rFonts w:ascii="Times New Roman"/>
          <w:bCs/>
          <w:sz w:val="24"/>
          <w:szCs w:val="24"/>
          <w:vertAlign w:val="subscript"/>
        </w:rPr>
        <w:t>21</w:t>
      </w:r>
      <w:r>
        <w:rPr>
          <w:rFonts w:ascii="Times New Roman"/>
          <w:bCs/>
          <w:sz w:val="24"/>
          <w:szCs w:val="24"/>
        </w:rPr>
        <w:t>，参考《铁路隧道设计规范》（</w:t>
      </w:r>
      <w:r>
        <w:rPr>
          <w:rFonts w:ascii="Times New Roman"/>
          <w:bCs/>
          <w:sz w:val="24"/>
          <w:szCs w:val="24"/>
        </w:rPr>
        <w:t>TB 10003-2016</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NE.Ref.{2F7AF6AA-E2EB-47B1-9D8F-B41B5E19E7ED}</w:instrText>
      </w:r>
      <w:r>
        <w:rPr>
          <w:rFonts w:ascii="Times New Roman"/>
          <w:bCs/>
          <w:sz w:val="24"/>
          <w:szCs w:val="24"/>
        </w:rPr>
        <w:fldChar w:fldCharType="separate"/>
      </w:r>
      <w:r>
        <w:rPr>
          <w:rFonts w:ascii="Times New Roman"/>
          <w:color w:val="080000"/>
          <w:sz w:val="24"/>
          <w:szCs w:val="24"/>
          <w:vertAlign w:val="superscript"/>
        </w:rPr>
        <w:t>[15]</w:t>
      </w:r>
      <w:r>
        <w:rPr>
          <w:rFonts w:ascii="Times New Roman"/>
          <w:bCs/>
          <w:sz w:val="24"/>
          <w:szCs w:val="24"/>
        </w:rPr>
        <w:fldChar w:fldCharType="end"/>
      </w:r>
      <w:r>
        <w:rPr>
          <w:rFonts w:ascii="Times New Roman"/>
          <w:bCs/>
          <w:sz w:val="24"/>
          <w:szCs w:val="24"/>
        </w:rPr>
        <w:t>，浅埋段是决定洞口</w:t>
      </w:r>
      <w:r>
        <w:rPr>
          <w:rFonts w:ascii="Times New Roman"/>
          <w:bCs/>
          <w:sz w:val="24"/>
          <w:szCs w:val="24"/>
        </w:rPr>
        <w:t>处稳定性的重要因素，该段岩体质量往往相对较差，易受降水影响。洞口浅埋段长度越长，则该段施工时间越长，发生失稳的风险就会越大。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3</w:t>
      </w:r>
      <w:r>
        <w:rPr>
          <w:rFonts w:ascii="Times New Roman" w:hint="eastAsia"/>
          <w:bCs/>
          <w:sz w:val="24"/>
          <w:szCs w:val="24"/>
        </w:rPr>
        <w:t>）</w:t>
      </w:r>
      <w:r>
        <w:rPr>
          <w:rFonts w:ascii="Times New Roman"/>
          <w:bCs/>
          <w:sz w:val="24"/>
        </w:rPr>
        <w:t>洞口偏压角度</w:t>
      </w:r>
      <w:r>
        <w:rPr>
          <w:rFonts w:ascii="Times New Roman"/>
          <w:bCs/>
          <w:i/>
          <w:iCs/>
          <w:sz w:val="24"/>
          <w:szCs w:val="24"/>
        </w:rPr>
        <w:t>X</w:t>
      </w:r>
      <w:r>
        <w:rPr>
          <w:rFonts w:ascii="Times New Roman"/>
          <w:bCs/>
          <w:sz w:val="24"/>
          <w:szCs w:val="24"/>
          <w:vertAlign w:val="subscript"/>
        </w:rPr>
        <w:t>22</w:t>
      </w:r>
      <w:r>
        <w:rPr>
          <w:rFonts w:ascii="Times New Roman"/>
          <w:bCs/>
          <w:sz w:val="24"/>
        </w:rPr>
        <w:t>，指的是垂直于隧道洞口的横剖面与地面的交线同水平面的夹角。参考《铁路隧道设计规范》（</w:t>
      </w:r>
      <w:r>
        <w:rPr>
          <w:rFonts w:ascii="Times New Roman"/>
          <w:bCs/>
          <w:sz w:val="24"/>
        </w:rPr>
        <w:t>JB 10003-2016</w:t>
      </w:r>
      <w:r>
        <w:rPr>
          <w:rFonts w:ascii="Times New Roman"/>
          <w:bCs/>
          <w:sz w:val="24"/>
        </w:rPr>
        <w:t>）</w:t>
      </w:r>
      <w:r>
        <w:rPr>
          <w:rFonts w:ascii="Times New Roman"/>
          <w:bCs/>
          <w:sz w:val="24"/>
        </w:rPr>
        <w:fldChar w:fldCharType="begin"/>
      </w:r>
      <w:r>
        <w:rPr>
          <w:rFonts w:ascii="Times New Roman"/>
          <w:bCs/>
          <w:sz w:val="24"/>
        </w:rPr>
        <w:instrText xml:space="preserve"> ADDIN NE.Ref.{4CA85652-973F-4CFD-BD2A-6E806E766718}</w:instrText>
      </w:r>
      <w:r>
        <w:rPr>
          <w:rFonts w:ascii="Times New Roman"/>
          <w:bCs/>
          <w:sz w:val="24"/>
        </w:rPr>
        <w:fldChar w:fldCharType="separate"/>
      </w:r>
      <w:r>
        <w:rPr>
          <w:rFonts w:ascii="Times New Roman"/>
          <w:color w:val="080000"/>
          <w:sz w:val="24"/>
          <w:szCs w:val="24"/>
          <w:vertAlign w:val="superscript"/>
        </w:rPr>
        <w:t>[15]</w:t>
      </w:r>
      <w:r>
        <w:rPr>
          <w:rFonts w:ascii="Times New Roman"/>
          <w:bCs/>
          <w:sz w:val="24"/>
        </w:rPr>
        <w:fldChar w:fldCharType="end"/>
      </w:r>
      <w:r>
        <w:rPr>
          <w:rFonts w:ascii="Times New Roman"/>
          <w:bCs/>
          <w:sz w:val="24"/>
        </w:rPr>
        <w:t>，大多数偏压隧道处于洞口段与浅埋段，地形因素造成的偏压对隧道洞口浅埋段的稳定性影响特别大，本标准以岩层倾角表示偏压情况</w:t>
      </w:r>
      <w:r>
        <w:rPr>
          <w:rFonts w:ascii="Times New Roman"/>
          <w:bCs/>
          <w:sz w:val="24"/>
        </w:rPr>
        <w:fldChar w:fldCharType="begin"/>
      </w:r>
      <w:r>
        <w:rPr>
          <w:rFonts w:ascii="Times New Roman"/>
          <w:bCs/>
          <w:sz w:val="24"/>
        </w:rPr>
        <w:instrText xml:space="preserve"> ADDIN NE.Ref.{12CB01DD-80C4-4AE7-9A75-3EBA9199D5C6}</w:instrText>
      </w:r>
      <w:r>
        <w:rPr>
          <w:rFonts w:ascii="Times New Roman"/>
          <w:bCs/>
          <w:sz w:val="24"/>
        </w:rPr>
        <w:fldChar w:fldCharType="separate"/>
      </w:r>
      <w:r>
        <w:rPr>
          <w:rFonts w:ascii="Times New Roman"/>
          <w:color w:val="080000"/>
          <w:sz w:val="24"/>
          <w:szCs w:val="24"/>
          <w:vertAlign w:val="superscript"/>
        </w:rPr>
        <w:t>[30, 31]</w:t>
      </w:r>
      <w:r>
        <w:rPr>
          <w:rFonts w:ascii="Times New Roman"/>
          <w:bCs/>
          <w:sz w:val="24"/>
        </w:rPr>
        <w:fldChar w:fldCharType="end"/>
      </w:r>
      <w:r>
        <w:rPr>
          <w:rFonts w:ascii="Times New Roman"/>
          <w:bCs/>
          <w:sz w:val="24"/>
        </w:rPr>
        <w:t>，倾角越大，则发生洞口失稳、塌方等事故的可能性就越大。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4</w:t>
      </w:r>
      <w:r>
        <w:rPr>
          <w:rFonts w:ascii="Times New Roman" w:hint="eastAsia"/>
          <w:bCs/>
          <w:sz w:val="24"/>
          <w:szCs w:val="24"/>
        </w:rPr>
        <w:t>）</w:t>
      </w:r>
      <w:r>
        <w:rPr>
          <w:rFonts w:ascii="Times New Roman"/>
          <w:bCs/>
          <w:sz w:val="24"/>
          <w:szCs w:val="24"/>
        </w:rPr>
        <w:t>围岩级别</w:t>
      </w:r>
      <w:r>
        <w:rPr>
          <w:rFonts w:ascii="Times New Roman"/>
          <w:bCs/>
          <w:sz w:val="24"/>
          <w:szCs w:val="24"/>
        </w:rPr>
        <w:t>([BQ]</w:t>
      </w:r>
      <w:r>
        <w:rPr>
          <w:rFonts w:ascii="Times New Roman"/>
          <w:bCs/>
          <w:sz w:val="24"/>
          <w:szCs w:val="24"/>
        </w:rPr>
        <w:t>值</w:t>
      </w:r>
      <w:r>
        <w:rPr>
          <w:rFonts w:ascii="Times New Roman"/>
          <w:bCs/>
          <w:sz w:val="24"/>
          <w:szCs w:val="24"/>
        </w:rPr>
        <w:t>)</w:t>
      </w:r>
      <w:r>
        <w:rPr>
          <w:rFonts w:ascii="Times New Roman"/>
          <w:bCs/>
          <w:i/>
          <w:iCs/>
          <w:sz w:val="24"/>
          <w:szCs w:val="24"/>
        </w:rPr>
        <w:t>X</w:t>
      </w:r>
      <w:r>
        <w:rPr>
          <w:rFonts w:ascii="Times New Roman"/>
          <w:bCs/>
          <w:sz w:val="24"/>
          <w:szCs w:val="24"/>
          <w:vertAlign w:val="subscript"/>
        </w:rPr>
        <w:t>31</w:t>
      </w:r>
      <w:r>
        <w:rPr>
          <w:rFonts w:ascii="Times New Roman"/>
          <w:bCs/>
          <w:sz w:val="24"/>
          <w:szCs w:val="24"/>
        </w:rPr>
        <w:t>，参考《工程岩体分级标准》（</w:t>
      </w:r>
      <w:r>
        <w:rPr>
          <w:rFonts w:ascii="Times New Roman"/>
          <w:bCs/>
          <w:sz w:val="24"/>
          <w:szCs w:val="24"/>
        </w:rPr>
        <w:t>GB/T 50218-2014</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NE.Ref.{FAFF4BB7-E8EA-47BA-B6EF-DFE84B65C5B3}</w:instrText>
      </w:r>
      <w:r>
        <w:rPr>
          <w:rFonts w:ascii="Times New Roman"/>
          <w:bCs/>
          <w:sz w:val="24"/>
          <w:szCs w:val="24"/>
        </w:rPr>
        <w:fldChar w:fldCharType="separate"/>
      </w:r>
      <w:r>
        <w:rPr>
          <w:rFonts w:ascii="Times New Roman"/>
          <w:color w:val="080000"/>
          <w:sz w:val="24"/>
          <w:szCs w:val="24"/>
          <w:vertAlign w:val="superscript"/>
        </w:rPr>
        <w:t>[11]</w:t>
      </w:r>
      <w:r>
        <w:rPr>
          <w:rFonts w:ascii="Times New Roman"/>
          <w:bCs/>
          <w:sz w:val="24"/>
          <w:szCs w:val="24"/>
        </w:rPr>
        <w:fldChar w:fldCharType="end"/>
      </w:r>
      <w:r>
        <w:rPr>
          <w:rFonts w:ascii="Times New Roman"/>
          <w:bCs/>
          <w:sz w:val="24"/>
          <w:szCs w:val="24"/>
        </w:rPr>
        <w:t>，按地下工程岩体质量指标</w:t>
      </w:r>
      <w:r>
        <w:rPr>
          <w:rFonts w:ascii="Times New Roman"/>
          <w:bCs/>
          <w:sz w:val="24"/>
          <w:szCs w:val="24"/>
        </w:rPr>
        <w:t>[BQ]</w:t>
      </w:r>
      <w:r>
        <w:rPr>
          <w:rFonts w:ascii="Times New Roman"/>
          <w:bCs/>
          <w:sz w:val="24"/>
          <w:szCs w:val="24"/>
        </w:rPr>
        <w:t>值确定岩体级别，围岩级别越低，则围岩质量越差，对应的洞口失稳风险也越大</w:t>
      </w:r>
      <w:r>
        <w:rPr>
          <w:rFonts w:ascii="Times New Roman"/>
          <w:bCs/>
          <w:sz w:val="24"/>
          <w:szCs w:val="24"/>
        </w:rPr>
        <w:fldChar w:fldCharType="begin"/>
      </w:r>
      <w:r>
        <w:rPr>
          <w:rFonts w:ascii="Times New Roman"/>
          <w:bCs/>
          <w:sz w:val="24"/>
          <w:szCs w:val="24"/>
        </w:rPr>
        <w:instrText xml:space="preserve"> ADDIN NE.Ref.{3ACF207B-E17E-4275-B905-7F03CC9CEEC5}</w:instrText>
      </w:r>
      <w:r>
        <w:rPr>
          <w:rFonts w:ascii="Times New Roman"/>
          <w:bCs/>
          <w:sz w:val="24"/>
          <w:szCs w:val="24"/>
        </w:rPr>
        <w:fldChar w:fldCharType="separate"/>
      </w:r>
      <w:r>
        <w:rPr>
          <w:rFonts w:ascii="Times New Roman"/>
          <w:color w:val="080000"/>
          <w:sz w:val="24"/>
          <w:szCs w:val="24"/>
          <w:vertAlign w:val="superscript"/>
        </w:rPr>
        <w:t>[32]</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5</w:t>
      </w:r>
      <w:r>
        <w:rPr>
          <w:rFonts w:ascii="Times New Roman" w:hint="eastAsia"/>
          <w:bCs/>
          <w:sz w:val="24"/>
          <w:szCs w:val="24"/>
        </w:rPr>
        <w:t>）</w:t>
      </w:r>
      <w:r>
        <w:rPr>
          <w:rFonts w:ascii="Times New Roman"/>
          <w:bCs/>
          <w:sz w:val="24"/>
          <w:szCs w:val="24"/>
        </w:rPr>
        <w:t>坡体结构</w:t>
      </w:r>
      <w:r>
        <w:rPr>
          <w:rFonts w:ascii="Times New Roman"/>
          <w:bCs/>
          <w:i/>
          <w:iCs/>
          <w:sz w:val="24"/>
          <w:szCs w:val="24"/>
        </w:rPr>
        <w:t>X</w:t>
      </w:r>
      <w:r>
        <w:rPr>
          <w:rFonts w:ascii="Times New Roman"/>
          <w:bCs/>
          <w:sz w:val="24"/>
          <w:szCs w:val="24"/>
          <w:vertAlign w:val="subscript"/>
        </w:rPr>
        <w:t>32</w:t>
      </w:r>
      <w:r>
        <w:rPr>
          <w:rFonts w:ascii="Times New Roman"/>
          <w:bCs/>
          <w:sz w:val="24"/>
          <w:szCs w:val="24"/>
        </w:rPr>
        <w:t>，参考</w:t>
      </w:r>
      <w:bookmarkStart w:id="100" w:name="_Hlk29329199"/>
      <w:r>
        <w:rPr>
          <w:rFonts w:ascii="Times New Roman"/>
          <w:bCs/>
          <w:sz w:val="24"/>
          <w:szCs w:val="24"/>
        </w:rPr>
        <w:t>《公路隧道设计规范</w:t>
      </w:r>
      <w:r>
        <w:rPr>
          <w:rFonts w:ascii="Times New Roman"/>
          <w:bCs/>
          <w:sz w:val="24"/>
          <w:szCs w:val="24"/>
        </w:rPr>
        <w:t xml:space="preserve"> </w:t>
      </w:r>
      <w:r>
        <w:rPr>
          <w:rFonts w:ascii="Times New Roman"/>
          <w:bCs/>
          <w:sz w:val="24"/>
          <w:szCs w:val="24"/>
        </w:rPr>
        <w:t>第一册</w:t>
      </w:r>
      <w:r>
        <w:rPr>
          <w:rFonts w:ascii="Times New Roman"/>
          <w:bCs/>
          <w:sz w:val="24"/>
          <w:szCs w:val="24"/>
        </w:rPr>
        <w:t xml:space="preserve"> </w:t>
      </w:r>
      <w:r>
        <w:rPr>
          <w:rFonts w:ascii="Times New Roman"/>
          <w:bCs/>
          <w:sz w:val="24"/>
          <w:szCs w:val="24"/>
        </w:rPr>
        <w:t>土建工程》（</w:t>
      </w:r>
      <w:r>
        <w:rPr>
          <w:rFonts w:ascii="Times New Roman"/>
          <w:bCs/>
          <w:sz w:val="24"/>
          <w:szCs w:val="24"/>
        </w:rPr>
        <w:t>JTG 3370.1-2018</w:t>
      </w:r>
      <w:r>
        <w:rPr>
          <w:rFonts w:ascii="Times New Roman"/>
          <w:bCs/>
          <w:sz w:val="24"/>
          <w:szCs w:val="24"/>
        </w:rPr>
        <w:t>）</w:t>
      </w:r>
      <w:bookmarkEnd w:id="100"/>
      <w:r>
        <w:rPr>
          <w:rFonts w:ascii="Times New Roman"/>
          <w:bCs/>
          <w:sz w:val="24"/>
          <w:szCs w:val="24"/>
        </w:rPr>
        <w:fldChar w:fldCharType="begin"/>
      </w:r>
      <w:r>
        <w:rPr>
          <w:rFonts w:ascii="Times New Roman"/>
          <w:bCs/>
          <w:sz w:val="24"/>
          <w:szCs w:val="24"/>
        </w:rPr>
        <w:instrText xml:space="preserve"> ADDIN NE.Ref.{F6730809-4218-43D5-8653-DA925301E324}</w:instrText>
      </w:r>
      <w:r>
        <w:rPr>
          <w:rFonts w:ascii="Times New Roman"/>
          <w:bCs/>
          <w:sz w:val="24"/>
          <w:szCs w:val="24"/>
        </w:rPr>
        <w:fldChar w:fldCharType="separate"/>
      </w:r>
      <w:r>
        <w:rPr>
          <w:rFonts w:ascii="Times New Roman"/>
          <w:color w:val="080000"/>
          <w:sz w:val="24"/>
          <w:szCs w:val="24"/>
          <w:vertAlign w:val="superscript"/>
        </w:rPr>
        <w:t>[33]</w:t>
      </w:r>
      <w:r>
        <w:rPr>
          <w:rFonts w:ascii="Times New Roman"/>
          <w:bCs/>
          <w:sz w:val="24"/>
          <w:szCs w:val="24"/>
        </w:rPr>
        <w:fldChar w:fldCharType="end"/>
      </w:r>
      <w:r>
        <w:rPr>
          <w:rFonts w:ascii="Times New Roman"/>
          <w:bCs/>
          <w:sz w:val="24"/>
          <w:szCs w:val="24"/>
        </w:rPr>
        <w:t>，洞口应设于山坡稳定、地质条件较好的位置。与坡面正交的横交坡结构较为理想，而斜交坡、缓顺向坡、古滑坡体结构的失稳风险相对依次增加。</w:t>
      </w:r>
    </w:p>
    <w:p w:rsidR="0073700B" w:rsidRDefault="001A2FFC" w:rsidP="00F80BAC">
      <w:pPr>
        <w:pStyle w:val="af7"/>
        <w:spacing w:beforeLines="50" w:before="156" w:line="360" w:lineRule="auto"/>
        <w:ind w:firstLine="480"/>
        <w:rPr>
          <w:rFonts w:ascii="Times New Roman"/>
          <w:bCs/>
          <w:sz w:val="24"/>
        </w:rPr>
      </w:pPr>
      <w:r>
        <w:rPr>
          <w:rFonts w:ascii="Times New Roman" w:hint="eastAsia"/>
          <w:bCs/>
          <w:sz w:val="24"/>
          <w:szCs w:val="24"/>
        </w:rPr>
        <w:lastRenderedPageBreak/>
        <w:t>（</w:t>
      </w:r>
      <w:r>
        <w:rPr>
          <w:rFonts w:ascii="Times New Roman" w:hint="eastAsia"/>
          <w:bCs/>
          <w:sz w:val="24"/>
          <w:szCs w:val="24"/>
        </w:rPr>
        <w:t>6</w:t>
      </w:r>
      <w:r>
        <w:rPr>
          <w:rFonts w:ascii="Times New Roman" w:hint="eastAsia"/>
          <w:bCs/>
          <w:sz w:val="24"/>
          <w:szCs w:val="24"/>
        </w:rPr>
        <w:t>）</w:t>
      </w:r>
      <w:r>
        <w:rPr>
          <w:rFonts w:ascii="Times New Roman"/>
          <w:bCs/>
          <w:sz w:val="24"/>
        </w:rPr>
        <w:t>年均降水量</w:t>
      </w:r>
      <w:r>
        <w:rPr>
          <w:rFonts w:ascii="Times New Roman"/>
          <w:bCs/>
          <w:i/>
          <w:iCs/>
          <w:sz w:val="24"/>
          <w:szCs w:val="24"/>
        </w:rPr>
        <w:t>X</w:t>
      </w:r>
      <w:r>
        <w:rPr>
          <w:rFonts w:ascii="Times New Roman"/>
          <w:bCs/>
          <w:sz w:val="24"/>
          <w:szCs w:val="24"/>
          <w:vertAlign w:val="subscript"/>
        </w:rPr>
        <w:t>41</w:t>
      </w:r>
      <w:r>
        <w:rPr>
          <w:rFonts w:ascii="Times New Roman"/>
          <w:bCs/>
          <w:sz w:val="24"/>
        </w:rPr>
        <w:fldChar w:fldCharType="begin"/>
      </w:r>
      <w:r>
        <w:rPr>
          <w:rFonts w:ascii="Times New Roman"/>
          <w:bCs/>
          <w:sz w:val="24"/>
        </w:rPr>
        <w:instrText xml:space="preserve"> ADDIN NE.</w:instrText>
      </w:r>
      <w:r>
        <w:rPr>
          <w:rFonts w:ascii="Times New Roman"/>
          <w:bCs/>
          <w:sz w:val="24"/>
        </w:rPr>
        <w:instrText>Ref.{FE793542-26B8-4598-8A10-5818204D07C4}</w:instrText>
      </w:r>
      <w:r>
        <w:rPr>
          <w:rFonts w:ascii="Times New Roman"/>
          <w:bCs/>
          <w:sz w:val="24"/>
        </w:rPr>
        <w:fldChar w:fldCharType="separate"/>
      </w:r>
      <w:r>
        <w:rPr>
          <w:rFonts w:ascii="Times New Roman"/>
          <w:color w:val="080000"/>
          <w:sz w:val="24"/>
          <w:szCs w:val="24"/>
          <w:vertAlign w:val="superscript"/>
        </w:rPr>
        <w:t>[13]</w:t>
      </w:r>
      <w:r>
        <w:rPr>
          <w:rFonts w:ascii="Times New Roman"/>
          <w:bCs/>
          <w:sz w:val="24"/>
        </w:rPr>
        <w:fldChar w:fldCharType="end"/>
      </w:r>
      <w:r>
        <w:rPr>
          <w:rFonts w:ascii="Times New Roman"/>
          <w:bCs/>
          <w:sz w:val="24"/>
        </w:rPr>
        <w:t>，降水量过大，特别是持续的强降水，严重影响洞口工程施工。如果地表的排水、截水设施不完善，大量的地表水将会渗入地层。此外，降水容易在隧道浅埋段渗入隧道围岩，软化岩体并降低围岩强度，影响隧道围岩稳定性。故降水量越大，则洞口失稳风险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bCs/>
          <w:sz w:val="24"/>
          <w:szCs w:val="24"/>
        </w:rPr>
        <w:t>根据降水量随地域分布的特征而言，我国大陆地区各年降水量主要分布在</w:t>
      </w:r>
      <w:r>
        <w:rPr>
          <w:rFonts w:ascii="Times New Roman"/>
          <w:bCs/>
          <w:sz w:val="24"/>
          <w:szCs w:val="24"/>
        </w:rPr>
        <w:t>200mm~3000mm</w:t>
      </w:r>
      <w:r>
        <w:rPr>
          <w:rFonts w:ascii="Times New Roman"/>
          <w:bCs/>
          <w:sz w:val="24"/>
          <w:szCs w:val="24"/>
        </w:rPr>
        <w:t>之间，且东南部降雨普遍比西北部多。隧道运营期间降水量对隧道风险的分为四级，其分级标准</w:t>
      </w:r>
      <w:r>
        <w:rPr>
          <w:rFonts w:ascii="Times New Roman"/>
          <w:bCs/>
          <w:sz w:val="24"/>
          <w:szCs w:val="24"/>
        </w:rPr>
        <w:fldChar w:fldCharType="begin"/>
      </w:r>
      <w:r>
        <w:rPr>
          <w:rFonts w:ascii="Times New Roman"/>
          <w:bCs/>
          <w:sz w:val="24"/>
          <w:szCs w:val="24"/>
        </w:rPr>
        <w:instrText xml:space="preserve"> ADD</w:instrText>
      </w:r>
      <w:r>
        <w:rPr>
          <w:rFonts w:ascii="Times New Roman"/>
          <w:bCs/>
          <w:sz w:val="24"/>
          <w:szCs w:val="24"/>
        </w:rPr>
        <w:instrText>IN NE.Ref.{E14BD07C-23AB-4A85-AF11-91824C226FAD}</w:instrText>
      </w:r>
      <w:r>
        <w:rPr>
          <w:rFonts w:ascii="Times New Roman"/>
          <w:bCs/>
          <w:sz w:val="24"/>
          <w:szCs w:val="24"/>
        </w:rPr>
        <w:fldChar w:fldCharType="separate"/>
      </w:r>
      <w:r>
        <w:rPr>
          <w:rFonts w:ascii="Times New Roman"/>
          <w:color w:val="080000"/>
          <w:sz w:val="24"/>
          <w:szCs w:val="24"/>
          <w:vertAlign w:val="superscript"/>
        </w:rPr>
        <w:t>[34]</w:t>
      </w:r>
      <w:r>
        <w:rPr>
          <w:rFonts w:ascii="Times New Roman"/>
          <w:bCs/>
          <w:sz w:val="24"/>
          <w:szCs w:val="24"/>
        </w:rPr>
        <w:fldChar w:fldCharType="end"/>
      </w:r>
      <w:r>
        <w:rPr>
          <w:rFonts w:ascii="Times New Roman"/>
          <w:bCs/>
          <w:sz w:val="24"/>
          <w:szCs w:val="24"/>
        </w:rPr>
        <w:t>为：</w:t>
      </w:r>
    </w:p>
    <w:p w:rsidR="0073700B" w:rsidRDefault="001A2FFC">
      <w:pPr>
        <w:pStyle w:val="af7"/>
        <w:spacing w:line="360" w:lineRule="auto"/>
        <w:ind w:firstLineChars="0" w:firstLine="0"/>
        <w:jc w:val="center"/>
        <w:rPr>
          <w:rFonts w:ascii="黑体" w:eastAsia="黑体" w:hAnsi="黑体"/>
          <w:sz w:val="24"/>
          <w:szCs w:val="24"/>
        </w:rPr>
      </w:pPr>
      <w:r>
        <w:rPr>
          <w:rFonts w:ascii="黑体" w:eastAsia="黑体" w:hAnsi="黑体"/>
          <w:sz w:val="24"/>
          <w:szCs w:val="24"/>
        </w:rPr>
        <w:t>表</w:t>
      </w:r>
      <w:r>
        <w:rPr>
          <w:rFonts w:ascii="黑体" w:eastAsia="黑体" w:hAnsi="黑体"/>
          <w:sz w:val="24"/>
          <w:szCs w:val="24"/>
        </w:rPr>
        <w:t xml:space="preserve">A-1  </w:t>
      </w:r>
      <w:r>
        <w:rPr>
          <w:rFonts w:ascii="黑体" w:eastAsia="黑体" w:hAnsi="黑体"/>
          <w:sz w:val="24"/>
          <w:szCs w:val="24"/>
        </w:rPr>
        <w:t>隧道运营期降雨量对隧道的风险分级标准</w:t>
      </w:r>
    </w:p>
    <w:tbl>
      <w:tblPr>
        <w:tblW w:w="512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52"/>
        <w:gridCol w:w="1452"/>
        <w:gridCol w:w="1451"/>
        <w:gridCol w:w="1451"/>
        <w:gridCol w:w="1451"/>
        <w:gridCol w:w="1451"/>
      </w:tblGrid>
      <w:tr w:rsidR="0073700B">
        <w:trPr>
          <w:trHeight w:val="516"/>
          <w:jc w:val="center"/>
        </w:trPr>
        <w:tc>
          <w:tcPr>
            <w:tcW w:w="833" w:type="pct"/>
            <w:tcBorders>
              <w:top w:val="single" w:sz="8"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等级</w:t>
            </w:r>
          </w:p>
        </w:tc>
        <w:tc>
          <w:tcPr>
            <w:tcW w:w="833" w:type="pct"/>
            <w:tcBorders>
              <w:top w:val="single" w:sz="8"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宋体" w:hAnsi="宋体" w:cs="宋体" w:hint="eastAsia"/>
                <w:bCs/>
                <w:color w:val="000000"/>
              </w:rPr>
              <w:t>Ⅰ</w:t>
            </w:r>
            <w:r>
              <w:rPr>
                <w:rFonts w:ascii="Times New Roman" w:hAnsi="Times New Roman"/>
                <w:bCs/>
                <w:color w:val="000000"/>
              </w:rPr>
              <w:t>级</w:t>
            </w:r>
          </w:p>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（轻微）</w:t>
            </w:r>
          </w:p>
        </w:tc>
        <w:tc>
          <w:tcPr>
            <w:tcW w:w="833" w:type="pct"/>
            <w:tcBorders>
              <w:top w:val="single" w:sz="8" w:space="0" w:color="auto"/>
              <w:bottom w:val="single" w:sz="8" w:space="0" w:color="auto"/>
            </w:tcBorders>
            <w:vAlign w:val="center"/>
          </w:tcPr>
          <w:p w:rsidR="0073700B" w:rsidRDefault="001A2FFC">
            <w:pPr>
              <w:pStyle w:val="af8"/>
              <w:ind w:firstLineChars="0" w:firstLine="0"/>
              <w:jc w:val="center"/>
              <w:rPr>
                <w:rFonts w:ascii="Times New Roman" w:hAnsi="Times New Roman"/>
                <w:bCs/>
                <w:color w:val="000000"/>
              </w:rPr>
            </w:pPr>
            <w:r>
              <w:rPr>
                <w:rFonts w:ascii="宋体" w:hAnsi="宋体" w:cs="宋体" w:hint="eastAsia"/>
                <w:bCs/>
                <w:color w:val="000000"/>
              </w:rPr>
              <w:t>Ⅱ</w:t>
            </w:r>
            <w:r>
              <w:rPr>
                <w:rFonts w:ascii="Times New Roman" w:hAnsi="Times New Roman"/>
                <w:bCs/>
                <w:color w:val="000000"/>
              </w:rPr>
              <w:t>级</w:t>
            </w:r>
          </w:p>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（较轻微）</w:t>
            </w:r>
          </w:p>
        </w:tc>
        <w:tc>
          <w:tcPr>
            <w:tcW w:w="833" w:type="pct"/>
            <w:tcBorders>
              <w:top w:val="single" w:sz="8" w:space="0" w:color="auto"/>
              <w:bottom w:val="single" w:sz="8" w:space="0" w:color="auto"/>
            </w:tcBorders>
            <w:vAlign w:val="center"/>
          </w:tcPr>
          <w:p w:rsidR="0073700B" w:rsidRDefault="001A2FFC">
            <w:pPr>
              <w:pStyle w:val="af8"/>
              <w:ind w:firstLineChars="0" w:firstLine="0"/>
              <w:jc w:val="center"/>
              <w:rPr>
                <w:rFonts w:ascii="Times New Roman" w:hAnsi="Times New Roman"/>
                <w:bCs/>
                <w:color w:val="000000"/>
              </w:rPr>
            </w:pPr>
            <w:r>
              <w:rPr>
                <w:rFonts w:ascii="宋体" w:hAnsi="宋体" w:cs="宋体" w:hint="eastAsia"/>
                <w:bCs/>
                <w:color w:val="000000"/>
              </w:rPr>
              <w:t>Ⅲ</w:t>
            </w:r>
            <w:r>
              <w:rPr>
                <w:rFonts w:ascii="Times New Roman" w:hAnsi="Times New Roman"/>
                <w:bCs/>
                <w:color w:val="000000"/>
              </w:rPr>
              <w:t>级</w:t>
            </w:r>
          </w:p>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（中度）</w:t>
            </w:r>
          </w:p>
        </w:tc>
        <w:tc>
          <w:tcPr>
            <w:tcW w:w="833" w:type="pct"/>
            <w:tcBorders>
              <w:top w:val="single" w:sz="8" w:space="0" w:color="auto"/>
              <w:bottom w:val="single" w:sz="8" w:space="0" w:color="auto"/>
            </w:tcBorders>
            <w:vAlign w:val="center"/>
          </w:tcPr>
          <w:p w:rsidR="0073700B" w:rsidRDefault="001A2FFC">
            <w:pPr>
              <w:pStyle w:val="af8"/>
              <w:ind w:firstLineChars="0" w:firstLine="0"/>
              <w:jc w:val="center"/>
              <w:rPr>
                <w:rFonts w:ascii="Times New Roman" w:hAnsi="Times New Roman"/>
                <w:bCs/>
                <w:color w:val="000000"/>
              </w:rPr>
            </w:pPr>
            <w:r>
              <w:rPr>
                <w:rFonts w:ascii="宋体" w:hAnsi="宋体" w:cs="宋体" w:hint="eastAsia"/>
                <w:bCs/>
                <w:color w:val="000000"/>
              </w:rPr>
              <w:t>Ⅳ</w:t>
            </w:r>
            <w:r>
              <w:rPr>
                <w:rFonts w:ascii="Times New Roman" w:hAnsi="Times New Roman"/>
                <w:bCs/>
                <w:color w:val="000000"/>
              </w:rPr>
              <w:t>级</w:t>
            </w:r>
          </w:p>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（较严重）</w:t>
            </w:r>
          </w:p>
        </w:tc>
        <w:tc>
          <w:tcPr>
            <w:tcW w:w="833" w:type="pct"/>
            <w:tcBorders>
              <w:top w:val="single" w:sz="8"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宋体" w:hAnsi="宋体" w:cs="宋体" w:hint="eastAsia"/>
                <w:bCs/>
                <w:color w:val="000000"/>
              </w:rPr>
              <w:t>Ⅴ</w:t>
            </w:r>
            <w:r>
              <w:rPr>
                <w:rFonts w:ascii="Times New Roman" w:hAnsi="Times New Roman"/>
                <w:bCs/>
                <w:color w:val="000000"/>
              </w:rPr>
              <w:t>级</w:t>
            </w:r>
          </w:p>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（严重）</w:t>
            </w:r>
          </w:p>
        </w:tc>
      </w:tr>
      <w:tr w:rsidR="0073700B">
        <w:trPr>
          <w:trHeight w:val="543"/>
          <w:jc w:val="center"/>
        </w:trPr>
        <w:tc>
          <w:tcPr>
            <w:tcW w:w="833" w:type="pct"/>
            <w:tcBorders>
              <w:top w:val="single" w:sz="8"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降雨量</w:t>
            </w:r>
            <w:r>
              <w:rPr>
                <w:rFonts w:ascii="Times New Roman" w:hAnsi="Times New Roman"/>
                <w:bCs/>
                <w:color w:val="000000"/>
              </w:rPr>
              <w:t>/mm</w:t>
            </w:r>
          </w:p>
        </w:tc>
        <w:tc>
          <w:tcPr>
            <w:tcW w:w="833" w:type="pct"/>
            <w:tcBorders>
              <w:top w:val="single" w:sz="8"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&lt;200</w:t>
            </w:r>
          </w:p>
        </w:tc>
        <w:tc>
          <w:tcPr>
            <w:tcW w:w="833" w:type="pct"/>
            <w:tcBorders>
              <w:top w:val="single" w:sz="8" w:space="0" w:color="auto"/>
              <w:bottom w:val="single" w:sz="8" w:space="0" w:color="auto"/>
            </w:tcBorders>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200~400</w:t>
            </w:r>
          </w:p>
        </w:tc>
        <w:tc>
          <w:tcPr>
            <w:tcW w:w="833" w:type="pct"/>
            <w:tcBorders>
              <w:top w:val="single" w:sz="8" w:space="0" w:color="auto"/>
              <w:bottom w:val="single" w:sz="8" w:space="0" w:color="auto"/>
            </w:tcBorders>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400~800</w:t>
            </w:r>
          </w:p>
        </w:tc>
        <w:tc>
          <w:tcPr>
            <w:tcW w:w="833" w:type="pct"/>
            <w:tcBorders>
              <w:top w:val="single" w:sz="8" w:space="0" w:color="auto"/>
              <w:bottom w:val="single" w:sz="8" w:space="0" w:color="auto"/>
            </w:tcBorders>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800~1600</w:t>
            </w:r>
          </w:p>
        </w:tc>
        <w:tc>
          <w:tcPr>
            <w:tcW w:w="833" w:type="pct"/>
            <w:tcBorders>
              <w:top w:val="single" w:sz="8" w:space="0" w:color="auto"/>
              <w:bottom w:val="single" w:sz="8" w:space="0" w:color="auto"/>
            </w:tcBorders>
            <w:shd w:val="clear" w:color="auto" w:fill="auto"/>
            <w:vAlign w:val="center"/>
          </w:tcPr>
          <w:p w:rsidR="0073700B" w:rsidRDefault="001A2FFC">
            <w:pPr>
              <w:pStyle w:val="af8"/>
              <w:ind w:firstLineChars="0" w:firstLine="0"/>
              <w:jc w:val="center"/>
              <w:rPr>
                <w:rFonts w:ascii="Times New Roman" w:hAnsi="Times New Roman"/>
                <w:bCs/>
                <w:color w:val="000000"/>
              </w:rPr>
            </w:pPr>
            <w:r>
              <w:rPr>
                <w:rFonts w:ascii="Times New Roman" w:hAnsi="Times New Roman"/>
                <w:bCs/>
                <w:color w:val="000000"/>
              </w:rPr>
              <w:t>&gt;1600</w:t>
            </w:r>
          </w:p>
        </w:tc>
      </w:tr>
    </w:tbl>
    <w:p w:rsidR="0073700B" w:rsidRDefault="001A2FFC">
      <w:pPr>
        <w:pStyle w:val="3"/>
        <w:numPr>
          <w:ilvl w:val="0"/>
          <w:numId w:val="0"/>
        </w:numPr>
        <w:ind w:left="426"/>
        <w:rPr>
          <w:b/>
          <w:bCs w:val="0"/>
        </w:rPr>
      </w:pPr>
      <w:r>
        <w:rPr>
          <w:b/>
          <w:bCs w:val="0"/>
        </w:rPr>
        <w:t xml:space="preserve">10. </w:t>
      </w:r>
      <w:r>
        <w:rPr>
          <w:b/>
          <w:bCs w:val="0"/>
        </w:rPr>
        <w:t>附录</w:t>
      </w:r>
      <w:r>
        <w:rPr>
          <w:b/>
          <w:bCs w:val="0"/>
        </w:rPr>
        <w:t>A.2</w:t>
      </w:r>
      <w:r>
        <w:rPr>
          <w:b/>
          <w:bCs w:val="0"/>
        </w:rPr>
        <w:t>（资料性附录）隧道施工前坍塌风险事件可能性评估指标体系</w:t>
      </w:r>
    </w:p>
    <w:p w:rsidR="0073700B" w:rsidRDefault="001A2FFC" w:rsidP="00F80BAC">
      <w:pPr>
        <w:pStyle w:val="af7"/>
        <w:spacing w:beforeLines="50" w:before="156" w:line="360" w:lineRule="auto"/>
        <w:ind w:firstLine="480"/>
        <w:rPr>
          <w:rFonts w:ascii="Times New Roman"/>
          <w:bCs/>
          <w:sz w:val="24"/>
          <w:szCs w:val="24"/>
        </w:rPr>
      </w:pPr>
      <w:r>
        <w:rPr>
          <w:rFonts w:ascii="Times New Roman"/>
          <w:bCs/>
          <w:sz w:val="24"/>
          <w:szCs w:val="24"/>
        </w:rPr>
        <w:t>根据前期对现行指南的研究成果和专家意见，从隧道建设规模、地形特征、地质条件、水文地质条件等四个方面建立施工前坍塌</w:t>
      </w:r>
      <w:r>
        <w:rPr>
          <w:rFonts w:ascii="Times New Roman"/>
          <w:bCs/>
          <w:sz w:val="24"/>
        </w:rPr>
        <w:t>风险事件</w:t>
      </w:r>
      <w:r>
        <w:rPr>
          <w:rFonts w:ascii="Times New Roman"/>
          <w:bCs/>
          <w:sz w:val="24"/>
          <w:szCs w:val="24"/>
        </w:rPr>
        <w:t>可能性评估指标体系。其中建设规模包含了隧道开挖跨度指标，地形特征包含了浅埋隧道偏压角度等指标，地质条件包含了围岩级别</w:t>
      </w:r>
      <w:r>
        <w:rPr>
          <w:rFonts w:ascii="Times New Roman"/>
          <w:bCs/>
          <w:sz w:val="24"/>
          <w:szCs w:val="24"/>
        </w:rPr>
        <w:t>([BQ]</w:t>
      </w:r>
      <w:r>
        <w:rPr>
          <w:rFonts w:ascii="Times New Roman"/>
          <w:bCs/>
          <w:sz w:val="24"/>
          <w:szCs w:val="24"/>
        </w:rPr>
        <w:t>值</w:t>
      </w:r>
      <w:r>
        <w:rPr>
          <w:rFonts w:ascii="Times New Roman"/>
          <w:bCs/>
          <w:sz w:val="24"/>
          <w:szCs w:val="24"/>
        </w:rPr>
        <w:t>)</w:t>
      </w:r>
      <w:r>
        <w:rPr>
          <w:rFonts w:ascii="Times New Roman"/>
          <w:bCs/>
          <w:sz w:val="24"/>
          <w:szCs w:val="24"/>
        </w:rPr>
        <w:t>、断层破碎带宽度、优势结构面倾角等指标，水文地质条件包含了隧道预测涌水量指标。</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w:t>
      </w:r>
      <w:r>
        <w:rPr>
          <w:rFonts w:ascii="Times New Roman" w:hint="eastAsia"/>
          <w:bCs/>
          <w:sz w:val="24"/>
          <w:szCs w:val="24"/>
        </w:rPr>
        <w:t>）</w:t>
      </w:r>
      <w:r>
        <w:rPr>
          <w:rFonts w:ascii="Times New Roman"/>
          <w:bCs/>
          <w:sz w:val="24"/>
          <w:szCs w:val="24"/>
        </w:rPr>
        <w:t>隧道开挖跨度</w:t>
      </w:r>
      <w:r>
        <w:rPr>
          <w:rFonts w:ascii="Times New Roman"/>
          <w:bCs/>
          <w:i/>
          <w:iCs/>
          <w:sz w:val="24"/>
          <w:szCs w:val="24"/>
        </w:rPr>
        <w:t>X</w:t>
      </w:r>
      <w:r>
        <w:rPr>
          <w:rFonts w:ascii="Times New Roman"/>
          <w:bCs/>
          <w:sz w:val="24"/>
          <w:szCs w:val="24"/>
          <w:vertAlign w:val="subscript"/>
        </w:rPr>
        <w:t>11</w:t>
      </w:r>
      <w:r>
        <w:rPr>
          <w:rFonts w:ascii="Times New Roman"/>
          <w:bCs/>
          <w:sz w:val="24"/>
          <w:szCs w:val="24"/>
        </w:rPr>
        <w:t>，参考《公路隧道施工技术细则》（</w:t>
      </w:r>
      <w:r>
        <w:rPr>
          <w:rFonts w:ascii="Times New Roman"/>
          <w:bCs/>
          <w:sz w:val="24"/>
          <w:szCs w:val="24"/>
        </w:rPr>
        <w:t>JTG/T F60-2009</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NE.Ref.{243AC4E7-9006-4B39-B2DA-A29A476E8</w:instrText>
      </w:r>
      <w:r>
        <w:rPr>
          <w:rFonts w:ascii="Times New Roman"/>
          <w:bCs/>
          <w:sz w:val="24"/>
          <w:szCs w:val="24"/>
        </w:rPr>
        <w:instrText>E41}</w:instrText>
      </w:r>
      <w:r>
        <w:rPr>
          <w:rFonts w:ascii="Times New Roman"/>
          <w:bCs/>
          <w:sz w:val="24"/>
          <w:szCs w:val="24"/>
        </w:rPr>
        <w:fldChar w:fldCharType="separate"/>
      </w:r>
      <w:r>
        <w:rPr>
          <w:rFonts w:ascii="Times New Roman"/>
          <w:color w:val="080000"/>
          <w:sz w:val="24"/>
          <w:szCs w:val="24"/>
          <w:vertAlign w:val="superscript"/>
        </w:rPr>
        <w:t>[14]</w:t>
      </w:r>
      <w:r>
        <w:rPr>
          <w:rFonts w:ascii="Times New Roman"/>
          <w:bCs/>
          <w:sz w:val="24"/>
          <w:szCs w:val="24"/>
        </w:rPr>
        <w:fldChar w:fldCharType="end"/>
      </w:r>
      <w:r>
        <w:rPr>
          <w:rFonts w:ascii="Times New Roman"/>
          <w:bCs/>
          <w:sz w:val="24"/>
          <w:szCs w:val="24"/>
        </w:rPr>
        <w:t>，按开挖宽度可将隧道划分为小跨度隧道、中跨度隧道、大跨度隧道、超大跨度隧道，开挖宽度越大，隧道断面开挖持续时间较长，支护结构难以快速封闭成环，安全性问题越突出。</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2</w:t>
      </w:r>
      <w:r>
        <w:rPr>
          <w:rFonts w:ascii="Times New Roman" w:hint="eastAsia"/>
          <w:bCs/>
          <w:sz w:val="24"/>
          <w:szCs w:val="24"/>
        </w:rPr>
        <w:t>）</w:t>
      </w:r>
      <w:r>
        <w:rPr>
          <w:rFonts w:ascii="Times New Roman"/>
          <w:bCs/>
          <w:sz w:val="24"/>
          <w:szCs w:val="24"/>
        </w:rPr>
        <w:t>浅埋隧道偏压角度</w:t>
      </w:r>
      <w:r>
        <w:rPr>
          <w:rFonts w:ascii="Times New Roman"/>
          <w:bCs/>
          <w:i/>
          <w:iCs/>
          <w:sz w:val="24"/>
          <w:szCs w:val="24"/>
        </w:rPr>
        <w:t>X</w:t>
      </w:r>
      <w:r>
        <w:rPr>
          <w:rFonts w:ascii="Times New Roman"/>
          <w:bCs/>
          <w:sz w:val="24"/>
          <w:szCs w:val="24"/>
          <w:vertAlign w:val="subscript"/>
        </w:rPr>
        <w:t>21</w:t>
      </w:r>
      <w:r>
        <w:rPr>
          <w:rFonts w:ascii="Times New Roman"/>
          <w:bCs/>
          <w:sz w:val="24"/>
          <w:szCs w:val="24"/>
        </w:rPr>
        <w:t>，</w:t>
      </w:r>
      <w:r>
        <w:rPr>
          <w:rFonts w:ascii="Times New Roman"/>
          <w:bCs/>
          <w:sz w:val="24"/>
        </w:rPr>
        <w:t>是指垂直于隧道洞口的横剖面与地面的交线同水平面的夹角。参考《铁路隧道设计规范》（</w:t>
      </w:r>
      <w:r>
        <w:rPr>
          <w:rFonts w:ascii="Times New Roman"/>
          <w:bCs/>
          <w:sz w:val="24"/>
        </w:rPr>
        <w:t>JB 10003-2016</w:t>
      </w:r>
      <w:r>
        <w:rPr>
          <w:rFonts w:ascii="Times New Roman"/>
          <w:bCs/>
          <w:sz w:val="24"/>
        </w:rPr>
        <w:t>）</w:t>
      </w:r>
      <w:r>
        <w:rPr>
          <w:rFonts w:ascii="Times New Roman"/>
          <w:bCs/>
          <w:sz w:val="24"/>
        </w:rPr>
        <w:fldChar w:fldCharType="begin"/>
      </w:r>
      <w:r>
        <w:rPr>
          <w:rFonts w:ascii="Times New Roman"/>
          <w:bCs/>
          <w:sz w:val="24"/>
        </w:rPr>
        <w:instrText xml:space="preserve"> ADDIN NE.Ref.{79E23D28-9590-4913-83DD-0850445FCA16}</w:instrText>
      </w:r>
      <w:r>
        <w:rPr>
          <w:rFonts w:ascii="Times New Roman"/>
          <w:bCs/>
          <w:sz w:val="24"/>
        </w:rPr>
        <w:fldChar w:fldCharType="separate"/>
      </w:r>
      <w:r>
        <w:rPr>
          <w:rFonts w:ascii="Times New Roman"/>
          <w:color w:val="080000"/>
          <w:sz w:val="24"/>
          <w:szCs w:val="24"/>
          <w:vertAlign w:val="superscript"/>
        </w:rPr>
        <w:t>[15]</w:t>
      </w:r>
      <w:r>
        <w:rPr>
          <w:rFonts w:ascii="Times New Roman"/>
          <w:bCs/>
          <w:sz w:val="24"/>
        </w:rPr>
        <w:fldChar w:fldCharType="end"/>
      </w:r>
      <w:r>
        <w:rPr>
          <w:rFonts w:ascii="Times New Roman"/>
          <w:bCs/>
          <w:sz w:val="24"/>
        </w:rPr>
        <w:t>，大多数偏压隧道处于洞口段与浅埋段，地形因素造成的偏压对隧道洞口浅埋段的稳定性影响特别大，本标准以岩层倾角表示偏压情况，倾角越大，则发生洞口失稳、塌方等事故的可能性就越大</w:t>
      </w:r>
      <w:r>
        <w:rPr>
          <w:rFonts w:ascii="Times New Roman"/>
          <w:bCs/>
          <w:sz w:val="24"/>
        </w:rPr>
        <w:fldChar w:fldCharType="begin"/>
      </w:r>
      <w:r>
        <w:rPr>
          <w:rFonts w:ascii="Times New Roman"/>
          <w:bCs/>
          <w:sz w:val="24"/>
        </w:rPr>
        <w:instrText xml:space="preserve"> ADDIN NE.Ref.{FD690BC2-1259-4B4C-8BEF-0E3A8A0B8FE3}</w:instrText>
      </w:r>
      <w:r>
        <w:rPr>
          <w:rFonts w:ascii="Times New Roman"/>
          <w:bCs/>
          <w:sz w:val="24"/>
        </w:rPr>
        <w:fldChar w:fldCharType="separate"/>
      </w:r>
      <w:r>
        <w:rPr>
          <w:rFonts w:ascii="Times New Roman"/>
          <w:color w:val="080000"/>
          <w:sz w:val="24"/>
          <w:szCs w:val="24"/>
          <w:vertAlign w:val="superscript"/>
        </w:rPr>
        <w:t>[16, 35]</w:t>
      </w:r>
      <w:r>
        <w:rPr>
          <w:rFonts w:ascii="Times New Roman"/>
          <w:bCs/>
          <w:sz w:val="24"/>
        </w:rPr>
        <w:fldChar w:fldCharType="end"/>
      </w:r>
      <w:r>
        <w:rPr>
          <w:rFonts w:ascii="Times New Roman"/>
          <w:bCs/>
          <w:sz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3</w:t>
      </w:r>
      <w:r>
        <w:rPr>
          <w:rFonts w:ascii="Times New Roman" w:hint="eastAsia"/>
          <w:bCs/>
          <w:sz w:val="24"/>
          <w:szCs w:val="24"/>
        </w:rPr>
        <w:t>）</w:t>
      </w:r>
      <w:r>
        <w:rPr>
          <w:rFonts w:ascii="Times New Roman"/>
          <w:bCs/>
          <w:sz w:val="24"/>
          <w:szCs w:val="24"/>
        </w:rPr>
        <w:t>围岩级别</w:t>
      </w:r>
      <w:r>
        <w:rPr>
          <w:rFonts w:ascii="Times New Roman"/>
          <w:bCs/>
          <w:sz w:val="24"/>
          <w:szCs w:val="24"/>
        </w:rPr>
        <w:t>([BQ]</w:t>
      </w:r>
      <w:r>
        <w:rPr>
          <w:rFonts w:ascii="Times New Roman"/>
          <w:bCs/>
          <w:sz w:val="24"/>
          <w:szCs w:val="24"/>
        </w:rPr>
        <w:t>值</w:t>
      </w:r>
      <w:r>
        <w:rPr>
          <w:rFonts w:ascii="Times New Roman"/>
          <w:bCs/>
          <w:sz w:val="24"/>
          <w:szCs w:val="24"/>
        </w:rPr>
        <w:t>)</w:t>
      </w:r>
      <w:r>
        <w:rPr>
          <w:rFonts w:ascii="Times New Roman"/>
          <w:bCs/>
          <w:i/>
          <w:iCs/>
          <w:sz w:val="24"/>
          <w:szCs w:val="24"/>
        </w:rPr>
        <w:t>X</w:t>
      </w:r>
      <w:r>
        <w:rPr>
          <w:rFonts w:ascii="Times New Roman"/>
          <w:bCs/>
          <w:sz w:val="24"/>
          <w:szCs w:val="24"/>
          <w:vertAlign w:val="subscript"/>
        </w:rPr>
        <w:t>31</w:t>
      </w:r>
      <w:r>
        <w:rPr>
          <w:rFonts w:ascii="Times New Roman"/>
          <w:bCs/>
          <w:sz w:val="24"/>
          <w:szCs w:val="24"/>
        </w:rPr>
        <w:t>，参考《工程岩体分级标准》（</w:t>
      </w:r>
      <w:r>
        <w:rPr>
          <w:rFonts w:ascii="Times New Roman"/>
          <w:bCs/>
          <w:sz w:val="24"/>
          <w:szCs w:val="24"/>
        </w:rPr>
        <w:t>GB/T 50218-2014</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NE.Ref.{3A9983EE-5D23-4EAE-B5BD-2F6F8E08AEEA}</w:instrText>
      </w:r>
      <w:r>
        <w:rPr>
          <w:rFonts w:ascii="Times New Roman"/>
          <w:bCs/>
          <w:sz w:val="24"/>
          <w:szCs w:val="24"/>
        </w:rPr>
        <w:fldChar w:fldCharType="separate"/>
      </w:r>
      <w:r>
        <w:rPr>
          <w:rFonts w:ascii="Times New Roman"/>
          <w:color w:val="080000"/>
          <w:sz w:val="24"/>
          <w:szCs w:val="24"/>
          <w:vertAlign w:val="superscript"/>
        </w:rPr>
        <w:t>[11]</w:t>
      </w:r>
      <w:r>
        <w:rPr>
          <w:rFonts w:ascii="Times New Roman"/>
          <w:bCs/>
          <w:sz w:val="24"/>
          <w:szCs w:val="24"/>
        </w:rPr>
        <w:fldChar w:fldCharType="end"/>
      </w:r>
      <w:r>
        <w:rPr>
          <w:rFonts w:ascii="Times New Roman"/>
          <w:bCs/>
          <w:sz w:val="24"/>
          <w:szCs w:val="24"/>
        </w:rPr>
        <w:t>，围岩级别越低，则围岩质量越差，围岩自稳能力越差，对应的坍塌风险越</w:t>
      </w:r>
      <w:r>
        <w:rPr>
          <w:rFonts w:ascii="Times New Roman"/>
          <w:bCs/>
          <w:sz w:val="24"/>
          <w:szCs w:val="24"/>
        </w:rPr>
        <w:lastRenderedPageBreak/>
        <w:t>大，对施工作业条件的要求也越高。评估过程中，同一施工区段内围岩级别不一的情况下，应取低值。</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4</w:t>
      </w:r>
      <w:r>
        <w:rPr>
          <w:rFonts w:ascii="Times New Roman" w:hint="eastAsia"/>
          <w:bCs/>
          <w:sz w:val="24"/>
          <w:szCs w:val="24"/>
        </w:rPr>
        <w:t>）</w:t>
      </w:r>
      <w:r>
        <w:rPr>
          <w:rFonts w:ascii="Times New Roman"/>
          <w:bCs/>
          <w:sz w:val="24"/>
          <w:szCs w:val="24"/>
        </w:rPr>
        <w:t>断层破碎带宽度</w:t>
      </w:r>
      <w:r>
        <w:rPr>
          <w:rFonts w:ascii="Times New Roman"/>
          <w:bCs/>
          <w:i/>
          <w:iCs/>
          <w:sz w:val="24"/>
          <w:szCs w:val="24"/>
        </w:rPr>
        <w:t>X</w:t>
      </w:r>
      <w:r>
        <w:rPr>
          <w:rFonts w:ascii="Times New Roman"/>
          <w:bCs/>
          <w:sz w:val="24"/>
          <w:szCs w:val="24"/>
          <w:vertAlign w:val="subscript"/>
        </w:rPr>
        <w:t>32</w:t>
      </w:r>
      <w:r>
        <w:rPr>
          <w:rFonts w:ascii="Times New Roman"/>
          <w:bCs/>
          <w:sz w:val="24"/>
          <w:szCs w:val="24"/>
        </w:rPr>
        <w:t>，</w:t>
      </w:r>
      <w:r>
        <w:rPr>
          <w:rFonts w:ascii="Times New Roman"/>
          <w:bCs/>
          <w:sz w:val="24"/>
          <w:szCs w:val="21"/>
        </w:rPr>
        <w:t>参考《工程岩体分级标准》（</w:t>
      </w:r>
      <w:r>
        <w:rPr>
          <w:rFonts w:ascii="Times New Roman"/>
          <w:bCs/>
          <w:sz w:val="24"/>
          <w:szCs w:val="21"/>
        </w:rPr>
        <w:t>GB/T 50218-2014</w:t>
      </w:r>
      <w:r>
        <w:rPr>
          <w:rFonts w:ascii="Times New Roman"/>
          <w:bCs/>
          <w:sz w:val="24"/>
          <w:szCs w:val="21"/>
        </w:rPr>
        <w:t>）</w:t>
      </w:r>
      <w:r>
        <w:rPr>
          <w:rFonts w:ascii="Times New Roman"/>
          <w:bCs/>
          <w:sz w:val="24"/>
          <w:szCs w:val="21"/>
        </w:rPr>
        <w:fldChar w:fldCharType="begin"/>
      </w:r>
      <w:r>
        <w:rPr>
          <w:rFonts w:ascii="Times New Roman"/>
          <w:bCs/>
          <w:sz w:val="24"/>
          <w:szCs w:val="21"/>
        </w:rPr>
        <w:instrText xml:space="preserve"> ADDIN NE.Ref.{CFD492E0-96BF-4FB9-AA20-11B099B902BB}</w:instrText>
      </w:r>
      <w:r>
        <w:rPr>
          <w:rFonts w:ascii="Times New Roman"/>
          <w:bCs/>
          <w:sz w:val="24"/>
          <w:szCs w:val="21"/>
        </w:rPr>
        <w:fldChar w:fldCharType="separate"/>
      </w:r>
      <w:r>
        <w:rPr>
          <w:rFonts w:ascii="Times New Roman"/>
          <w:color w:val="080000"/>
          <w:sz w:val="24"/>
          <w:szCs w:val="24"/>
          <w:vertAlign w:val="superscript"/>
        </w:rPr>
        <w:t>[11]</w:t>
      </w:r>
      <w:r>
        <w:rPr>
          <w:rFonts w:ascii="Times New Roman"/>
          <w:bCs/>
          <w:sz w:val="24"/>
          <w:szCs w:val="21"/>
        </w:rPr>
        <w:fldChar w:fldCharType="end"/>
      </w:r>
      <w:r>
        <w:rPr>
          <w:rFonts w:ascii="Times New Roman"/>
          <w:bCs/>
          <w:sz w:val="24"/>
          <w:szCs w:val="21"/>
        </w:rPr>
        <w:t>，一般而言，断层及其影响带内岩体往往较为破碎，且围岩等级较低，是地表水、地下水流动的天然通道，是引发坍塌的主要因素之一。本标准根据断层破碎带的宽度分类</w:t>
      </w:r>
      <w:r>
        <w:rPr>
          <w:rFonts w:ascii="Times New Roman"/>
          <w:bCs/>
          <w:sz w:val="24"/>
          <w:szCs w:val="21"/>
        </w:rPr>
        <w:t>，宽度越大，则在断层破碎带及其影响带的施工周期越长，隧道坍塌的风险越高。</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5</w:t>
      </w:r>
      <w:r>
        <w:rPr>
          <w:rFonts w:ascii="Times New Roman" w:hint="eastAsia"/>
          <w:bCs/>
          <w:sz w:val="24"/>
          <w:szCs w:val="24"/>
        </w:rPr>
        <w:t>）</w:t>
      </w:r>
      <w:r>
        <w:rPr>
          <w:rFonts w:ascii="Times New Roman"/>
          <w:bCs/>
          <w:sz w:val="24"/>
          <w:szCs w:val="24"/>
        </w:rPr>
        <w:t>优势结构面倾角</w:t>
      </w:r>
      <w:r>
        <w:rPr>
          <w:rFonts w:ascii="Times New Roman"/>
          <w:bCs/>
          <w:i/>
          <w:iCs/>
          <w:sz w:val="24"/>
          <w:szCs w:val="24"/>
        </w:rPr>
        <w:t>X</w:t>
      </w:r>
      <w:r>
        <w:rPr>
          <w:rFonts w:ascii="Times New Roman"/>
          <w:bCs/>
          <w:sz w:val="24"/>
          <w:szCs w:val="24"/>
          <w:vertAlign w:val="subscript"/>
        </w:rPr>
        <w:t>33</w:t>
      </w:r>
      <w:r>
        <w:rPr>
          <w:rFonts w:ascii="Times New Roman"/>
          <w:bCs/>
          <w:sz w:val="24"/>
          <w:szCs w:val="24"/>
        </w:rPr>
        <w:t>，</w:t>
      </w:r>
      <w:r>
        <w:rPr>
          <w:rFonts w:ascii="Times New Roman"/>
          <w:bCs/>
          <w:sz w:val="24"/>
        </w:rPr>
        <w:t>其概念来源于岩体结构控制理论。该理论认为岩石并非完整的，</w:t>
      </w:r>
      <w:r>
        <w:rPr>
          <w:rFonts w:ascii="Times New Roman"/>
          <w:bCs/>
          <w:sz w:val="24"/>
          <w:szCs w:val="24"/>
        </w:rPr>
        <w:t>它被各种各样的结构面切割，这些结构面包括节理面、断层面、劈理面、软弱层等。优势结构面就是在上述各种结构面中按一定的优势指标找出对相应区域稳定性有控制作用的的结构面，优势指标可以是时间、性质、数量、规模和分形等</w:t>
      </w:r>
      <w:r>
        <w:rPr>
          <w:rFonts w:ascii="Times New Roman"/>
          <w:bCs/>
          <w:sz w:val="24"/>
          <w:szCs w:val="24"/>
        </w:rPr>
        <w:fldChar w:fldCharType="begin"/>
      </w:r>
      <w:r>
        <w:rPr>
          <w:rFonts w:ascii="Times New Roman"/>
          <w:bCs/>
          <w:sz w:val="24"/>
          <w:szCs w:val="24"/>
        </w:rPr>
        <w:instrText xml:space="preserve"> ADDIN NE.Ref.{79957181-BC7D-4949-BE78-E3797B485EE6}</w:instrText>
      </w:r>
      <w:r>
        <w:rPr>
          <w:rFonts w:ascii="Times New Roman"/>
          <w:bCs/>
          <w:sz w:val="24"/>
          <w:szCs w:val="24"/>
        </w:rPr>
        <w:fldChar w:fldCharType="separate"/>
      </w:r>
      <w:r>
        <w:rPr>
          <w:rFonts w:ascii="Times New Roman"/>
          <w:color w:val="080000"/>
          <w:sz w:val="24"/>
          <w:szCs w:val="24"/>
          <w:vertAlign w:val="superscript"/>
        </w:rPr>
        <w:t>[36-38]</w:t>
      </w:r>
      <w:r>
        <w:rPr>
          <w:rFonts w:ascii="Times New Roman"/>
          <w:bCs/>
          <w:sz w:val="24"/>
          <w:szCs w:val="24"/>
        </w:rPr>
        <w:fldChar w:fldCharType="end"/>
      </w:r>
      <w:r>
        <w:rPr>
          <w:rFonts w:ascii="Times New Roman"/>
          <w:bCs/>
          <w:sz w:val="24"/>
          <w:szCs w:val="24"/>
        </w:rPr>
        <w:t>。参考《铁路隧道设计规</w:t>
      </w:r>
      <w:r>
        <w:rPr>
          <w:rFonts w:ascii="Times New Roman"/>
          <w:bCs/>
          <w:sz w:val="24"/>
          <w:szCs w:val="24"/>
        </w:rPr>
        <w:t>范》（</w:t>
      </w:r>
      <w:r>
        <w:rPr>
          <w:rFonts w:ascii="Times New Roman"/>
          <w:bCs/>
          <w:sz w:val="24"/>
          <w:szCs w:val="24"/>
        </w:rPr>
        <w:t>TB 10003-2016</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NE.Ref.{05E09D17-DB5E-4E0F-A122-738CA3933E2F}</w:instrText>
      </w:r>
      <w:r>
        <w:rPr>
          <w:rFonts w:ascii="Times New Roman"/>
          <w:bCs/>
          <w:sz w:val="24"/>
          <w:szCs w:val="24"/>
        </w:rPr>
        <w:fldChar w:fldCharType="separate"/>
      </w:r>
      <w:r>
        <w:rPr>
          <w:rFonts w:ascii="Times New Roman"/>
          <w:color w:val="080000"/>
          <w:sz w:val="24"/>
          <w:szCs w:val="24"/>
          <w:vertAlign w:val="superscript"/>
        </w:rPr>
        <w:t>[15]</w:t>
      </w:r>
      <w:r>
        <w:rPr>
          <w:rFonts w:ascii="Times New Roman"/>
          <w:bCs/>
          <w:sz w:val="24"/>
          <w:szCs w:val="24"/>
        </w:rPr>
        <w:fldChar w:fldCharType="end"/>
      </w:r>
      <w:r>
        <w:rPr>
          <w:rFonts w:ascii="Times New Roman"/>
          <w:bCs/>
          <w:sz w:val="24"/>
          <w:szCs w:val="24"/>
        </w:rPr>
        <w:t>，优势结构面的产状对隧道围岩稳定性影响较大，本标准以优势结构面倾角描述结构面对围岩稳定性的影响程度，优势结构面倾角越小，则潜在的风险越大。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6</w:t>
      </w:r>
      <w:r>
        <w:rPr>
          <w:rFonts w:ascii="Times New Roman" w:hint="eastAsia"/>
          <w:bCs/>
          <w:sz w:val="24"/>
          <w:szCs w:val="24"/>
        </w:rPr>
        <w:t>）</w:t>
      </w:r>
      <w:r>
        <w:rPr>
          <w:rFonts w:ascii="Times New Roman"/>
          <w:bCs/>
          <w:sz w:val="24"/>
          <w:szCs w:val="24"/>
        </w:rPr>
        <w:t>预测涌水量</w:t>
      </w:r>
      <w:r>
        <w:rPr>
          <w:rFonts w:ascii="Times New Roman"/>
          <w:bCs/>
          <w:i/>
          <w:iCs/>
          <w:sz w:val="24"/>
          <w:szCs w:val="24"/>
        </w:rPr>
        <w:t>X</w:t>
      </w:r>
      <w:r>
        <w:rPr>
          <w:rFonts w:ascii="Times New Roman"/>
          <w:bCs/>
          <w:sz w:val="24"/>
          <w:szCs w:val="24"/>
          <w:vertAlign w:val="subscript"/>
        </w:rPr>
        <w:t>41</w:t>
      </w:r>
      <w:r>
        <w:rPr>
          <w:rFonts w:ascii="Times New Roman"/>
          <w:bCs/>
          <w:sz w:val="24"/>
        </w:rPr>
        <w:fldChar w:fldCharType="begin"/>
      </w:r>
      <w:r>
        <w:rPr>
          <w:rFonts w:ascii="Times New Roman"/>
          <w:bCs/>
          <w:sz w:val="24"/>
        </w:rPr>
        <w:instrText xml:space="preserve"> ADDIN NE.Ref.{1E82759D-6308-436E-BDB0-3B3364397B50}</w:instrText>
      </w:r>
      <w:r>
        <w:rPr>
          <w:rFonts w:ascii="Times New Roman"/>
          <w:bCs/>
          <w:sz w:val="24"/>
        </w:rPr>
        <w:fldChar w:fldCharType="separate"/>
      </w:r>
      <w:r>
        <w:rPr>
          <w:rFonts w:ascii="Times New Roman"/>
          <w:color w:val="080000"/>
          <w:sz w:val="24"/>
          <w:szCs w:val="24"/>
          <w:vertAlign w:val="superscript"/>
        </w:rPr>
        <w:t>[9]</w:t>
      </w:r>
      <w:r>
        <w:rPr>
          <w:rFonts w:ascii="Times New Roman"/>
          <w:bCs/>
          <w:sz w:val="24"/>
        </w:rPr>
        <w:fldChar w:fldCharType="end"/>
      </w:r>
      <w:r>
        <w:rPr>
          <w:rFonts w:ascii="Times New Roman"/>
          <w:bCs/>
          <w:sz w:val="24"/>
          <w:szCs w:val="24"/>
        </w:rPr>
        <w:t>，地下水是诱发塌方的所有因素中最具活力和最具影响力的因素。岩体在水的溶解、软化、侵蚀等作用下凝聚力减小，力学强度降低，围岩自稳能力大大下降，导致隧道发生坍塌事故的概率增大。</w:t>
      </w:r>
    </w:p>
    <w:p w:rsidR="0073700B" w:rsidRDefault="001A2FFC">
      <w:pPr>
        <w:pStyle w:val="3"/>
        <w:numPr>
          <w:ilvl w:val="0"/>
          <w:numId w:val="0"/>
        </w:numPr>
        <w:ind w:left="426"/>
        <w:rPr>
          <w:b/>
          <w:bCs w:val="0"/>
        </w:rPr>
      </w:pPr>
      <w:r>
        <w:rPr>
          <w:b/>
          <w:bCs w:val="0"/>
        </w:rPr>
        <w:t xml:space="preserve">11. </w:t>
      </w:r>
      <w:r>
        <w:rPr>
          <w:b/>
          <w:bCs w:val="0"/>
        </w:rPr>
        <w:t>附录</w:t>
      </w:r>
      <w:r>
        <w:rPr>
          <w:b/>
          <w:bCs w:val="0"/>
        </w:rPr>
        <w:t>A.3</w:t>
      </w:r>
      <w:r>
        <w:rPr>
          <w:b/>
          <w:bCs w:val="0"/>
        </w:rPr>
        <w:t>（资料性附录）隧道施工前涌水突泥风险事件可能性评估指标体系</w:t>
      </w:r>
    </w:p>
    <w:p w:rsidR="0073700B" w:rsidRDefault="001A2FFC" w:rsidP="00F80BAC">
      <w:pPr>
        <w:pStyle w:val="af7"/>
        <w:spacing w:beforeLines="50" w:before="156" w:line="360" w:lineRule="auto"/>
        <w:ind w:firstLine="480"/>
        <w:rPr>
          <w:rFonts w:ascii="Times New Roman"/>
          <w:bCs/>
          <w:sz w:val="24"/>
          <w:szCs w:val="24"/>
        </w:rPr>
      </w:pPr>
      <w:bookmarkStart w:id="101" w:name="_Hlk536128274"/>
      <w:r>
        <w:rPr>
          <w:rFonts w:ascii="Times New Roman"/>
          <w:bCs/>
          <w:sz w:val="24"/>
          <w:szCs w:val="24"/>
        </w:rPr>
        <w:t>根据前期对现行指南的研究成果和专家意见，从隧道地质条件、水文地质特征、水文地质特征、环境条件等四个方面建立施工前涌水突泥</w:t>
      </w:r>
      <w:r>
        <w:rPr>
          <w:rFonts w:ascii="Times New Roman"/>
          <w:bCs/>
          <w:sz w:val="24"/>
        </w:rPr>
        <w:t>风险事件</w:t>
      </w:r>
      <w:r>
        <w:rPr>
          <w:rFonts w:ascii="Times New Roman"/>
          <w:bCs/>
          <w:sz w:val="24"/>
          <w:szCs w:val="24"/>
        </w:rPr>
        <w:t>可能性评估指标体系。其中地质条件包含了不良地质、岩溶发育程度等指标，水文地质特征包含了隧道预测涌水量指标，环境条件包含了周围水体情况</w:t>
      </w:r>
      <w:r>
        <w:rPr>
          <w:rFonts w:ascii="Times New Roman"/>
          <w:bCs/>
          <w:sz w:val="24"/>
          <w:szCs w:val="24"/>
        </w:rPr>
        <w:t>指标。</w:t>
      </w:r>
      <w:bookmarkEnd w:id="101"/>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w:t>
      </w:r>
      <w:r>
        <w:rPr>
          <w:rFonts w:ascii="Times New Roman" w:hint="eastAsia"/>
          <w:bCs/>
          <w:sz w:val="24"/>
          <w:szCs w:val="24"/>
        </w:rPr>
        <w:t>）</w:t>
      </w:r>
      <w:r>
        <w:rPr>
          <w:rFonts w:ascii="Times New Roman"/>
          <w:bCs/>
          <w:sz w:val="24"/>
          <w:szCs w:val="24"/>
        </w:rPr>
        <w:t>不良地质</w:t>
      </w:r>
      <w:r>
        <w:rPr>
          <w:rFonts w:ascii="Times New Roman"/>
          <w:bCs/>
          <w:i/>
          <w:iCs/>
          <w:sz w:val="24"/>
          <w:szCs w:val="24"/>
        </w:rPr>
        <w:t>X</w:t>
      </w:r>
      <w:r>
        <w:rPr>
          <w:rFonts w:ascii="Times New Roman"/>
          <w:bCs/>
          <w:sz w:val="24"/>
          <w:szCs w:val="24"/>
          <w:vertAlign w:val="subscript"/>
        </w:rPr>
        <w:t>11</w:t>
      </w:r>
      <w:r>
        <w:rPr>
          <w:rFonts w:ascii="Times New Roman"/>
          <w:bCs/>
          <w:sz w:val="24"/>
          <w:szCs w:val="24"/>
        </w:rPr>
        <w:t>，参考《公路工程地质勘察规范》（</w:t>
      </w:r>
      <w:r>
        <w:rPr>
          <w:rFonts w:ascii="Times New Roman"/>
          <w:bCs/>
          <w:sz w:val="24"/>
          <w:szCs w:val="24"/>
        </w:rPr>
        <w:t>JTG C20-2011</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NE.Ref.{0CF05B0C-C152-446E-B9E4-38F533E028AE}</w:instrText>
      </w:r>
      <w:r>
        <w:rPr>
          <w:rFonts w:ascii="Times New Roman"/>
          <w:bCs/>
          <w:sz w:val="24"/>
          <w:szCs w:val="24"/>
        </w:rPr>
        <w:fldChar w:fldCharType="separate"/>
      </w:r>
      <w:r>
        <w:rPr>
          <w:rFonts w:ascii="Times New Roman"/>
          <w:color w:val="080000"/>
          <w:sz w:val="24"/>
          <w:szCs w:val="24"/>
          <w:vertAlign w:val="superscript"/>
        </w:rPr>
        <w:t>[10]</w:t>
      </w:r>
      <w:r>
        <w:rPr>
          <w:rFonts w:ascii="Times New Roman"/>
          <w:bCs/>
          <w:sz w:val="24"/>
          <w:szCs w:val="24"/>
        </w:rPr>
        <w:fldChar w:fldCharType="end"/>
      </w:r>
      <w:r>
        <w:rPr>
          <w:rFonts w:ascii="Times New Roman"/>
          <w:bCs/>
          <w:sz w:val="24"/>
          <w:szCs w:val="24"/>
        </w:rPr>
        <w:t>，不良地质的发育程度影响工程的安全性和处治难度，不良地质主要考虑含导水构造或承压含导水构造。不良地质的富水性、导水性及其与隧道的空间位置关系对涌水突泥风险影响较大，甚至起到了决定性作用</w:t>
      </w:r>
      <w:r>
        <w:rPr>
          <w:rFonts w:ascii="Times New Roman"/>
          <w:bCs/>
          <w:sz w:val="24"/>
          <w:szCs w:val="24"/>
        </w:rPr>
        <w:fldChar w:fldCharType="begin"/>
      </w:r>
      <w:r>
        <w:rPr>
          <w:rFonts w:ascii="Times New Roman"/>
          <w:bCs/>
          <w:sz w:val="24"/>
          <w:szCs w:val="24"/>
        </w:rPr>
        <w:instrText xml:space="preserve"> ADDIN NE.Ref.{25C5B3AE-AADA-4C13-9E6B-3F60B06AB404}</w:instrText>
      </w:r>
      <w:r>
        <w:rPr>
          <w:rFonts w:ascii="Times New Roman"/>
          <w:bCs/>
          <w:sz w:val="24"/>
          <w:szCs w:val="24"/>
        </w:rPr>
        <w:fldChar w:fldCharType="separate"/>
      </w:r>
      <w:r>
        <w:rPr>
          <w:rFonts w:ascii="Times New Roman"/>
          <w:color w:val="080000"/>
          <w:sz w:val="24"/>
          <w:szCs w:val="24"/>
          <w:vertAlign w:val="superscript"/>
        </w:rPr>
        <w:t>[39]</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rPr>
      </w:pPr>
      <w:bookmarkStart w:id="102" w:name="_Hlk13166835"/>
      <w:r>
        <w:rPr>
          <w:rFonts w:ascii="Times New Roman" w:hint="eastAsia"/>
          <w:bCs/>
          <w:sz w:val="24"/>
          <w:szCs w:val="24"/>
        </w:rPr>
        <w:lastRenderedPageBreak/>
        <w:t>（</w:t>
      </w:r>
      <w:r>
        <w:rPr>
          <w:rFonts w:ascii="Times New Roman" w:hint="eastAsia"/>
          <w:bCs/>
          <w:sz w:val="24"/>
          <w:szCs w:val="24"/>
        </w:rPr>
        <w:t>2</w:t>
      </w:r>
      <w:r>
        <w:rPr>
          <w:rFonts w:ascii="Times New Roman" w:hint="eastAsia"/>
          <w:bCs/>
          <w:sz w:val="24"/>
          <w:szCs w:val="24"/>
        </w:rPr>
        <w:t>）</w:t>
      </w:r>
      <w:r>
        <w:rPr>
          <w:rFonts w:ascii="Times New Roman"/>
          <w:bCs/>
          <w:sz w:val="24"/>
          <w:szCs w:val="24"/>
        </w:rPr>
        <w:t>岩溶发育程度</w:t>
      </w:r>
      <w:r>
        <w:rPr>
          <w:rFonts w:ascii="Times New Roman"/>
          <w:bCs/>
          <w:i/>
          <w:iCs/>
          <w:sz w:val="24"/>
          <w:szCs w:val="24"/>
        </w:rPr>
        <w:t>X</w:t>
      </w:r>
      <w:r>
        <w:rPr>
          <w:rFonts w:ascii="Times New Roman"/>
          <w:bCs/>
          <w:sz w:val="24"/>
          <w:szCs w:val="24"/>
          <w:vertAlign w:val="subscript"/>
        </w:rPr>
        <w:t>12</w:t>
      </w:r>
      <w:r>
        <w:rPr>
          <w:rFonts w:ascii="Times New Roman"/>
          <w:bCs/>
          <w:sz w:val="24"/>
          <w:szCs w:val="24"/>
        </w:rPr>
        <w:t>，</w:t>
      </w:r>
      <w:bookmarkEnd w:id="102"/>
      <w:r>
        <w:rPr>
          <w:rFonts w:ascii="Times New Roman"/>
          <w:bCs/>
          <w:sz w:val="24"/>
        </w:rPr>
        <w:t>参考《公路工程地质勘察规范》（</w:t>
      </w:r>
      <w:r>
        <w:rPr>
          <w:rFonts w:ascii="Times New Roman"/>
          <w:bCs/>
          <w:sz w:val="24"/>
        </w:rPr>
        <w:t>JTG C20-2011</w:t>
      </w:r>
      <w:r>
        <w:rPr>
          <w:rFonts w:ascii="Times New Roman"/>
          <w:bCs/>
          <w:sz w:val="24"/>
        </w:rPr>
        <w:t>）</w:t>
      </w:r>
      <w:r>
        <w:rPr>
          <w:rFonts w:ascii="Times New Roman"/>
          <w:bCs/>
          <w:sz w:val="24"/>
        </w:rPr>
        <w:fldChar w:fldCharType="begin"/>
      </w:r>
      <w:r>
        <w:rPr>
          <w:rFonts w:ascii="Times New Roman"/>
          <w:bCs/>
          <w:sz w:val="24"/>
        </w:rPr>
        <w:instrText xml:space="preserve"> ADDIN NE.Ref.{98B75AAB-609E-4A99-86AD-BF6E8DCB7940}</w:instrText>
      </w:r>
      <w:r>
        <w:rPr>
          <w:rFonts w:ascii="Times New Roman"/>
          <w:bCs/>
          <w:sz w:val="24"/>
        </w:rPr>
        <w:fldChar w:fldCharType="separate"/>
      </w:r>
      <w:r>
        <w:rPr>
          <w:rFonts w:ascii="Times New Roman"/>
          <w:color w:val="080000"/>
          <w:sz w:val="24"/>
          <w:szCs w:val="24"/>
          <w:vertAlign w:val="superscript"/>
        </w:rPr>
        <w:t>[10]</w:t>
      </w:r>
      <w:r>
        <w:rPr>
          <w:rFonts w:ascii="Times New Roman"/>
          <w:bCs/>
          <w:sz w:val="24"/>
        </w:rPr>
        <w:fldChar w:fldCharType="end"/>
      </w:r>
      <w:r>
        <w:rPr>
          <w:rFonts w:ascii="Times New Roman"/>
          <w:bCs/>
          <w:sz w:val="24"/>
        </w:rPr>
        <w:t>，岩溶发育程度与可溶性岩石密切相关，当隧道穿越岩溶发育区时，往往存在安全隐患，故应查明岩溶及地质灾害的形态与分布、岩溶发育规律等。岩溶越发育，则储存的岩溶水越多，引发事故的可能性越大。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3</w:t>
      </w:r>
      <w:r>
        <w:rPr>
          <w:rFonts w:ascii="Times New Roman" w:hint="eastAsia"/>
          <w:bCs/>
          <w:sz w:val="24"/>
          <w:szCs w:val="24"/>
        </w:rPr>
        <w:t>）</w:t>
      </w:r>
      <w:r>
        <w:rPr>
          <w:rFonts w:ascii="Times New Roman"/>
          <w:bCs/>
          <w:sz w:val="24"/>
          <w:szCs w:val="24"/>
        </w:rPr>
        <w:t>预测涌水量</w:t>
      </w:r>
      <w:r>
        <w:rPr>
          <w:rFonts w:ascii="Times New Roman"/>
          <w:bCs/>
          <w:i/>
          <w:iCs/>
          <w:sz w:val="24"/>
          <w:szCs w:val="24"/>
        </w:rPr>
        <w:t>X</w:t>
      </w:r>
      <w:r>
        <w:rPr>
          <w:rFonts w:ascii="Times New Roman"/>
          <w:bCs/>
          <w:sz w:val="24"/>
          <w:szCs w:val="24"/>
          <w:vertAlign w:val="subscript"/>
        </w:rPr>
        <w:t>21</w:t>
      </w:r>
      <w:r>
        <w:rPr>
          <w:rFonts w:ascii="Times New Roman"/>
          <w:bCs/>
          <w:sz w:val="24"/>
          <w:szCs w:val="24"/>
        </w:rPr>
        <w:fldChar w:fldCharType="begin"/>
      </w:r>
      <w:r>
        <w:rPr>
          <w:rFonts w:ascii="Times New Roman"/>
          <w:bCs/>
          <w:sz w:val="24"/>
          <w:szCs w:val="24"/>
        </w:rPr>
        <w:instrText xml:space="preserve"> ADDIN NE.Ref.{984EC68F-4044-4E9C-B91F-F9665B29E433}</w:instrText>
      </w:r>
      <w:r>
        <w:rPr>
          <w:rFonts w:ascii="Times New Roman"/>
          <w:bCs/>
          <w:sz w:val="24"/>
          <w:szCs w:val="24"/>
        </w:rPr>
        <w:fldChar w:fldCharType="separate"/>
      </w:r>
      <w:r>
        <w:rPr>
          <w:rFonts w:ascii="Times New Roman"/>
          <w:color w:val="080000"/>
          <w:sz w:val="24"/>
          <w:szCs w:val="24"/>
          <w:vertAlign w:val="superscript"/>
        </w:rPr>
        <w:t>[</w:t>
      </w:r>
      <w:r>
        <w:rPr>
          <w:rFonts w:ascii="Times New Roman"/>
          <w:color w:val="080000"/>
          <w:sz w:val="24"/>
          <w:szCs w:val="24"/>
          <w:vertAlign w:val="superscript"/>
        </w:rPr>
        <w:t>40]</w:t>
      </w:r>
      <w:r>
        <w:rPr>
          <w:rFonts w:ascii="Times New Roman"/>
          <w:bCs/>
          <w:sz w:val="24"/>
          <w:szCs w:val="24"/>
        </w:rPr>
        <w:fldChar w:fldCharType="end"/>
      </w:r>
      <w:r>
        <w:rPr>
          <w:rFonts w:ascii="Times New Roman"/>
          <w:bCs/>
          <w:sz w:val="24"/>
          <w:szCs w:val="24"/>
        </w:rPr>
        <w:t>，参考《公路工程地质勘察规范》（</w:t>
      </w:r>
      <w:r>
        <w:rPr>
          <w:rFonts w:ascii="Times New Roman"/>
          <w:bCs/>
          <w:sz w:val="24"/>
          <w:szCs w:val="24"/>
        </w:rPr>
        <w:t>JTG C20-2011</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NE.Ref.{AD91D82D-34B2-4B42-B6DB-463FA3E87E35}</w:instrText>
      </w:r>
      <w:r>
        <w:rPr>
          <w:rFonts w:ascii="Times New Roman"/>
          <w:bCs/>
          <w:sz w:val="24"/>
          <w:szCs w:val="24"/>
        </w:rPr>
        <w:fldChar w:fldCharType="separate"/>
      </w:r>
      <w:r>
        <w:rPr>
          <w:rFonts w:ascii="Times New Roman"/>
          <w:color w:val="080000"/>
          <w:sz w:val="24"/>
          <w:szCs w:val="24"/>
          <w:vertAlign w:val="superscript"/>
        </w:rPr>
        <w:t>[10]</w:t>
      </w:r>
      <w:r>
        <w:rPr>
          <w:rFonts w:ascii="Times New Roman"/>
          <w:bCs/>
          <w:sz w:val="24"/>
          <w:szCs w:val="24"/>
        </w:rPr>
        <w:fldChar w:fldCharType="end"/>
      </w:r>
      <w:r>
        <w:rPr>
          <w:rFonts w:ascii="Times New Roman"/>
          <w:bCs/>
          <w:sz w:val="24"/>
          <w:szCs w:val="24"/>
        </w:rPr>
        <w:t>，该指标是影响隧道涌水突泥风险的关键因素，可以根据前期地勘资料和超前地质预报资料对涌水量进行定量估计，隧道预测涌水量越大，隧道发生涌水突泥的风险越大。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4</w:t>
      </w:r>
      <w:r>
        <w:rPr>
          <w:rFonts w:ascii="Times New Roman" w:hint="eastAsia"/>
          <w:bCs/>
          <w:sz w:val="24"/>
          <w:szCs w:val="24"/>
        </w:rPr>
        <w:t>）</w:t>
      </w:r>
      <w:r>
        <w:rPr>
          <w:rFonts w:ascii="Times New Roman"/>
          <w:bCs/>
          <w:sz w:val="24"/>
          <w:szCs w:val="24"/>
        </w:rPr>
        <w:t>周围水体情况</w:t>
      </w:r>
      <w:r>
        <w:rPr>
          <w:rFonts w:ascii="Times New Roman"/>
          <w:bCs/>
          <w:i/>
          <w:iCs/>
          <w:sz w:val="24"/>
          <w:szCs w:val="24"/>
        </w:rPr>
        <w:t>X</w:t>
      </w:r>
      <w:r>
        <w:rPr>
          <w:rFonts w:ascii="Times New Roman"/>
          <w:bCs/>
          <w:sz w:val="24"/>
          <w:szCs w:val="24"/>
          <w:vertAlign w:val="subscript"/>
        </w:rPr>
        <w:t>31</w:t>
      </w:r>
      <w:r>
        <w:rPr>
          <w:rFonts w:ascii="Times New Roman"/>
          <w:bCs/>
          <w:sz w:val="24"/>
          <w:szCs w:val="24"/>
        </w:rPr>
        <w:t>，参考《公路工程地质勘察规范》（</w:t>
      </w:r>
      <w:r>
        <w:rPr>
          <w:rFonts w:ascii="Times New Roman"/>
          <w:bCs/>
          <w:sz w:val="24"/>
          <w:szCs w:val="24"/>
        </w:rPr>
        <w:t>JTG C20-2011</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NE.Ref.{0A400C96-0754-4CB9-9134-EB3315</w:instrText>
      </w:r>
      <w:r>
        <w:rPr>
          <w:rFonts w:ascii="Times New Roman"/>
          <w:bCs/>
          <w:sz w:val="24"/>
          <w:szCs w:val="24"/>
        </w:rPr>
        <w:instrText>CFA47F}</w:instrText>
      </w:r>
      <w:r>
        <w:rPr>
          <w:rFonts w:ascii="Times New Roman"/>
          <w:bCs/>
          <w:sz w:val="24"/>
          <w:szCs w:val="24"/>
        </w:rPr>
        <w:fldChar w:fldCharType="separate"/>
      </w:r>
      <w:r>
        <w:rPr>
          <w:rFonts w:ascii="Times New Roman"/>
          <w:color w:val="080000"/>
          <w:sz w:val="24"/>
          <w:szCs w:val="24"/>
          <w:vertAlign w:val="superscript"/>
        </w:rPr>
        <w:t>[10]</w:t>
      </w:r>
      <w:r>
        <w:rPr>
          <w:rFonts w:ascii="Times New Roman"/>
          <w:bCs/>
          <w:sz w:val="24"/>
          <w:szCs w:val="24"/>
        </w:rPr>
        <w:fldChar w:fldCharType="end"/>
      </w:r>
      <w:r>
        <w:rPr>
          <w:rFonts w:ascii="Times New Roman"/>
          <w:bCs/>
          <w:sz w:val="24"/>
          <w:szCs w:val="24"/>
        </w:rPr>
        <w:t>，地表水发育地段易产生涌水、突泥及塌方冒顶等事故。隧道上方若存在湖泊、河流、水库等水体等补给性水体，则引发隧道涌水突泥的可能性较大。</w:t>
      </w:r>
    </w:p>
    <w:p w:rsidR="0073700B" w:rsidRDefault="001A2FFC">
      <w:pPr>
        <w:pStyle w:val="3"/>
        <w:numPr>
          <w:ilvl w:val="0"/>
          <w:numId w:val="0"/>
        </w:numPr>
        <w:ind w:left="426"/>
        <w:rPr>
          <w:b/>
          <w:bCs w:val="0"/>
        </w:rPr>
      </w:pPr>
      <w:r>
        <w:rPr>
          <w:b/>
          <w:bCs w:val="0"/>
        </w:rPr>
        <w:t xml:space="preserve">12. </w:t>
      </w:r>
      <w:r>
        <w:rPr>
          <w:b/>
          <w:bCs w:val="0"/>
        </w:rPr>
        <w:t>附录</w:t>
      </w:r>
      <w:r>
        <w:rPr>
          <w:b/>
          <w:bCs w:val="0"/>
        </w:rPr>
        <w:t>A.4</w:t>
      </w:r>
      <w:r>
        <w:rPr>
          <w:b/>
          <w:bCs w:val="0"/>
        </w:rPr>
        <w:t>（资料性附录）隧道施工前大变形风险事件可能性评估指标体系</w:t>
      </w:r>
    </w:p>
    <w:p w:rsidR="0073700B" w:rsidRDefault="001A2FFC" w:rsidP="00F80BAC">
      <w:pPr>
        <w:pStyle w:val="af7"/>
        <w:spacing w:beforeLines="50" w:before="156" w:line="360" w:lineRule="auto"/>
        <w:ind w:firstLine="480"/>
        <w:rPr>
          <w:rFonts w:ascii="Times New Roman"/>
          <w:bCs/>
          <w:sz w:val="24"/>
          <w:szCs w:val="24"/>
        </w:rPr>
      </w:pPr>
      <w:bookmarkStart w:id="103" w:name="_Hlk536125389"/>
      <w:r>
        <w:rPr>
          <w:rFonts w:ascii="Times New Roman"/>
          <w:bCs/>
          <w:sz w:val="24"/>
          <w:szCs w:val="24"/>
        </w:rPr>
        <w:t>根据前期指南编制小组对国内外隧道大变形事故案例的研究成果和专家意见，从建设规模、地形特征、地质条件、水文地质条件等四个方面建立施工前大变形事故可能性评估指标体系。其中建设规模包含了隧道开挖跨度指标，地形特征包含了浅埋隧道偏压角度指标，地质条件包含了围岩级别、断层破碎带宽度、地应力等指标，水文地质条件包含了预测涌水量指标。</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w:t>
      </w:r>
      <w:r>
        <w:rPr>
          <w:rFonts w:ascii="Times New Roman" w:hint="eastAsia"/>
          <w:bCs/>
          <w:sz w:val="24"/>
          <w:szCs w:val="24"/>
        </w:rPr>
        <w:t>）</w:t>
      </w:r>
      <w:r>
        <w:rPr>
          <w:rFonts w:ascii="Times New Roman"/>
          <w:bCs/>
          <w:sz w:val="24"/>
          <w:szCs w:val="24"/>
        </w:rPr>
        <w:t>隧道开挖跨度</w:t>
      </w:r>
      <w:r>
        <w:rPr>
          <w:rFonts w:ascii="Times New Roman"/>
          <w:bCs/>
          <w:i/>
          <w:iCs/>
          <w:sz w:val="24"/>
          <w:szCs w:val="24"/>
        </w:rPr>
        <w:t>X</w:t>
      </w:r>
      <w:r>
        <w:rPr>
          <w:rFonts w:ascii="Times New Roman"/>
          <w:bCs/>
          <w:sz w:val="24"/>
          <w:szCs w:val="24"/>
          <w:vertAlign w:val="subscript"/>
        </w:rPr>
        <w:t>11</w:t>
      </w:r>
      <w:r>
        <w:rPr>
          <w:rFonts w:ascii="Times New Roman"/>
          <w:bCs/>
          <w:sz w:val="24"/>
          <w:szCs w:val="24"/>
        </w:rPr>
        <w:t>，参考《公路隧道施工技术细则》（</w:t>
      </w:r>
      <w:r>
        <w:rPr>
          <w:rFonts w:ascii="Times New Roman"/>
          <w:bCs/>
          <w:sz w:val="24"/>
          <w:szCs w:val="24"/>
        </w:rPr>
        <w:t>JTG/T F60-2009</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NE.Ref.{769E866F-AE10-414F-A013-89281C87B260}</w:instrText>
      </w:r>
      <w:r>
        <w:rPr>
          <w:rFonts w:ascii="Times New Roman"/>
          <w:bCs/>
          <w:sz w:val="24"/>
          <w:szCs w:val="24"/>
        </w:rPr>
        <w:fldChar w:fldCharType="separate"/>
      </w:r>
      <w:r>
        <w:rPr>
          <w:rFonts w:ascii="Times New Roman"/>
          <w:color w:val="080000"/>
          <w:sz w:val="24"/>
          <w:szCs w:val="24"/>
          <w:vertAlign w:val="superscript"/>
        </w:rPr>
        <w:t>[14]</w:t>
      </w:r>
      <w:r>
        <w:rPr>
          <w:rFonts w:ascii="Times New Roman"/>
          <w:bCs/>
          <w:sz w:val="24"/>
          <w:szCs w:val="24"/>
        </w:rPr>
        <w:fldChar w:fldCharType="end"/>
      </w:r>
      <w:r>
        <w:rPr>
          <w:rFonts w:ascii="Times New Roman"/>
          <w:bCs/>
          <w:sz w:val="24"/>
          <w:szCs w:val="24"/>
        </w:rPr>
        <w:t>，按开挖宽度可将隧道划分为小跨度隧道、中跨度隧道、大跨度隧道、超大跨度隧道。开挖宽度越大，其支护与开挖方式要求越高，发生围岩大变形的风险越高</w:t>
      </w:r>
      <w:r>
        <w:rPr>
          <w:rFonts w:ascii="Times New Roman"/>
          <w:bCs/>
          <w:sz w:val="24"/>
          <w:szCs w:val="24"/>
        </w:rPr>
        <w:fldChar w:fldCharType="begin"/>
      </w:r>
      <w:r>
        <w:rPr>
          <w:rFonts w:ascii="Times New Roman"/>
          <w:bCs/>
          <w:sz w:val="24"/>
          <w:szCs w:val="24"/>
        </w:rPr>
        <w:instrText xml:space="preserve"> ADDIN NE.Ref.{EE961E3F-B5B6-4068-A8CF-C53977171A51}</w:instrText>
      </w:r>
      <w:r>
        <w:rPr>
          <w:rFonts w:ascii="Times New Roman"/>
          <w:bCs/>
          <w:sz w:val="24"/>
          <w:szCs w:val="24"/>
        </w:rPr>
        <w:fldChar w:fldCharType="separate"/>
      </w:r>
      <w:r>
        <w:rPr>
          <w:rFonts w:ascii="Times New Roman"/>
          <w:color w:val="080000"/>
          <w:sz w:val="24"/>
          <w:szCs w:val="24"/>
          <w:vertAlign w:val="superscript"/>
        </w:rPr>
        <w:t>[41]</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2</w:t>
      </w:r>
      <w:r>
        <w:rPr>
          <w:rFonts w:ascii="Times New Roman" w:hint="eastAsia"/>
          <w:bCs/>
          <w:sz w:val="24"/>
          <w:szCs w:val="24"/>
        </w:rPr>
        <w:t>）</w:t>
      </w:r>
      <w:r>
        <w:rPr>
          <w:rFonts w:ascii="Times New Roman"/>
          <w:bCs/>
          <w:sz w:val="24"/>
          <w:szCs w:val="24"/>
        </w:rPr>
        <w:t>浅埋隧道偏压角度</w:t>
      </w:r>
      <w:r>
        <w:rPr>
          <w:rFonts w:ascii="Times New Roman"/>
          <w:bCs/>
          <w:i/>
          <w:iCs/>
          <w:sz w:val="24"/>
          <w:szCs w:val="24"/>
        </w:rPr>
        <w:t>X</w:t>
      </w:r>
      <w:r>
        <w:rPr>
          <w:rFonts w:ascii="Times New Roman"/>
          <w:bCs/>
          <w:sz w:val="24"/>
          <w:szCs w:val="24"/>
          <w:vertAlign w:val="subscript"/>
        </w:rPr>
        <w:t>21</w:t>
      </w:r>
      <w:r>
        <w:rPr>
          <w:rFonts w:ascii="Times New Roman"/>
          <w:bCs/>
          <w:sz w:val="24"/>
          <w:szCs w:val="24"/>
        </w:rPr>
        <w:t>，是指垂直于隧道洞口的横剖面与地面的交线同水平面的夹角。</w:t>
      </w:r>
      <w:r>
        <w:rPr>
          <w:rFonts w:ascii="Times New Roman"/>
          <w:bCs/>
          <w:sz w:val="24"/>
        </w:rPr>
        <w:t>参考《铁路隧道设计规范》（</w:t>
      </w:r>
      <w:r>
        <w:rPr>
          <w:rFonts w:ascii="Times New Roman"/>
          <w:bCs/>
          <w:sz w:val="24"/>
        </w:rPr>
        <w:t>JB 10003-20</w:t>
      </w:r>
      <w:r>
        <w:rPr>
          <w:rFonts w:ascii="Times New Roman"/>
          <w:bCs/>
          <w:sz w:val="24"/>
        </w:rPr>
        <w:t>16</w:t>
      </w:r>
      <w:r>
        <w:rPr>
          <w:rFonts w:ascii="Times New Roman"/>
          <w:bCs/>
          <w:sz w:val="24"/>
        </w:rPr>
        <w:t>）</w:t>
      </w:r>
      <w:r>
        <w:rPr>
          <w:rFonts w:ascii="Times New Roman"/>
          <w:bCs/>
          <w:sz w:val="24"/>
        </w:rPr>
        <w:fldChar w:fldCharType="begin"/>
      </w:r>
      <w:r>
        <w:rPr>
          <w:rFonts w:ascii="Times New Roman"/>
          <w:bCs/>
          <w:sz w:val="24"/>
        </w:rPr>
        <w:instrText xml:space="preserve"> ADDIN NE.Ref.{EDD6E0CD-7C12-4AC6-9F96-DB1A18F96375}</w:instrText>
      </w:r>
      <w:r>
        <w:rPr>
          <w:rFonts w:ascii="Times New Roman"/>
          <w:bCs/>
          <w:sz w:val="24"/>
        </w:rPr>
        <w:fldChar w:fldCharType="separate"/>
      </w:r>
      <w:r>
        <w:rPr>
          <w:rFonts w:ascii="Times New Roman"/>
          <w:color w:val="080000"/>
          <w:sz w:val="24"/>
          <w:szCs w:val="24"/>
          <w:vertAlign w:val="superscript"/>
        </w:rPr>
        <w:t>[15]</w:t>
      </w:r>
      <w:r>
        <w:rPr>
          <w:rFonts w:ascii="Times New Roman"/>
          <w:bCs/>
          <w:sz w:val="24"/>
        </w:rPr>
        <w:fldChar w:fldCharType="end"/>
      </w:r>
      <w:r>
        <w:rPr>
          <w:rFonts w:ascii="Times New Roman"/>
          <w:bCs/>
          <w:sz w:val="24"/>
        </w:rPr>
        <w:t>，大多数偏压隧道处于洞口段与浅埋段，地形因素造成的偏压对隧道洞口浅埋段的稳定性影响特别大</w:t>
      </w:r>
      <w:r>
        <w:rPr>
          <w:rFonts w:ascii="Times New Roman"/>
          <w:bCs/>
          <w:sz w:val="24"/>
          <w:szCs w:val="24"/>
        </w:rPr>
        <w:t>，洞身一侧压力过大，极易导致挤压大变形的发生。偏压角度越大，对应的风险等级越高</w:t>
      </w:r>
      <w:r>
        <w:rPr>
          <w:rFonts w:ascii="Times New Roman"/>
          <w:bCs/>
          <w:sz w:val="24"/>
          <w:szCs w:val="24"/>
        </w:rPr>
        <w:fldChar w:fldCharType="begin"/>
      </w:r>
      <w:r>
        <w:rPr>
          <w:rFonts w:ascii="Times New Roman"/>
          <w:bCs/>
          <w:sz w:val="24"/>
          <w:szCs w:val="24"/>
        </w:rPr>
        <w:instrText xml:space="preserve"> ADDIN NE.Ref.{1B81F6F6-B9A1-40DF-9D68-BC26C90042EA}</w:instrText>
      </w:r>
      <w:r>
        <w:rPr>
          <w:rFonts w:ascii="Times New Roman"/>
          <w:bCs/>
          <w:sz w:val="24"/>
          <w:szCs w:val="24"/>
        </w:rPr>
        <w:fldChar w:fldCharType="separate"/>
      </w:r>
      <w:r>
        <w:rPr>
          <w:rFonts w:ascii="Times New Roman"/>
          <w:color w:val="080000"/>
          <w:sz w:val="24"/>
          <w:szCs w:val="24"/>
          <w:vertAlign w:val="superscript"/>
        </w:rPr>
        <w:t>[42]</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vertAlign w:val="subscript"/>
        </w:rPr>
      </w:pPr>
      <w:r>
        <w:rPr>
          <w:rFonts w:ascii="Times New Roman" w:hint="eastAsia"/>
          <w:bCs/>
          <w:sz w:val="24"/>
          <w:szCs w:val="24"/>
        </w:rPr>
        <w:lastRenderedPageBreak/>
        <w:t>（</w:t>
      </w:r>
      <w:r>
        <w:rPr>
          <w:rFonts w:ascii="Times New Roman" w:hint="eastAsia"/>
          <w:bCs/>
          <w:sz w:val="24"/>
          <w:szCs w:val="24"/>
        </w:rPr>
        <w:t>3</w:t>
      </w:r>
      <w:r>
        <w:rPr>
          <w:rFonts w:ascii="Times New Roman" w:hint="eastAsia"/>
          <w:bCs/>
          <w:sz w:val="24"/>
          <w:szCs w:val="24"/>
        </w:rPr>
        <w:t>）</w:t>
      </w:r>
      <w:r>
        <w:rPr>
          <w:rFonts w:ascii="Times New Roman"/>
          <w:bCs/>
          <w:sz w:val="24"/>
          <w:szCs w:val="24"/>
        </w:rPr>
        <w:t>围岩级别</w:t>
      </w:r>
      <w:r>
        <w:rPr>
          <w:rFonts w:ascii="Times New Roman"/>
          <w:bCs/>
          <w:sz w:val="24"/>
          <w:szCs w:val="24"/>
        </w:rPr>
        <w:t>([BQ]</w:t>
      </w:r>
      <w:r>
        <w:rPr>
          <w:rFonts w:ascii="Times New Roman"/>
          <w:bCs/>
          <w:sz w:val="24"/>
          <w:szCs w:val="24"/>
        </w:rPr>
        <w:t>值</w:t>
      </w:r>
      <w:r>
        <w:rPr>
          <w:rFonts w:ascii="Times New Roman"/>
          <w:bCs/>
          <w:sz w:val="24"/>
          <w:szCs w:val="24"/>
        </w:rPr>
        <w:t>)</w:t>
      </w:r>
      <w:r>
        <w:rPr>
          <w:rFonts w:ascii="Times New Roman"/>
          <w:bCs/>
          <w:i/>
          <w:iCs/>
          <w:sz w:val="24"/>
          <w:szCs w:val="24"/>
        </w:rPr>
        <w:t>X</w:t>
      </w:r>
      <w:r>
        <w:rPr>
          <w:rFonts w:ascii="Times New Roman"/>
          <w:bCs/>
          <w:sz w:val="24"/>
          <w:szCs w:val="24"/>
          <w:vertAlign w:val="subscript"/>
        </w:rPr>
        <w:t>31</w:t>
      </w:r>
      <w:r>
        <w:rPr>
          <w:rFonts w:ascii="Times New Roman"/>
          <w:bCs/>
          <w:sz w:val="24"/>
          <w:szCs w:val="24"/>
        </w:rPr>
        <w:t>，参考《工程岩体分级标准》（</w:t>
      </w:r>
      <w:r>
        <w:rPr>
          <w:rFonts w:ascii="Times New Roman"/>
          <w:bCs/>
          <w:sz w:val="24"/>
          <w:szCs w:val="24"/>
        </w:rPr>
        <w:t>GB/T 50218-2014</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w:instrText>
      </w:r>
      <w:r>
        <w:rPr>
          <w:rFonts w:ascii="Times New Roman"/>
          <w:bCs/>
          <w:sz w:val="24"/>
          <w:szCs w:val="24"/>
        </w:rPr>
        <w:instrText>DIN NE.Ref.{31D41D34-9D4A-416E-91DB-0574A8EC1132}</w:instrText>
      </w:r>
      <w:r>
        <w:rPr>
          <w:rFonts w:ascii="Times New Roman"/>
          <w:bCs/>
          <w:sz w:val="24"/>
          <w:szCs w:val="24"/>
        </w:rPr>
        <w:fldChar w:fldCharType="separate"/>
      </w:r>
      <w:r>
        <w:rPr>
          <w:rFonts w:ascii="Times New Roman"/>
          <w:color w:val="080000"/>
          <w:sz w:val="24"/>
          <w:szCs w:val="24"/>
          <w:vertAlign w:val="superscript"/>
        </w:rPr>
        <w:t>[11]</w:t>
      </w:r>
      <w:r>
        <w:rPr>
          <w:rFonts w:ascii="Times New Roman"/>
          <w:bCs/>
          <w:sz w:val="24"/>
          <w:szCs w:val="24"/>
        </w:rPr>
        <w:fldChar w:fldCharType="end"/>
      </w:r>
      <w:r>
        <w:rPr>
          <w:rFonts w:ascii="Times New Roman"/>
          <w:bCs/>
          <w:sz w:val="24"/>
          <w:szCs w:val="24"/>
        </w:rPr>
        <w:t>，结合隧道设计文件，围岩级别越低，变形模量往往越小，相同的应力条件下发生大变形的风险越大，施工作业条件要求也越高。评估过程中，对于同一施工区段内围岩级别不一致的情况，应取低值。</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4</w:t>
      </w:r>
      <w:r>
        <w:rPr>
          <w:rFonts w:ascii="Times New Roman" w:hint="eastAsia"/>
          <w:bCs/>
          <w:sz w:val="24"/>
          <w:szCs w:val="24"/>
        </w:rPr>
        <w:t>）</w:t>
      </w:r>
      <w:r>
        <w:rPr>
          <w:rFonts w:ascii="Times New Roman"/>
          <w:bCs/>
          <w:sz w:val="24"/>
          <w:szCs w:val="24"/>
        </w:rPr>
        <w:t>断层破碎带宽度</w:t>
      </w:r>
      <w:r>
        <w:rPr>
          <w:rFonts w:ascii="Times New Roman"/>
          <w:bCs/>
          <w:i/>
          <w:iCs/>
          <w:sz w:val="24"/>
          <w:szCs w:val="24"/>
        </w:rPr>
        <w:t>X</w:t>
      </w:r>
      <w:r>
        <w:rPr>
          <w:rFonts w:ascii="Times New Roman"/>
          <w:bCs/>
          <w:sz w:val="24"/>
          <w:szCs w:val="24"/>
          <w:vertAlign w:val="subscript"/>
        </w:rPr>
        <w:t>32</w:t>
      </w:r>
      <w:r>
        <w:rPr>
          <w:rFonts w:ascii="Times New Roman"/>
          <w:bCs/>
          <w:sz w:val="24"/>
          <w:szCs w:val="24"/>
        </w:rPr>
        <w:t>，隧道经过断层破碎带的地段地质条件复杂，围岩岩性陡然变差，支护难以及时跟进变化，导致围岩发生较大范围内的变形。隧道穿越的断层破碎带的宽度越大，发生大变形的风险越高。</w:t>
      </w:r>
    </w:p>
    <w:p w:rsidR="0073700B" w:rsidRDefault="001A2FFC" w:rsidP="00F80BAC">
      <w:pPr>
        <w:spacing w:beforeLines="50" w:before="156" w:line="360" w:lineRule="auto"/>
        <w:ind w:firstLineChars="200" w:firstLine="480"/>
        <w:rPr>
          <w:rFonts w:eastAsia="等线"/>
          <w:bCs/>
          <w:sz w:val="24"/>
        </w:rPr>
      </w:pPr>
      <w:r>
        <w:rPr>
          <w:rFonts w:hint="eastAsia"/>
          <w:bCs/>
          <w:sz w:val="24"/>
          <w:szCs w:val="24"/>
        </w:rPr>
        <w:t>（</w:t>
      </w:r>
      <w:r>
        <w:rPr>
          <w:rFonts w:hint="eastAsia"/>
          <w:bCs/>
          <w:sz w:val="24"/>
          <w:szCs w:val="24"/>
        </w:rPr>
        <w:t>5</w:t>
      </w:r>
      <w:r>
        <w:rPr>
          <w:rFonts w:hint="eastAsia"/>
          <w:bCs/>
          <w:sz w:val="24"/>
          <w:szCs w:val="24"/>
        </w:rPr>
        <w:t>）</w:t>
      </w:r>
      <w:r>
        <w:rPr>
          <w:bCs/>
          <w:sz w:val="24"/>
          <w:szCs w:val="24"/>
        </w:rPr>
        <w:t>地应力</w:t>
      </w:r>
      <w:r>
        <w:rPr>
          <w:bCs/>
          <w:i/>
          <w:iCs/>
          <w:sz w:val="24"/>
          <w:szCs w:val="24"/>
        </w:rPr>
        <w:t>X</w:t>
      </w:r>
      <w:r>
        <w:rPr>
          <w:bCs/>
          <w:sz w:val="24"/>
          <w:szCs w:val="24"/>
          <w:vertAlign w:val="subscript"/>
        </w:rPr>
        <w:t>34</w:t>
      </w:r>
      <w:r>
        <w:rPr>
          <w:bCs/>
          <w:sz w:val="24"/>
          <w:szCs w:val="24"/>
        </w:rPr>
        <w:t>，主要考虑到高地应力下软岩大变形。</w:t>
      </w:r>
      <w:r>
        <w:rPr>
          <w:bCs/>
          <w:sz w:val="24"/>
        </w:rPr>
        <w:t>一般来说，隧道埋深越大，围岩初始地应力越大。高地应力状态下，受开挖扰动影响，围岩在集中应力作用下发生显著变形，且变形时间较长，甚至在初次及二次支护后仍未稳定，影响隧道施工安全</w:t>
      </w:r>
      <w:r>
        <w:rPr>
          <w:bCs/>
          <w:sz w:val="24"/>
        </w:rPr>
        <w:fldChar w:fldCharType="begin"/>
      </w:r>
      <w:r>
        <w:rPr>
          <w:bCs/>
          <w:sz w:val="24"/>
        </w:rPr>
        <w:instrText xml:space="preserve"> ADDIN NE.Ref.{98B97A54-A57B-4CFF-8054-4BB05E62A9B2}</w:instrText>
      </w:r>
      <w:r>
        <w:rPr>
          <w:bCs/>
          <w:sz w:val="24"/>
        </w:rPr>
        <w:fldChar w:fldCharType="separate"/>
      </w:r>
      <w:r>
        <w:rPr>
          <w:color w:val="080000"/>
          <w:kern w:val="0"/>
          <w:sz w:val="24"/>
          <w:szCs w:val="24"/>
          <w:vertAlign w:val="superscript"/>
        </w:rPr>
        <w:t>[43, 44]</w:t>
      </w:r>
      <w:r>
        <w:rPr>
          <w:bCs/>
          <w:sz w:val="24"/>
        </w:rPr>
        <w:fldChar w:fldCharType="end"/>
      </w:r>
      <w:r>
        <w:rPr>
          <w:bCs/>
          <w:sz w:val="24"/>
        </w:rPr>
        <w:t>。这种情况下，地应力越大则更容易发生大变形。</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6</w:t>
      </w:r>
      <w:r>
        <w:rPr>
          <w:rFonts w:ascii="Times New Roman" w:hint="eastAsia"/>
          <w:bCs/>
          <w:sz w:val="24"/>
          <w:szCs w:val="24"/>
        </w:rPr>
        <w:t>）</w:t>
      </w:r>
      <w:r>
        <w:rPr>
          <w:rFonts w:ascii="Times New Roman"/>
          <w:bCs/>
          <w:sz w:val="24"/>
          <w:szCs w:val="24"/>
        </w:rPr>
        <w:t>预测涌水量</w:t>
      </w:r>
      <w:r>
        <w:rPr>
          <w:rFonts w:ascii="Times New Roman"/>
          <w:bCs/>
          <w:i/>
          <w:iCs/>
          <w:sz w:val="24"/>
          <w:szCs w:val="24"/>
        </w:rPr>
        <w:t>X</w:t>
      </w:r>
      <w:r>
        <w:rPr>
          <w:rFonts w:ascii="Times New Roman"/>
          <w:bCs/>
          <w:sz w:val="24"/>
          <w:szCs w:val="24"/>
          <w:vertAlign w:val="subscript"/>
        </w:rPr>
        <w:t>41</w:t>
      </w:r>
      <w:r>
        <w:rPr>
          <w:rFonts w:ascii="Times New Roman"/>
          <w:bCs/>
          <w:sz w:val="24"/>
        </w:rPr>
        <w:fldChar w:fldCharType="begin"/>
      </w:r>
      <w:r>
        <w:rPr>
          <w:rFonts w:ascii="Times New Roman"/>
          <w:bCs/>
          <w:sz w:val="24"/>
        </w:rPr>
        <w:instrText xml:space="preserve"> ADDIN NE.Ref.{205B819A-553D-4D2D-B4C3-1747F5F931F3}</w:instrText>
      </w:r>
      <w:r>
        <w:rPr>
          <w:rFonts w:ascii="Times New Roman"/>
          <w:bCs/>
          <w:sz w:val="24"/>
        </w:rPr>
        <w:fldChar w:fldCharType="separate"/>
      </w:r>
      <w:r>
        <w:rPr>
          <w:rFonts w:ascii="Times New Roman"/>
          <w:color w:val="080000"/>
          <w:sz w:val="24"/>
          <w:szCs w:val="24"/>
          <w:vertAlign w:val="superscript"/>
        </w:rPr>
        <w:t>[9]</w:t>
      </w:r>
      <w:r>
        <w:rPr>
          <w:rFonts w:ascii="Times New Roman"/>
          <w:bCs/>
          <w:sz w:val="24"/>
        </w:rPr>
        <w:fldChar w:fldCharType="end"/>
      </w:r>
      <w:r>
        <w:rPr>
          <w:rFonts w:ascii="Times New Roman"/>
          <w:bCs/>
          <w:sz w:val="24"/>
          <w:szCs w:val="24"/>
        </w:rPr>
        <w:t>，参照已有的研究结果，岩体在水的溶解、软化、侵蚀等作用下凝聚力减小，力学强度降低，围岩自稳能力下降，增加围岩变形。</w:t>
      </w:r>
    </w:p>
    <w:bookmarkEnd w:id="103"/>
    <w:p w:rsidR="0073700B" w:rsidRDefault="001A2FFC">
      <w:pPr>
        <w:pStyle w:val="3"/>
        <w:numPr>
          <w:ilvl w:val="0"/>
          <w:numId w:val="0"/>
        </w:numPr>
        <w:ind w:left="426"/>
        <w:rPr>
          <w:b/>
          <w:bCs w:val="0"/>
        </w:rPr>
      </w:pPr>
      <w:r>
        <w:rPr>
          <w:b/>
          <w:bCs w:val="0"/>
        </w:rPr>
        <w:t xml:space="preserve">13. </w:t>
      </w:r>
      <w:r>
        <w:rPr>
          <w:b/>
          <w:bCs w:val="0"/>
        </w:rPr>
        <w:t>附录</w:t>
      </w:r>
      <w:r>
        <w:rPr>
          <w:b/>
          <w:bCs w:val="0"/>
        </w:rPr>
        <w:t>A.5</w:t>
      </w:r>
      <w:r>
        <w:rPr>
          <w:b/>
          <w:bCs w:val="0"/>
        </w:rPr>
        <w:t>（资料性附录）隧道施工前瓦斯爆炸风险事件可能性评估指标体系</w:t>
      </w:r>
    </w:p>
    <w:p w:rsidR="0073700B" w:rsidRDefault="001A2FFC" w:rsidP="00F80BAC">
      <w:pPr>
        <w:pStyle w:val="af7"/>
        <w:spacing w:beforeLines="50" w:before="156" w:line="360" w:lineRule="auto"/>
        <w:ind w:firstLine="480"/>
        <w:rPr>
          <w:rFonts w:ascii="Times New Roman"/>
          <w:bCs/>
          <w:sz w:val="24"/>
          <w:szCs w:val="24"/>
        </w:rPr>
      </w:pPr>
      <w:bookmarkStart w:id="104" w:name="_Hlk536127396"/>
      <w:r>
        <w:rPr>
          <w:rFonts w:ascii="Times New Roman"/>
          <w:bCs/>
          <w:sz w:val="24"/>
          <w:szCs w:val="24"/>
        </w:rPr>
        <w:t>根据前期指南编制小组对国内外隧道瓦斯爆炸风险事件案例的研究成果和专家意见，从地质条件、</w:t>
      </w:r>
      <w:bookmarkStart w:id="105" w:name="_Hlk25592322"/>
      <w:r>
        <w:rPr>
          <w:rFonts w:ascii="Times New Roman"/>
          <w:bCs/>
          <w:sz w:val="24"/>
          <w:szCs w:val="24"/>
        </w:rPr>
        <w:t>瓦斯</w:t>
      </w:r>
      <w:bookmarkEnd w:id="105"/>
      <w:r>
        <w:rPr>
          <w:rFonts w:ascii="Times New Roman"/>
          <w:bCs/>
          <w:sz w:val="24"/>
          <w:szCs w:val="24"/>
        </w:rPr>
        <w:t>因素等两个方面建立施工前瓦斯爆炸风险事件评估指标体系。</w:t>
      </w:r>
      <w:bookmarkEnd w:id="104"/>
      <w:r>
        <w:rPr>
          <w:rFonts w:ascii="Times New Roman"/>
          <w:bCs/>
          <w:sz w:val="24"/>
          <w:szCs w:val="24"/>
        </w:rPr>
        <w:t>其中地质条件包含了煤层厚度、隧道距煤层距离等指标，瓦斯因素包含了预测瓦斯压力、预测瓦斯涌出量等指标。</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w:t>
      </w:r>
      <w:r>
        <w:rPr>
          <w:rFonts w:ascii="Times New Roman" w:hint="eastAsia"/>
          <w:bCs/>
          <w:sz w:val="24"/>
          <w:szCs w:val="24"/>
        </w:rPr>
        <w:t>）</w:t>
      </w:r>
      <w:r>
        <w:rPr>
          <w:rFonts w:ascii="Times New Roman"/>
          <w:bCs/>
          <w:sz w:val="24"/>
          <w:szCs w:val="24"/>
        </w:rPr>
        <w:t>煤层厚度</w:t>
      </w:r>
      <w:r>
        <w:rPr>
          <w:rFonts w:ascii="Times New Roman"/>
          <w:bCs/>
          <w:i/>
          <w:iCs/>
          <w:sz w:val="24"/>
          <w:szCs w:val="24"/>
        </w:rPr>
        <w:t>X</w:t>
      </w:r>
      <w:r>
        <w:rPr>
          <w:rFonts w:ascii="Times New Roman"/>
          <w:bCs/>
          <w:sz w:val="24"/>
          <w:szCs w:val="24"/>
          <w:vertAlign w:val="subscript"/>
        </w:rPr>
        <w:t>11</w:t>
      </w:r>
      <w:r>
        <w:rPr>
          <w:rFonts w:ascii="Times New Roman"/>
          <w:bCs/>
          <w:sz w:val="24"/>
          <w:szCs w:val="24"/>
        </w:rPr>
        <w:t>，煤层厚度影响其内部瓦斯的蕴藏量，煤层越厚，对</w:t>
      </w:r>
      <w:r>
        <w:rPr>
          <w:rFonts w:ascii="Times New Roman"/>
          <w:bCs/>
          <w:sz w:val="24"/>
          <w:szCs w:val="24"/>
        </w:rPr>
        <w:t>应的风险等级越高。评估时应综合考量含煤地层的分布，煤层数及顶底板特征和位置，煤层厚度、倾角</w:t>
      </w:r>
      <w:r>
        <w:rPr>
          <w:rFonts w:ascii="Times New Roman"/>
          <w:bCs/>
          <w:sz w:val="24"/>
          <w:szCs w:val="24"/>
        </w:rPr>
        <w:fldChar w:fldCharType="begin"/>
      </w:r>
      <w:r>
        <w:rPr>
          <w:rFonts w:ascii="Times New Roman"/>
          <w:bCs/>
          <w:sz w:val="24"/>
          <w:szCs w:val="24"/>
        </w:rPr>
        <w:instrText xml:space="preserve"> ADDIN NE.Ref.{62A64918-DACE-415C-ADBA-EB8846DC1844}</w:instrText>
      </w:r>
      <w:r>
        <w:rPr>
          <w:rFonts w:ascii="Times New Roman"/>
          <w:bCs/>
          <w:sz w:val="24"/>
          <w:szCs w:val="24"/>
        </w:rPr>
        <w:fldChar w:fldCharType="separate"/>
      </w:r>
      <w:r>
        <w:rPr>
          <w:rFonts w:ascii="Times New Roman"/>
          <w:color w:val="080000"/>
          <w:sz w:val="24"/>
          <w:szCs w:val="24"/>
          <w:vertAlign w:val="superscript"/>
        </w:rPr>
        <w:t>[45]</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2</w:t>
      </w:r>
      <w:r>
        <w:rPr>
          <w:rFonts w:ascii="Times New Roman" w:hint="eastAsia"/>
          <w:bCs/>
          <w:sz w:val="24"/>
          <w:szCs w:val="24"/>
        </w:rPr>
        <w:t>）</w:t>
      </w:r>
      <w:r>
        <w:rPr>
          <w:rFonts w:ascii="Times New Roman"/>
          <w:bCs/>
          <w:sz w:val="24"/>
          <w:szCs w:val="24"/>
        </w:rPr>
        <w:t>隧道距煤层距离</w:t>
      </w:r>
      <w:r>
        <w:rPr>
          <w:rFonts w:ascii="Times New Roman"/>
          <w:bCs/>
          <w:i/>
          <w:iCs/>
          <w:sz w:val="24"/>
          <w:szCs w:val="24"/>
        </w:rPr>
        <w:t>X</w:t>
      </w:r>
      <w:r>
        <w:rPr>
          <w:rFonts w:ascii="Times New Roman"/>
          <w:bCs/>
          <w:sz w:val="24"/>
          <w:szCs w:val="24"/>
          <w:vertAlign w:val="subscript"/>
        </w:rPr>
        <w:t>12</w:t>
      </w:r>
      <w:r>
        <w:rPr>
          <w:rFonts w:ascii="Times New Roman"/>
          <w:bCs/>
          <w:sz w:val="24"/>
          <w:szCs w:val="24"/>
        </w:rPr>
        <w:fldChar w:fldCharType="begin"/>
      </w:r>
      <w:r>
        <w:rPr>
          <w:rFonts w:ascii="Times New Roman"/>
          <w:bCs/>
          <w:sz w:val="24"/>
          <w:szCs w:val="24"/>
        </w:rPr>
        <w:instrText xml:space="preserve"> ADDIN NE.Ref.{B518EDC2-3850-4ACF-8C12-C24C81E58F6F}</w:instrText>
      </w:r>
      <w:r>
        <w:rPr>
          <w:rFonts w:ascii="Times New Roman"/>
          <w:bCs/>
          <w:sz w:val="24"/>
          <w:szCs w:val="24"/>
        </w:rPr>
        <w:fldChar w:fldCharType="separate"/>
      </w:r>
      <w:r>
        <w:rPr>
          <w:rFonts w:ascii="Times New Roman"/>
          <w:color w:val="080000"/>
          <w:sz w:val="24"/>
          <w:szCs w:val="24"/>
          <w:vertAlign w:val="superscript"/>
        </w:rPr>
        <w:t>[45]</w:t>
      </w:r>
      <w:r>
        <w:rPr>
          <w:rFonts w:ascii="Times New Roman"/>
          <w:bCs/>
          <w:sz w:val="24"/>
          <w:szCs w:val="24"/>
        </w:rPr>
        <w:fldChar w:fldCharType="end"/>
      </w:r>
      <w:r>
        <w:rPr>
          <w:rFonts w:ascii="Times New Roman"/>
          <w:bCs/>
          <w:sz w:val="24"/>
          <w:szCs w:val="24"/>
        </w:rPr>
        <w:t>，指隧道中心线距周边瓦斯煤层的最小直线距离</w:t>
      </w:r>
      <w:r>
        <w:rPr>
          <w:rFonts w:ascii="Times New Roman"/>
          <w:bCs/>
          <w:sz w:val="24"/>
          <w:szCs w:val="24"/>
        </w:rPr>
        <w:fldChar w:fldCharType="begin"/>
      </w:r>
      <w:r>
        <w:rPr>
          <w:rFonts w:ascii="Times New Roman"/>
          <w:bCs/>
          <w:sz w:val="24"/>
          <w:szCs w:val="24"/>
        </w:rPr>
        <w:instrText xml:space="preserve"> ADDIN NE.Ref.{2B892DBD-5A4A-4B4D-B42E-D012AB27C47C}</w:instrText>
      </w:r>
      <w:r>
        <w:rPr>
          <w:rFonts w:ascii="Times New Roman"/>
          <w:bCs/>
          <w:sz w:val="24"/>
          <w:szCs w:val="24"/>
        </w:rPr>
        <w:fldChar w:fldCharType="separate"/>
      </w:r>
      <w:r>
        <w:rPr>
          <w:rFonts w:ascii="Times New Roman"/>
          <w:color w:val="080000"/>
          <w:sz w:val="24"/>
          <w:szCs w:val="24"/>
          <w:vertAlign w:val="superscript"/>
        </w:rPr>
        <w:t>[46]</w:t>
      </w:r>
      <w:r>
        <w:rPr>
          <w:rFonts w:ascii="Times New Roman"/>
          <w:bCs/>
          <w:sz w:val="24"/>
          <w:szCs w:val="24"/>
        </w:rPr>
        <w:fldChar w:fldCharType="end"/>
      </w:r>
      <w:r>
        <w:rPr>
          <w:rFonts w:ascii="Times New Roman"/>
          <w:bCs/>
          <w:sz w:val="24"/>
          <w:szCs w:val="24"/>
        </w:rPr>
        <w:t>。距离越近，越易受瓦斯侵扰，施工时发生瓦斯爆炸的风险越高。</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3</w:t>
      </w:r>
      <w:r>
        <w:rPr>
          <w:rFonts w:ascii="Times New Roman" w:hint="eastAsia"/>
          <w:bCs/>
          <w:sz w:val="24"/>
          <w:szCs w:val="24"/>
        </w:rPr>
        <w:t>）</w:t>
      </w:r>
      <w:r>
        <w:rPr>
          <w:rFonts w:ascii="Times New Roman"/>
          <w:bCs/>
          <w:sz w:val="24"/>
          <w:szCs w:val="24"/>
        </w:rPr>
        <w:t>预测瓦斯压力</w:t>
      </w:r>
      <w:r>
        <w:rPr>
          <w:rFonts w:ascii="Times New Roman"/>
          <w:bCs/>
          <w:i/>
          <w:iCs/>
          <w:sz w:val="24"/>
          <w:szCs w:val="24"/>
        </w:rPr>
        <w:t>X</w:t>
      </w:r>
      <w:r>
        <w:rPr>
          <w:rFonts w:ascii="Times New Roman"/>
          <w:bCs/>
          <w:sz w:val="24"/>
          <w:szCs w:val="24"/>
          <w:vertAlign w:val="subscript"/>
        </w:rPr>
        <w:t>21</w:t>
      </w:r>
      <w:r>
        <w:rPr>
          <w:rFonts w:ascii="Times New Roman"/>
          <w:bCs/>
          <w:sz w:val="24"/>
          <w:szCs w:val="24"/>
          <w:vertAlign w:val="subscript"/>
        </w:rPr>
        <w:fldChar w:fldCharType="begin"/>
      </w:r>
      <w:r>
        <w:rPr>
          <w:rFonts w:ascii="Times New Roman"/>
          <w:bCs/>
          <w:sz w:val="24"/>
          <w:szCs w:val="24"/>
          <w:vertAlign w:val="subscript"/>
        </w:rPr>
        <w:instrText xml:space="preserve"> ADDIN NE.Ref.{6B33A5A2-E4D9-4DF7-845E-E0303DE2A30A}</w:instrText>
      </w:r>
      <w:r>
        <w:rPr>
          <w:rFonts w:ascii="Times New Roman"/>
          <w:bCs/>
          <w:sz w:val="24"/>
          <w:szCs w:val="24"/>
          <w:vertAlign w:val="subscript"/>
        </w:rPr>
        <w:fldChar w:fldCharType="separate"/>
      </w:r>
      <w:r>
        <w:rPr>
          <w:rFonts w:ascii="Times New Roman"/>
          <w:color w:val="080000"/>
          <w:sz w:val="24"/>
          <w:szCs w:val="24"/>
          <w:vertAlign w:val="superscript"/>
        </w:rPr>
        <w:t>[47]</w:t>
      </w:r>
      <w:r>
        <w:rPr>
          <w:rFonts w:ascii="Times New Roman"/>
          <w:bCs/>
          <w:sz w:val="24"/>
          <w:szCs w:val="24"/>
          <w:vertAlign w:val="subscript"/>
        </w:rPr>
        <w:fldChar w:fldCharType="end"/>
      </w:r>
      <w:r>
        <w:rPr>
          <w:rFonts w:ascii="Times New Roman"/>
          <w:bCs/>
          <w:sz w:val="24"/>
          <w:szCs w:val="24"/>
        </w:rPr>
        <w:t>，指受开挖扰动前的地层中瓦斯的压力。瓦斯压力越大，发生瓦斯爆炸的风险越高，《铁路瓦斯隧道技术规范》（</w:t>
      </w:r>
      <w:r>
        <w:rPr>
          <w:rFonts w:ascii="Times New Roman"/>
          <w:bCs/>
          <w:sz w:val="24"/>
          <w:szCs w:val="24"/>
        </w:rPr>
        <w:t>TB 10120-2019</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NE.Ref.{114DFBFE-51AF-427D-96B3-FA5B0073C3E0}</w:instrText>
      </w:r>
      <w:r>
        <w:rPr>
          <w:rFonts w:ascii="Times New Roman"/>
          <w:bCs/>
          <w:sz w:val="24"/>
          <w:szCs w:val="24"/>
        </w:rPr>
        <w:fldChar w:fldCharType="separate"/>
      </w:r>
      <w:r>
        <w:rPr>
          <w:rFonts w:ascii="Times New Roman"/>
          <w:color w:val="080000"/>
          <w:sz w:val="24"/>
          <w:szCs w:val="24"/>
          <w:vertAlign w:val="superscript"/>
        </w:rPr>
        <w:t>[48]</w:t>
      </w:r>
      <w:r>
        <w:rPr>
          <w:rFonts w:ascii="Times New Roman"/>
          <w:bCs/>
          <w:sz w:val="24"/>
          <w:szCs w:val="24"/>
        </w:rPr>
        <w:fldChar w:fldCharType="end"/>
      </w:r>
      <w:r>
        <w:rPr>
          <w:rFonts w:ascii="Times New Roman"/>
          <w:bCs/>
          <w:sz w:val="24"/>
          <w:szCs w:val="24"/>
        </w:rPr>
        <w:t>中按照瓦斯压力和煤层瓦斯含量将瓦斯隧道工区分为非瓦斯、微瓦斯、低瓦</w:t>
      </w:r>
      <w:r>
        <w:rPr>
          <w:rFonts w:ascii="Times New Roman"/>
          <w:bCs/>
          <w:sz w:val="24"/>
          <w:szCs w:val="24"/>
        </w:rPr>
        <w:lastRenderedPageBreak/>
        <w:t>斯、高瓦斯和瓦斯突出</w:t>
      </w:r>
      <w:r>
        <w:rPr>
          <w:rFonts w:ascii="Times New Roman"/>
          <w:bCs/>
          <w:sz w:val="24"/>
          <w:szCs w:val="24"/>
        </w:rPr>
        <w:t>5</w:t>
      </w:r>
      <w:r>
        <w:rPr>
          <w:rFonts w:ascii="Times New Roman"/>
          <w:bCs/>
          <w:sz w:val="24"/>
          <w:szCs w:val="24"/>
        </w:rPr>
        <w:t>个等级，而瓦斯压力有三个区间，分别为</w:t>
      </w:r>
      <w:r>
        <w:rPr>
          <w:rFonts w:ascii="Times New Roman"/>
          <w:bCs/>
          <w:sz w:val="24"/>
          <w:szCs w:val="24"/>
        </w:rPr>
        <w:t>&lt;0.1MPa</w:t>
      </w:r>
      <w:r>
        <w:rPr>
          <w:rFonts w:ascii="Times New Roman"/>
          <w:bCs/>
          <w:sz w:val="24"/>
          <w:szCs w:val="24"/>
        </w:rPr>
        <w:t>、</w:t>
      </w:r>
      <w:r>
        <w:rPr>
          <w:rFonts w:ascii="Times New Roman"/>
          <w:bCs/>
          <w:sz w:val="24"/>
          <w:szCs w:val="24"/>
        </w:rPr>
        <w:t>0.1~0.74MPa</w:t>
      </w:r>
      <w:r>
        <w:rPr>
          <w:rFonts w:ascii="Times New Roman"/>
          <w:bCs/>
          <w:sz w:val="24"/>
          <w:szCs w:val="24"/>
        </w:rPr>
        <w:t>和</w:t>
      </w:r>
      <w:r>
        <w:rPr>
          <w:rFonts w:ascii="Times New Roman"/>
          <w:bCs/>
          <w:sz w:val="24"/>
          <w:szCs w:val="24"/>
        </w:rPr>
        <w:t>≥0.74MPa</w:t>
      </w:r>
      <w:r>
        <w:rPr>
          <w:rFonts w:ascii="Times New Roman"/>
          <w:bCs/>
          <w:sz w:val="24"/>
          <w:szCs w:val="24"/>
        </w:rPr>
        <w:t>。当瓦斯压力</w:t>
      </w:r>
      <w:r>
        <w:rPr>
          <w:rFonts w:ascii="Times New Roman"/>
          <w:bCs/>
          <w:sz w:val="24"/>
          <w:szCs w:val="24"/>
        </w:rPr>
        <w:t>≥0.74MPa</w:t>
      </w:r>
      <w:r>
        <w:rPr>
          <w:rFonts w:ascii="Times New Roman"/>
          <w:bCs/>
          <w:sz w:val="24"/>
          <w:szCs w:val="24"/>
        </w:rPr>
        <w:t>时，有瓦斯突出的危险。</w:t>
      </w:r>
    </w:p>
    <w:p w:rsidR="0073700B" w:rsidRDefault="001A2FFC" w:rsidP="00F80BAC">
      <w:pPr>
        <w:pStyle w:val="af7"/>
        <w:spacing w:beforeLines="50" w:before="156" w:line="360" w:lineRule="auto"/>
        <w:ind w:firstLine="480"/>
        <w:rPr>
          <w:rFonts w:ascii="Times New Roman"/>
          <w:bCs/>
          <w:sz w:val="24"/>
          <w:szCs w:val="21"/>
        </w:rPr>
      </w:pPr>
      <w:bookmarkStart w:id="106" w:name="_Hlk13250214"/>
      <w:r>
        <w:rPr>
          <w:rFonts w:ascii="Times New Roman" w:hint="eastAsia"/>
          <w:bCs/>
          <w:sz w:val="24"/>
          <w:szCs w:val="24"/>
        </w:rPr>
        <w:t>（</w:t>
      </w:r>
      <w:r>
        <w:rPr>
          <w:rFonts w:ascii="Times New Roman" w:hint="eastAsia"/>
          <w:bCs/>
          <w:sz w:val="24"/>
          <w:szCs w:val="24"/>
        </w:rPr>
        <w:t>4</w:t>
      </w:r>
      <w:r>
        <w:rPr>
          <w:rFonts w:ascii="Times New Roman" w:hint="eastAsia"/>
          <w:bCs/>
          <w:sz w:val="24"/>
          <w:szCs w:val="24"/>
        </w:rPr>
        <w:t>）</w:t>
      </w:r>
      <w:r>
        <w:rPr>
          <w:rFonts w:ascii="Times New Roman"/>
          <w:bCs/>
          <w:sz w:val="24"/>
          <w:szCs w:val="24"/>
        </w:rPr>
        <w:t>预测瓦斯涌出量</w:t>
      </w:r>
      <w:r>
        <w:rPr>
          <w:rFonts w:ascii="Times New Roman"/>
          <w:bCs/>
          <w:i/>
          <w:iCs/>
          <w:sz w:val="24"/>
          <w:szCs w:val="24"/>
        </w:rPr>
        <w:t>X</w:t>
      </w:r>
      <w:r>
        <w:rPr>
          <w:rFonts w:ascii="Times New Roman"/>
          <w:bCs/>
          <w:sz w:val="24"/>
          <w:szCs w:val="24"/>
          <w:vertAlign w:val="subscript"/>
        </w:rPr>
        <w:t>22</w:t>
      </w:r>
      <w:r>
        <w:rPr>
          <w:rFonts w:ascii="Times New Roman"/>
          <w:bCs/>
          <w:sz w:val="24"/>
          <w:szCs w:val="24"/>
        </w:rPr>
        <w:t>，指施工前预测的单位时间内从煤层和采落的煤</w:t>
      </w:r>
      <w:r>
        <w:rPr>
          <w:rFonts w:ascii="Times New Roman"/>
          <w:bCs/>
          <w:sz w:val="24"/>
          <w:szCs w:val="24"/>
        </w:rPr>
        <w:t>(</w:t>
      </w:r>
      <w:r>
        <w:rPr>
          <w:rFonts w:ascii="Times New Roman"/>
          <w:bCs/>
          <w:sz w:val="24"/>
          <w:szCs w:val="24"/>
        </w:rPr>
        <w:t>岩</w:t>
      </w:r>
      <w:r>
        <w:rPr>
          <w:rFonts w:ascii="Times New Roman"/>
          <w:bCs/>
          <w:sz w:val="24"/>
          <w:szCs w:val="24"/>
        </w:rPr>
        <w:t>)</w:t>
      </w:r>
      <w:r>
        <w:rPr>
          <w:rFonts w:ascii="Times New Roman"/>
          <w:bCs/>
          <w:sz w:val="24"/>
          <w:szCs w:val="24"/>
        </w:rPr>
        <w:t>中所涌出的瓦斯量。瓦斯涌出量直接影响发生瓦斯爆炸风险事件的可能性，瓦斯涌出越多，发生瓦斯爆炸的风险越大。</w:t>
      </w:r>
      <w:bookmarkEnd w:id="106"/>
      <w:r>
        <w:rPr>
          <w:rFonts w:ascii="Times New Roman"/>
          <w:bCs/>
          <w:color w:val="000000"/>
          <w:sz w:val="24"/>
          <w:szCs w:val="21"/>
        </w:rPr>
        <w:t>本标准参考《铁路隧道设计规范》（</w:t>
      </w:r>
      <w:r>
        <w:rPr>
          <w:rFonts w:ascii="Times New Roman"/>
          <w:bCs/>
          <w:color w:val="000000"/>
          <w:sz w:val="24"/>
          <w:szCs w:val="21"/>
        </w:rPr>
        <w:t>TB 10003-</w:t>
      </w:r>
      <w:r>
        <w:rPr>
          <w:rFonts w:ascii="Times New Roman"/>
          <w:bCs/>
          <w:sz w:val="24"/>
        </w:rPr>
        <w:t>2016</w:t>
      </w:r>
      <w:r>
        <w:rPr>
          <w:rFonts w:ascii="Times New Roman"/>
          <w:bCs/>
          <w:color w:val="000000"/>
          <w:sz w:val="24"/>
          <w:szCs w:val="21"/>
        </w:rPr>
        <w:t>）</w:t>
      </w:r>
      <w:r>
        <w:rPr>
          <w:rFonts w:ascii="Times New Roman"/>
          <w:bCs/>
          <w:color w:val="000000"/>
          <w:sz w:val="24"/>
          <w:szCs w:val="21"/>
        </w:rPr>
        <w:fldChar w:fldCharType="begin"/>
      </w:r>
      <w:r>
        <w:rPr>
          <w:rFonts w:ascii="Times New Roman"/>
          <w:bCs/>
          <w:color w:val="000000"/>
          <w:sz w:val="24"/>
          <w:szCs w:val="21"/>
        </w:rPr>
        <w:instrText xml:space="preserve"> ADDIN NE.Ref.{444F1B</w:instrText>
      </w:r>
      <w:r>
        <w:rPr>
          <w:rFonts w:ascii="Times New Roman"/>
          <w:bCs/>
          <w:color w:val="000000"/>
          <w:sz w:val="24"/>
          <w:szCs w:val="21"/>
        </w:rPr>
        <w:instrText>7C-F651-493F-99BC-0200459F26E8}</w:instrText>
      </w:r>
      <w:r>
        <w:rPr>
          <w:rFonts w:ascii="Times New Roman"/>
          <w:bCs/>
          <w:color w:val="000000"/>
          <w:sz w:val="24"/>
          <w:szCs w:val="21"/>
        </w:rPr>
        <w:fldChar w:fldCharType="separate"/>
      </w:r>
      <w:r>
        <w:rPr>
          <w:rFonts w:ascii="Times New Roman"/>
          <w:color w:val="080000"/>
          <w:sz w:val="24"/>
          <w:szCs w:val="24"/>
          <w:vertAlign w:val="superscript"/>
        </w:rPr>
        <w:t>[15]</w:t>
      </w:r>
      <w:r>
        <w:rPr>
          <w:rFonts w:ascii="Times New Roman"/>
          <w:bCs/>
          <w:color w:val="000000"/>
          <w:sz w:val="24"/>
          <w:szCs w:val="21"/>
        </w:rPr>
        <w:fldChar w:fldCharType="end"/>
      </w:r>
      <w:r>
        <w:rPr>
          <w:rFonts w:ascii="Times New Roman"/>
          <w:bCs/>
          <w:color w:val="000000"/>
          <w:sz w:val="24"/>
          <w:szCs w:val="21"/>
        </w:rPr>
        <w:t>，将瓦斯涌出量划分为</w:t>
      </w:r>
      <w:r>
        <w:rPr>
          <w:rFonts w:ascii="Times New Roman"/>
          <w:bCs/>
          <w:sz w:val="24"/>
          <w:szCs w:val="21"/>
        </w:rPr>
        <w:t>大于</w:t>
      </w:r>
      <w:r>
        <w:rPr>
          <w:rFonts w:ascii="Times New Roman"/>
          <w:bCs/>
          <w:sz w:val="24"/>
          <w:szCs w:val="21"/>
        </w:rPr>
        <w:t>1m</w:t>
      </w:r>
      <w:r>
        <w:rPr>
          <w:rFonts w:ascii="Times New Roman"/>
          <w:bCs/>
          <w:sz w:val="24"/>
          <w:szCs w:val="21"/>
          <w:vertAlign w:val="superscript"/>
        </w:rPr>
        <w:t>3</w:t>
      </w:r>
      <w:r>
        <w:rPr>
          <w:rFonts w:ascii="Times New Roman"/>
          <w:bCs/>
          <w:sz w:val="24"/>
          <w:szCs w:val="21"/>
        </w:rPr>
        <w:t>/min</w:t>
      </w:r>
      <w:r>
        <w:rPr>
          <w:rFonts w:ascii="Times New Roman"/>
          <w:bCs/>
          <w:sz w:val="24"/>
          <w:szCs w:val="21"/>
        </w:rPr>
        <w:t>、</w:t>
      </w:r>
      <w:r>
        <w:rPr>
          <w:rFonts w:ascii="Times New Roman"/>
          <w:bCs/>
          <w:sz w:val="24"/>
          <w:szCs w:val="21"/>
        </w:rPr>
        <w:t>0.5m</w:t>
      </w:r>
      <w:r>
        <w:rPr>
          <w:rFonts w:ascii="Times New Roman"/>
          <w:bCs/>
          <w:sz w:val="24"/>
          <w:szCs w:val="21"/>
          <w:vertAlign w:val="superscript"/>
        </w:rPr>
        <w:t>3</w:t>
      </w:r>
      <w:r>
        <w:rPr>
          <w:rFonts w:ascii="Times New Roman"/>
          <w:bCs/>
          <w:sz w:val="24"/>
          <w:szCs w:val="21"/>
        </w:rPr>
        <w:t>/min~1m</w:t>
      </w:r>
      <w:r>
        <w:rPr>
          <w:rFonts w:ascii="Times New Roman"/>
          <w:bCs/>
          <w:sz w:val="24"/>
          <w:szCs w:val="21"/>
          <w:vertAlign w:val="superscript"/>
        </w:rPr>
        <w:t>3</w:t>
      </w:r>
      <w:r>
        <w:rPr>
          <w:rFonts w:ascii="Times New Roman"/>
          <w:bCs/>
          <w:sz w:val="24"/>
          <w:szCs w:val="21"/>
        </w:rPr>
        <w:t>/min</w:t>
      </w:r>
      <w:r>
        <w:rPr>
          <w:rFonts w:ascii="Times New Roman"/>
          <w:bCs/>
          <w:sz w:val="24"/>
          <w:szCs w:val="21"/>
        </w:rPr>
        <w:t>、</w:t>
      </w:r>
      <w:r>
        <w:rPr>
          <w:rFonts w:ascii="Times New Roman"/>
          <w:bCs/>
          <w:sz w:val="24"/>
          <w:szCs w:val="21"/>
        </w:rPr>
        <w:t>0.5m</w:t>
      </w:r>
      <w:r>
        <w:rPr>
          <w:rFonts w:ascii="Times New Roman"/>
          <w:bCs/>
          <w:sz w:val="24"/>
          <w:szCs w:val="21"/>
          <w:vertAlign w:val="superscript"/>
        </w:rPr>
        <w:t>3</w:t>
      </w:r>
      <w:r>
        <w:rPr>
          <w:rFonts w:ascii="Times New Roman"/>
          <w:bCs/>
          <w:sz w:val="24"/>
          <w:szCs w:val="21"/>
        </w:rPr>
        <w:t>/min</w:t>
      </w:r>
      <w:r>
        <w:rPr>
          <w:rFonts w:ascii="Times New Roman"/>
          <w:bCs/>
          <w:sz w:val="24"/>
          <w:szCs w:val="21"/>
        </w:rPr>
        <w:t>以下、不存在瓦斯四个等级。</w:t>
      </w:r>
    </w:p>
    <w:p w:rsidR="0073700B" w:rsidRDefault="001A2FFC">
      <w:pPr>
        <w:pStyle w:val="3"/>
        <w:numPr>
          <w:ilvl w:val="0"/>
          <w:numId w:val="0"/>
        </w:numPr>
        <w:ind w:left="426"/>
        <w:rPr>
          <w:b/>
          <w:bCs w:val="0"/>
        </w:rPr>
      </w:pPr>
      <w:r>
        <w:rPr>
          <w:b/>
          <w:bCs w:val="0"/>
        </w:rPr>
        <w:t xml:space="preserve">14. </w:t>
      </w:r>
      <w:r>
        <w:rPr>
          <w:b/>
          <w:bCs w:val="0"/>
        </w:rPr>
        <w:t>附录</w:t>
      </w:r>
      <w:r>
        <w:rPr>
          <w:b/>
          <w:bCs w:val="0"/>
        </w:rPr>
        <w:t>A.6</w:t>
      </w:r>
      <w:r>
        <w:rPr>
          <w:b/>
          <w:bCs w:val="0"/>
        </w:rPr>
        <w:t>（资料性附录）隧道施工前岩爆风险事件可能性评估指标体系</w:t>
      </w:r>
    </w:p>
    <w:p w:rsidR="0073700B" w:rsidRDefault="001A2FFC" w:rsidP="00F80BAC">
      <w:pPr>
        <w:spacing w:beforeLines="50" w:before="156" w:line="360" w:lineRule="auto"/>
        <w:ind w:firstLineChars="200" w:firstLine="480"/>
        <w:rPr>
          <w:bCs/>
          <w:sz w:val="24"/>
        </w:rPr>
      </w:pPr>
      <w:r>
        <w:rPr>
          <w:bCs/>
          <w:sz w:val="24"/>
        </w:rPr>
        <w:t>近些年来，随着我国公路隧道工程建设的不断发展，埋深或地应力水平不断增高，岩爆问题日益凸显。影响岩爆发生的因素众多，主要有地层岩性、埋深、地质构造、结构面、开挖施工因素等。目前，关于岩爆定义、分类、烈度分级学术界尚未形成统一看法，但公认的是岩</w:t>
      </w:r>
      <w:r>
        <w:rPr>
          <w:bCs/>
          <w:sz w:val="24"/>
        </w:rPr>
        <w:t>爆常发生于高应力状态下的硬脆性围岩中。当前岩爆判据所需测量的岩石物理力学性质指标较多，实施操作较为繁琐。而对于隧道施工前岩爆事故可能性指标体系的建立，在满足科学性的前提下，应考虑项目开工前能够获取的信息，即指标的易获取性。</w:t>
      </w:r>
    </w:p>
    <w:p w:rsidR="0073700B" w:rsidRDefault="001A2FFC" w:rsidP="00F80BAC">
      <w:pPr>
        <w:spacing w:beforeLines="50" w:before="156" w:line="360" w:lineRule="auto"/>
        <w:ind w:firstLineChars="200" w:firstLine="480"/>
        <w:rPr>
          <w:bCs/>
          <w:sz w:val="24"/>
        </w:rPr>
      </w:pPr>
      <w:r>
        <w:rPr>
          <w:bCs/>
          <w:sz w:val="24"/>
        </w:rPr>
        <w:t>根据前期指南编制小组对国内外岩爆事故案例的研究成果和专家意见，从地质条件、岩性因素等两个方面建立评估指标体系。其中地质条件包含了地应力指标，岩性因素包含了岩体质量指标</w:t>
      </w:r>
      <w:r>
        <w:rPr>
          <w:bCs/>
          <w:sz w:val="24"/>
        </w:rPr>
        <w:t>RQD</w:t>
      </w:r>
      <w:r>
        <w:rPr>
          <w:bCs/>
          <w:sz w:val="24"/>
        </w:rPr>
        <w:t>、岩石单轴饱和抗压强度等指标。</w:t>
      </w:r>
    </w:p>
    <w:p w:rsidR="0073700B" w:rsidRDefault="001A2FFC" w:rsidP="00F80BAC">
      <w:pPr>
        <w:spacing w:beforeLines="50" w:before="156" w:line="360" w:lineRule="auto"/>
        <w:ind w:firstLineChars="200" w:firstLine="480"/>
        <w:rPr>
          <w:rFonts w:eastAsia="等线"/>
          <w:bCs/>
          <w:sz w:val="24"/>
          <w:szCs w:val="24"/>
        </w:rPr>
      </w:pPr>
      <w:r>
        <w:rPr>
          <w:rFonts w:hint="eastAsia"/>
          <w:bCs/>
          <w:sz w:val="24"/>
          <w:szCs w:val="24"/>
        </w:rPr>
        <w:t>（</w:t>
      </w:r>
      <w:r>
        <w:rPr>
          <w:rFonts w:hint="eastAsia"/>
          <w:bCs/>
          <w:sz w:val="24"/>
          <w:szCs w:val="24"/>
        </w:rPr>
        <w:t>1</w:t>
      </w:r>
      <w:r>
        <w:rPr>
          <w:rFonts w:hint="eastAsia"/>
          <w:bCs/>
          <w:sz w:val="24"/>
          <w:szCs w:val="24"/>
        </w:rPr>
        <w:t>）</w:t>
      </w:r>
      <w:r>
        <w:rPr>
          <w:bCs/>
          <w:sz w:val="24"/>
        </w:rPr>
        <w:t>地应力</w:t>
      </w:r>
      <w:r>
        <w:rPr>
          <w:bCs/>
          <w:i/>
          <w:iCs/>
          <w:sz w:val="24"/>
        </w:rPr>
        <w:t>X</w:t>
      </w:r>
      <w:r>
        <w:rPr>
          <w:bCs/>
          <w:sz w:val="24"/>
          <w:vertAlign w:val="subscript"/>
        </w:rPr>
        <w:t>11</w:t>
      </w:r>
      <w:r>
        <w:rPr>
          <w:bCs/>
          <w:sz w:val="24"/>
        </w:rPr>
        <w:t>，参考《水利水电工程地质勘察规范》（</w:t>
      </w:r>
      <w:r>
        <w:rPr>
          <w:bCs/>
          <w:sz w:val="24"/>
        </w:rPr>
        <w:t>GB 50487-2008</w:t>
      </w:r>
      <w:r>
        <w:rPr>
          <w:bCs/>
          <w:sz w:val="24"/>
        </w:rPr>
        <w:t>）</w:t>
      </w:r>
      <w:r>
        <w:rPr>
          <w:bCs/>
          <w:sz w:val="24"/>
        </w:rPr>
        <w:fldChar w:fldCharType="begin"/>
      </w:r>
      <w:r>
        <w:rPr>
          <w:bCs/>
          <w:sz w:val="24"/>
        </w:rPr>
        <w:instrText xml:space="preserve"> ADDIN NE.Ref.{F6B6C168-E4D5-4168-9972-A2AAB3A30EFE}</w:instrText>
      </w:r>
      <w:r>
        <w:rPr>
          <w:bCs/>
          <w:sz w:val="24"/>
        </w:rPr>
        <w:fldChar w:fldCharType="separate"/>
      </w:r>
      <w:r>
        <w:rPr>
          <w:color w:val="080000"/>
          <w:kern w:val="0"/>
          <w:sz w:val="24"/>
          <w:szCs w:val="24"/>
          <w:vertAlign w:val="superscript"/>
        </w:rPr>
        <w:t>[49]</w:t>
      </w:r>
      <w:r>
        <w:rPr>
          <w:bCs/>
          <w:sz w:val="24"/>
        </w:rPr>
        <w:fldChar w:fldCharType="end"/>
      </w:r>
      <w:r>
        <w:rPr>
          <w:bCs/>
          <w:sz w:val="24"/>
        </w:rPr>
        <w:t>、《公路隧道施工技术规范》（</w:t>
      </w:r>
      <w:r>
        <w:rPr>
          <w:bCs/>
          <w:sz w:val="24"/>
        </w:rPr>
        <w:t>JTG F60—2009</w:t>
      </w:r>
      <w:r>
        <w:rPr>
          <w:bCs/>
          <w:sz w:val="24"/>
        </w:rPr>
        <w:t>）</w:t>
      </w:r>
      <w:r>
        <w:rPr>
          <w:bCs/>
          <w:sz w:val="24"/>
        </w:rPr>
        <w:fldChar w:fldCharType="begin"/>
      </w:r>
      <w:r>
        <w:rPr>
          <w:bCs/>
          <w:sz w:val="24"/>
        </w:rPr>
        <w:instrText xml:space="preserve"> ADDIN NE.Ref.{DF4172EA-7AD9-4DF4-BE95-4C2C298F4E5E}</w:instrText>
      </w:r>
      <w:r>
        <w:rPr>
          <w:bCs/>
          <w:sz w:val="24"/>
        </w:rPr>
        <w:fldChar w:fldCharType="separate"/>
      </w:r>
      <w:r>
        <w:rPr>
          <w:color w:val="080000"/>
          <w:kern w:val="0"/>
          <w:sz w:val="24"/>
          <w:szCs w:val="24"/>
          <w:vertAlign w:val="superscript"/>
        </w:rPr>
        <w:t>[17]</w:t>
      </w:r>
      <w:r>
        <w:rPr>
          <w:bCs/>
          <w:sz w:val="24"/>
        </w:rPr>
        <w:fldChar w:fldCharType="end"/>
      </w:r>
      <w:r>
        <w:rPr>
          <w:bCs/>
          <w:sz w:val="24"/>
        </w:rPr>
        <w:t>知，高地应力是发生岩爆的必要条件。通常来说，初始地应力水平越高，发生岩爆的风险越高。结合隧道实际工程经验并参照</w:t>
      </w:r>
      <w:r>
        <w:rPr>
          <w:bCs/>
          <w:sz w:val="24"/>
          <w:szCs w:val="20"/>
        </w:rPr>
        <w:t>《水力发电工程地质勘察规范》</w:t>
      </w:r>
      <w:r>
        <w:rPr>
          <w:bCs/>
          <w:sz w:val="24"/>
          <w:szCs w:val="20"/>
        </w:rPr>
        <w:t>(GB50287-2016)</w:t>
      </w:r>
      <w:r>
        <w:rPr>
          <w:bCs/>
          <w:sz w:val="24"/>
          <w:szCs w:val="20"/>
        </w:rPr>
        <w:fldChar w:fldCharType="begin"/>
      </w:r>
      <w:r>
        <w:rPr>
          <w:bCs/>
          <w:sz w:val="24"/>
          <w:szCs w:val="20"/>
        </w:rPr>
        <w:instrText xml:space="preserve"> ADDIN NE.Ref.{A9D5928B-9539</w:instrText>
      </w:r>
      <w:r>
        <w:rPr>
          <w:bCs/>
          <w:sz w:val="24"/>
          <w:szCs w:val="20"/>
        </w:rPr>
        <w:instrText>-4263-8BB8-A1C0D2B8AA3A}</w:instrText>
      </w:r>
      <w:r>
        <w:rPr>
          <w:bCs/>
          <w:sz w:val="24"/>
          <w:szCs w:val="20"/>
        </w:rPr>
        <w:fldChar w:fldCharType="separate"/>
      </w:r>
      <w:r>
        <w:rPr>
          <w:color w:val="080000"/>
          <w:kern w:val="0"/>
          <w:sz w:val="24"/>
          <w:szCs w:val="24"/>
          <w:vertAlign w:val="superscript"/>
        </w:rPr>
        <w:t>[12]</w:t>
      </w:r>
      <w:r>
        <w:rPr>
          <w:bCs/>
          <w:sz w:val="24"/>
          <w:szCs w:val="20"/>
        </w:rPr>
        <w:fldChar w:fldCharType="end"/>
      </w:r>
      <w:r>
        <w:rPr>
          <w:bCs/>
          <w:sz w:val="24"/>
        </w:rPr>
        <w:t>，本标准将地</w:t>
      </w:r>
      <w:r>
        <w:rPr>
          <w:bCs/>
          <w:sz w:val="24"/>
          <w:szCs w:val="24"/>
        </w:rPr>
        <w:t>应力分级定为</w:t>
      </w:r>
      <w:r>
        <w:rPr>
          <w:bCs/>
          <w:sz w:val="24"/>
          <w:szCs w:val="24"/>
        </w:rPr>
        <w:t>10MPa</w:t>
      </w:r>
      <w:r>
        <w:rPr>
          <w:bCs/>
          <w:sz w:val="24"/>
          <w:szCs w:val="24"/>
        </w:rPr>
        <w:t>以下、</w:t>
      </w:r>
      <w:r>
        <w:rPr>
          <w:bCs/>
          <w:sz w:val="24"/>
          <w:szCs w:val="24"/>
        </w:rPr>
        <w:t>10MPa</w:t>
      </w:r>
      <w:r>
        <w:rPr>
          <w:bCs/>
          <w:sz w:val="24"/>
          <w:szCs w:val="24"/>
        </w:rPr>
        <w:t>、</w:t>
      </w:r>
      <w:r>
        <w:rPr>
          <w:bCs/>
          <w:sz w:val="24"/>
          <w:szCs w:val="24"/>
        </w:rPr>
        <w:t>20MPa</w:t>
      </w:r>
      <w:r>
        <w:rPr>
          <w:bCs/>
          <w:sz w:val="24"/>
          <w:szCs w:val="24"/>
        </w:rPr>
        <w:t>、</w:t>
      </w:r>
      <w:r>
        <w:rPr>
          <w:bCs/>
          <w:sz w:val="24"/>
          <w:szCs w:val="24"/>
        </w:rPr>
        <w:t>40MPa</w:t>
      </w:r>
      <w:r>
        <w:rPr>
          <w:bCs/>
          <w:sz w:val="24"/>
          <w:szCs w:val="24"/>
        </w:rPr>
        <w:t>以上四个档进行评分。</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2</w:t>
      </w:r>
      <w:r>
        <w:rPr>
          <w:rFonts w:hint="eastAsia"/>
          <w:bCs/>
          <w:sz w:val="24"/>
          <w:szCs w:val="24"/>
        </w:rPr>
        <w:t>）</w:t>
      </w:r>
      <w:r>
        <w:rPr>
          <w:bCs/>
          <w:sz w:val="24"/>
          <w:szCs w:val="21"/>
        </w:rPr>
        <w:t>岩石质量指标</w:t>
      </w:r>
      <w:r>
        <w:rPr>
          <w:bCs/>
          <w:sz w:val="24"/>
          <w:szCs w:val="21"/>
        </w:rPr>
        <w:t xml:space="preserve">RQD </w:t>
      </w:r>
      <w:r>
        <w:rPr>
          <w:bCs/>
          <w:i/>
          <w:iCs/>
          <w:sz w:val="24"/>
          <w:szCs w:val="21"/>
        </w:rPr>
        <w:t>X</w:t>
      </w:r>
      <w:r>
        <w:rPr>
          <w:bCs/>
          <w:sz w:val="24"/>
          <w:vertAlign w:val="subscript"/>
        </w:rPr>
        <w:t>21</w:t>
      </w:r>
      <w:r>
        <w:rPr>
          <w:bCs/>
          <w:sz w:val="24"/>
          <w:szCs w:val="21"/>
        </w:rPr>
        <w:t>，指长度在</w:t>
      </w:r>
      <w:r>
        <w:rPr>
          <w:bCs/>
          <w:sz w:val="24"/>
          <w:szCs w:val="21"/>
        </w:rPr>
        <w:t>10cm(</w:t>
      </w:r>
      <w:r>
        <w:rPr>
          <w:bCs/>
          <w:sz w:val="24"/>
          <w:szCs w:val="21"/>
        </w:rPr>
        <w:t>含</w:t>
      </w:r>
      <w:r>
        <w:rPr>
          <w:bCs/>
          <w:sz w:val="24"/>
          <w:szCs w:val="21"/>
        </w:rPr>
        <w:t>10cm)</w:t>
      </w:r>
      <w:r>
        <w:rPr>
          <w:bCs/>
          <w:sz w:val="24"/>
          <w:szCs w:val="21"/>
        </w:rPr>
        <w:t>以上的岩芯累计长度占钻孔长度的百分比</w:t>
      </w:r>
      <w:r>
        <w:rPr>
          <w:bCs/>
          <w:sz w:val="24"/>
          <w:szCs w:val="21"/>
        </w:rPr>
        <w:fldChar w:fldCharType="begin"/>
      </w:r>
      <w:r>
        <w:rPr>
          <w:bCs/>
          <w:sz w:val="24"/>
          <w:szCs w:val="21"/>
        </w:rPr>
        <w:instrText xml:space="preserve"> ADDIN NE.Ref.{9F3975D6-A55A-438F-A73D-20EC6829FBCE}</w:instrText>
      </w:r>
      <w:r>
        <w:rPr>
          <w:bCs/>
          <w:sz w:val="24"/>
          <w:szCs w:val="21"/>
        </w:rPr>
        <w:fldChar w:fldCharType="separate"/>
      </w:r>
      <w:r>
        <w:rPr>
          <w:color w:val="080000"/>
          <w:kern w:val="0"/>
          <w:sz w:val="24"/>
          <w:szCs w:val="24"/>
          <w:vertAlign w:val="superscript"/>
        </w:rPr>
        <w:t>[50]</w:t>
      </w:r>
      <w:r>
        <w:rPr>
          <w:bCs/>
          <w:sz w:val="24"/>
          <w:szCs w:val="21"/>
        </w:rPr>
        <w:fldChar w:fldCharType="end"/>
      </w:r>
      <w:r>
        <w:rPr>
          <w:bCs/>
          <w:sz w:val="24"/>
          <w:szCs w:val="21"/>
        </w:rPr>
        <w:t>，是</w:t>
      </w:r>
      <w:r>
        <w:rPr>
          <w:bCs/>
          <w:sz w:val="24"/>
        </w:rPr>
        <w:t>能够反映岩体完整性程度。已有的研究成果表明岩爆更易发生在完整性较好的岩体。相关文献</w:t>
      </w:r>
      <w:r>
        <w:rPr>
          <w:bCs/>
          <w:sz w:val="24"/>
        </w:rPr>
        <w:fldChar w:fldCharType="begin"/>
      </w:r>
      <w:r>
        <w:rPr>
          <w:bCs/>
          <w:sz w:val="24"/>
        </w:rPr>
        <w:instrText xml:space="preserve"> ADDIN NE.Ref.{DD1C9332-A</w:instrText>
      </w:r>
      <w:r>
        <w:rPr>
          <w:bCs/>
          <w:sz w:val="24"/>
        </w:rPr>
        <w:instrText>866-4207-B042-DCA4C6E28D96}</w:instrText>
      </w:r>
      <w:r>
        <w:rPr>
          <w:bCs/>
          <w:sz w:val="24"/>
        </w:rPr>
        <w:fldChar w:fldCharType="separate"/>
      </w:r>
      <w:r>
        <w:rPr>
          <w:color w:val="080000"/>
          <w:kern w:val="0"/>
          <w:sz w:val="24"/>
          <w:szCs w:val="24"/>
          <w:vertAlign w:val="superscript"/>
        </w:rPr>
        <w:t>[51]</w:t>
      </w:r>
      <w:r>
        <w:rPr>
          <w:bCs/>
          <w:sz w:val="24"/>
        </w:rPr>
        <w:fldChar w:fldCharType="end"/>
      </w:r>
      <w:r>
        <w:rPr>
          <w:bCs/>
          <w:sz w:val="24"/>
        </w:rPr>
        <w:t>将岩石质量以</w:t>
      </w:r>
      <w:r>
        <w:rPr>
          <w:bCs/>
          <w:sz w:val="24"/>
        </w:rPr>
        <w:t>25%</w:t>
      </w:r>
      <w:r>
        <w:rPr>
          <w:bCs/>
          <w:sz w:val="24"/>
        </w:rPr>
        <w:t>、</w:t>
      </w:r>
      <w:r>
        <w:rPr>
          <w:bCs/>
          <w:sz w:val="24"/>
        </w:rPr>
        <w:t>50%</w:t>
      </w:r>
      <w:r>
        <w:rPr>
          <w:bCs/>
          <w:sz w:val="24"/>
        </w:rPr>
        <w:t>、</w:t>
      </w:r>
      <w:r>
        <w:rPr>
          <w:bCs/>
          <w:sz w:val="24"/>
        </w:rPr>
        <w:t>70%</w:t>
      </w:r>
      <w:r>
        <w:rPr>
          <w:bCs/>
          <w:sz w:val="24"/>
        </w:rPr>
        <w:lastRenderedPageBreak/>
        <w:t>为界划分为四级，考虑到指标划分区间个数应尽量保持一致性，本标准采用</w:t>
      </w:r>
      <w:r>
        <w:rPr>
          <w:bCs/>
          <w:sz w:val="24"/>
        </w:rPr>
        <w:t>RQD</w:t>
      </w:r>
      <w:r>
        <w:rPr>
          <w:bCs/>
          <w:sz w:val="24"/>
        </w:rPr>
        <w:t>指标。</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3</w:t>
      </w:r>
      <w:r>
        <w:rPr>
          <w:rFonts w:hint="eastAsia"/>
          <w:bCs/>
          <w:sz w:val="24"/>
          <w:szCs w:val="24"/>
        </w:rPr>
        <w:t>）</w:t>
      </w:r>
      <w:r>
        <w:rPr>
          <w:bCs/>
          <w:sz w:val="24"/>
        </w:rPr>
        <w:t>岩石单轴饱和抗压强度</w:t>
      </w:r>
      <w:r>
        <w:rPr>
          <w:bCs/>
          <w:sz w:val="24"/>
          <w:vertAlign w:val="subscript"/>
        </w:rPr>
        <w:t xml:space="preserve"> </w:t>
      </w:r>
      <w:r>
        <w:rPr>
          <w:bCs/>
          <w:i/>
          <w:iCs/>
          <w:sz w:val="24"/>
          <w:szCs w:val="21"/>
        </w:rPr>
        <w:t>X</w:t>
      </w:r>
      <w:r>
        <w:rPr>
          <w:bCs/>
          <w:sz w:val="24"/>
          <w:vertAlign w:val="subscript"/>
        </w:rPr>
        <w:t>22</w:t>
      </w:r>
      <w:r>
        <w:rPr>
          <w:bCs/>
          <w:sz w:val="24"/>
        </w:rPr>
        <w:t>，参考《工程岩体分级标准》（</w:t>
      </w:r>
      <w:r>
        <w:rPr>
          <w:bCs/>
          <w:sz w:val="24"/>
        </w:rPr>
        <w:t>GB/T50218-2014</w:t>
      </w:r>
      <w:r>
        <w:rPr>
          <w:bCs/>
          <w:sz w:val="24"/>
        </w:rPr>
        <w:t>）</w:t>
      </w:r>
      <w:r>
        <w:rPr>
          <w:bCs/>
          <w:sz w:val="24"/>
        </w:rPr>
        <w:fldChar w:fldCharType="begin"/>
      </w:r>
      <w:r>
        <w:rPr>
          <w:bCs/>
          <w:sz w:val="24"/>
        </w:rPr>
        <w:instrText xml:space="preserve"> ADDIN NE.Ref.{11D650D2-09E5-4F71-B0CA-DB74F04E78B1}</w:instrText>
      </w:r>
      <w:r>
        <w:rPr>
          <w:bCs/>
          <w:sz w:val="24"/>
        </w:rPr>
        <w:fldChar w:fldCharType="separate"/>
      </w:r>
      <w:r>
        <w:rPr>
          <w:color w:val="080000"/>
          <w:kern w:val="0"/>
          <w:sz w:val="24"/>
          <w:szCs w:val="24"/>
          <w:vertAlign w:val="superscript"/>
        </w:rPr>
        <w:t>[11]</w:t>
      </w:r>
      <w:r>
        <w:rPr>
          <w:bCs/>
          <w:sz w:val="24"/>
        </w:rPr>
        <w:fldChar w:fldCharType="end"/>
      </w:r>
      <w:r>
        <w:rPr>
          <w:bCs/>
          <w:sz w:val="24"/>
        </w:rPr>
        <w:t>，该值反映了岩石在外荷载作用下，抵抗变形直至破坏的能力，也能体现岩石储能能力，且容易获得。岩石单轴饱和抗压强度</w:t>
      </w:r>
      <w:r>
        <w:rPr>
          <w:bCs/>
          <w:i/>
          <w:iCs/>
          <w:sz w:val="24"/>
        </w:rPr>
        <w:t>R</w:t>
      </w:r>
      <w:r>
        <w:rPr>
          <w:bCs/>
          <w:i/>
          <w:iCs/>
          <w:sz w:val="24"/>
          <w:vertAlign w:val="subscript"/>
        </w:rPr>
        <w:t>C</w:t>
      </w:r>
      <w:r>
        <w:rPr>
          <w:bCs/>
          <w:sz w:val="24"/>
        </w:rPr>
        <w:t>一般采</w:t>
      </w:r>
      <w:r>
        <w:rPr>
          <w:bCs/>
          <w:sz w:val="24"/>
        </w:rPr>
        <w:t>用实测值，若无实测值，可采用实测的岩石点荷载强度指数</w:t>
      </w:r>
      <w:r>
        <w:rPr>
          <w:bCs/>
          <w:i/>
          <w:iCs/>
          <w:sz w:val="24"/>
        </w:rPr>
        <w:t>I</w:t>
      </w:r>
      <w:r>
        <w:rPr>
          <w:bCs/>
          <w:sz w:val="24"/>
          <w:vertAlign w:val="subscript"/>
        </w:rPr>
        <w:t>s(50)</w:t>
      </w:r>
      <w:r>
        <w:rPr>
          <w:bCs/>
          <w:sz w:val="24"/>
        </w:rPr>
        <w:t>的换算值，即按国家标准规定的换算式计算：</w:t>
      </w:r>
    </w:p>
    <w:p w:rsidR="0073700B" w:rsidRDefault="001A2FFC" w:rsidP="00F80BAC">
      <w:pPr>
        <w:spacing w:beforeLines="50" w:before="156"/>
        <w:jc w:val="right"/>
        <w:rPr>
          <w:bCs/>
        </w:rPr>
      </w:pPr>
      <w:r>
        <w:rPr>
          <w:rFonts w:eastAsia="等线"/>
          <w:bCs/>
          <w:position w:val="-18"/>
        </w:rPr>
        <w:object w:dxaOrig="1515" w:dyaOrig="411">
          <v:shape id="_x0000_i1057" type="#_x0000_t75" style="width:75.65pt;height:20.35pt" o:ole="">
            <v:imagedata r:id="rId77" o:title=""/>
          </v:shape>
          <o:OLEObject Type="Embed" ProgID="Equation.DSMT4" ShapeID="_x0000_i1057" DrawAspect="Content" ObjectID="_1645534690" r:id="rId78"/>
        </w:object>
      </w:r>
      <w:r>
        <w:rPr>
          <w:rFonts w:eastAsia="等线"/>
          <w:bCs/>
        </w:rPr>
        <w:t xml:space="preserve">                          (A-1)</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4</w:t>
      </w:r>
      <w:r>
        <w:rPr>
          <w:rFonts w:hint="eastAsia"/>
          <w:bCs/>
          <w:sz w:val="24"/>
          <w:szCs w:val="24"/>
        </w:rPr>
        <w:t>）</w:t>
      </w:r>
      <w:r>
        <w:rPr>
          <w:bCs/>
          <w:sz w:val="24"/>
        </w:rPr>
        <w:t>岩石单轴饱和抗压强度</w:t>
      </w:r>
      <w:r>
        <w:rPr>
          <w:bCs/>
          <w:i/>
          <w:iCs/>
          <w:sz w:val="24"/>
        </w:rPr>
        <w:t>R</w:t>
      </w:r>
      <w:r>
        <w:rPr>
          <w:bCs/>
          <w:i/>
          <w:iCs/>
          <w:sz w:val="24"/>
          <w:vertAlign w:val="subscript"/>
        </w:rPr>
        <w:t>C</w:t>
      </w:r>
      <w:r>
        <w:rPr>
          <w:bCs/>
          <w:sz w:val="24"/>
          <w:vertAlign w:val="subscript"/>
        </w:rPr>
        <w:t xml:space="preserve"> </w:t>
      </w:r>
      <w:r>
        <w:rPr>
          <w:bCs/>
          <w:sz w:val="24"/>
        </w:rPr>
        <w:t>的划分方法是在总结并参考国内已有的划分方法和工程实践经验的基础上提出的。从表</w:t>
      </w:r>
      <w:r>
        <w:rPr>
          <w:bCs/>
          <w:sz w:val="24"/>
        </w:rPr>
        <w:t>A-2</w:t>
      </w:r>
      <w:r>
        <w:rPr>
          <w:bCs/>
          <w:sz w:val="24"/>
        </w:rPr>
        <w:t>中可知，各规范均以</w:t>
      </w:r>
      <w:r>
        <w:rPr>
          <w:bCs/>
          <w:sz w:val="24"/>
        </w:rPr>
        <w:t>30MPa</w:t>
      </w:r>
      <w:r>
        <w:rPr>
          <w:bCs/>
          <w:sz w:val="24"/>
        </w:rPr>
        <w:t>作为硬质岩与软质岩的划分值，以</w:t>
      </w:r>
      <w:r>
        <w:rPr>
          <w:bCs/>
          <w:sz w:val="24"/>
        </w:rPr>
        <w:t>60MPa</w:t>
      </w:r>
      <w:r>
        <w:rPr>
          <w:bCs/>
          <w:sz w:val="24"/>
        </w:rPr>
        <w:t>作为较硬岩和坚硬岩的划分值。但大量文献表明岩爆往往发生在高应力状态下围岩条件较好处，相比较而言，现有岩石单轴饱和抗压强度分级区间值偏小，故作为岩爆的评估指标，在此处上调了划分值。</w:t>
      </w:r>
    </w:p>
    <w:p w:rsidR="0073700B" w:rsidRDefault="001A2FFC">
      <w:pPr>
        <w:spacing w:line="312" w:lineRule="auto"/>
        <w:jc w:val="center"/>
        <w:rPr>
          <w:rFonts w:ascii="黑体" w:eastAsia="黑体" w:hAnsi="黑体"/>
          <w:bCs/>
          <w:sz w:val="24"/>
        </w:rPr>
      </w:pPr>
      <w:r>
        <w:rPr>
          <w:rFonts w:ascii="黑体" w:eastAsia="黑体" w:hAnsi="黑体"/>
          <w:bCs/>
          <w:sz w:val="24"/>
        </w:rPr>
        <w:t>表</w:t>
      </w:r>
      <w:r>
        <w:rPr>
          <w:rFonts w:ascii="黑体" w:eastAsia="黑体" w:hAnsi="黑体"/>
          <w:bCs/>
          <w:sz w:val="24"/>
        </w:rPr>
        <w:t xml:space="preserve">A-2  </w:t>
      </w:r>
      <w:r>
        <w:rPr>
          <w:rFonts w:ascii="黑体" w:eastAsia="黑体" w:hAnsi="黑体"/>
          <w:bCs/>
          <w:sz w:val="24"/>
        </w:rPr>
        <w:t>国内岩石坚硬程度的强度划分</w:t>
      </w:r>
    </w:p>
    <w:tbl>
      <w:tblPr>
        <w:tblW w:w="828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967"/>
        <w:gridCol w:w="850"/>
        <w:gridCol w:w="849"/>
        <w:gridCol w:w="991"/>
        <w:gridCol w:w="992"/>
        <w:gridCol w:w="708"/>
        <w:gridCol w:w="929"/>
      </w:tblGrid>
      <w:tr w:rsidR="0073700B">
        <w:tc>
          <w:tcPr>
            <w:tcW w:w="2967" w:type="dxa"/>
            <w:vMerge w:val="restart"/>
            <w:tcBorders>
              <w:top w:val="single" w:sz="8" w:space="0" w:color="auto"/>
              <w:bottom w:val="single" w:sz="4" w:space="0" w:color="auto"/>
            </w:tcBorders>
            <w:shd w:val="clear" w:color="auto" w:fill="auto"/>
            <w:vAlign w:val="center"/>
          </w:tcPr>
          <w:p w:rsidR="0073700B" w:rsidRDefault="001A2FFC">
            <w:pPr>
              <w:jc w:val="center"/>
              <w:rPr>
                <w:bCs/>
                <w:szCs w:val="21"/>
              </w:rPr>
            </w:pPr>
            <w:r>
              <w:rPr>
                <w:bCs/>
                <w:szCs w:val="21"/>
              </w:rPr>
              <w:t>名称</w:t>
            </w:r>
          </w:p>
        </w:tc>
        <w:tc>
          <w:tcPr>
            <w:tcW w:w="2690" w:type="dxa"/>
            <w:gridSpan w:val="3"/>
            <w:tcBorders>
              <w:top w:val="single" w:sz="8" w:space="0" w:color="auto"/>
              <w:bottom w:val="single" w:sz="4" w:space="0" w:color="auto"/>
            </w:tcBorders>
            <w:shd w:val="clear" w:color="auto" w:fill="auto"/>
            <w:vAlign w:val="center"/>
          </w:tcPr>
          <w:p w:rsidR="0073700B" w:rsidRDefault="001A2FFC">
            <w:pPr>
              <w:jc w:val="center"/>
              <w:rPr>
                <w:bCs/>
                <w:szCs w:val="21"/>
              </w:rPr>
            </w:pPr>
            <w:r>
              <w:rPr>
                <w:bCs/>
                <w:szCs w:val="21"/>
              </w:rPr>
              <w:t>硬质岩</w:t>
            </w:r>
            <w:r>
              <w:rPr>
                <w:bCs/>
                <w:szCs w:val="21"/>
              </w:rPr>
              <w:t>(MPA)</w:t>
            </w:r>
          </w:p>
        </w:tc>
        <w:tc>
          <w:tcPr>
            <w:tcW w:w="2629" w:type="dxa"/>
            <w:gridSpan w:val="3"/>
            <w:tcBorders>
              <w:top w:val="single" w:sz="8" w:space="0" w:color="auto"/>
              <w:bottom w:val="single" w:sz="4" w:space="0" w:color="auto"/>
            </w:tcBorders>
            <w:shd w:val="clear" w:color="auto" w:fill="auto"/>
            <w:vAlign w:val="center"/>
          </w:tcPr>
          <w:p w:rsidR="0073700B" w:rsidRDefault="001A2FFC">
            <w:pPr>
              <w:jc w:val="center"/>
              <w:rPr>
                <w:bCs/>
                <w:szCs w:val="21"/>
              </w:rPr>
            </w:pPr>
            <w:r>
              <w:rPr>
                <w:bCs/>
                <w:szCs w:val="21"/>
              </w:rPr>
              <w:t>软质岩</w:t>
            </w:r>
            <w:r>
              <w:rPr>
                <w:bCs/>
                <w:szCs w:val="21"/>
              </w:rPr>
              <w:t>(MPA)</w:t>
            </w:r>
          </w:p>
        </w:tc>
      </w:tr>
      <w:tr w:rsidR="0073700B">
        <w:tc>
          <w:tcPr>
            <w:tcW w:w="2967" w:type="dxa"/>
            <w:vMerge/>
            <w:tcBorders>
              <w:top w:val="single" w:sz="4" w:space="0" w:color="auto"/>
              <w:bottom w:val="single" w:sz="8" w:space="0" w:color="auto"/>
            </w:tcBorders>
            <w:shd w:val="clear" w:color="auto" w:fill="auto"/>
            <w:vAlign w:val="center"/>
          </w:tcPr>
          <w:p w:rsidR="0073700B" w:rsidRDefault="0073700B">
            <w:pPr>
              <w:widowControl/>
              <w:jc w:val="left"/>
              <w:rPr>
                <w:rFonts w:eastAsia="等线"/>
                <w:bCs/>
                <w:szCs w:val="21"/>
              </w:rPr>
            </w:pPr>
          </w:p>
        </w:tc>
        <w:tc>
          <w:tcPr>
            <w:tcW w:w="850" w:type="dxa"/>
            <w:tcBorders>
              <w:top w:val="single" w:sz="4" w:space="0" w:color="auto"/>
              <w:bottom w:val="single" w:sz="8" w:space="0" w:color="auto"/>
            </w:tcBorders>
            <w:shd w:val="clear" w:color="auto" w:fill="auto"/>
            <w:vAlign w:val="center"/>
          </w:tcPr>
          <w:p w:rsidR="0073700B" w:rsidRDefault="001A2FFC">
            <w:pPr>
              <w:jc w:val="center"/>
              <w:rPr>
                <w:bCs/>
                <w:szCs w:val="21"/>
              </w:rPr>
            </w:pPr>
            <w:r>
              <w:rPr>
                <w:bCs/>
                <w:szCs w:val="21"/>
              </w:rPr>
              <w:t>极硬岩</w:t>
            </w:r>
          </w:p>
        </w:tc>
        <w:tc>
          <w:tcPr>
            <w:tcW w:w="849" w:type="dxa"/>
            <w:tcBorders>
              <w:top w:val="single" w:sz="4" w:space="0" w:color="auto"/>
              <w:bottom w:val="single" w:sz="8" w:space="0" w:color="auto"/>
            </w:tcBorders>
            <w:shd w:val="clear" w:color="auto" w:fill="auto"/>
            <w:vAlign w:val="center"/>
          </w:tcPr>
          <w:p w:rsidR="0073700B" w:rsidRDefault="001A2FFC">
            <w:pPr>
              <w:jc w:val="center"/>
              <w:rPr>
                <w:bCs/>
                <w:szCs w:val="21"/>
              </w:rPr>
            </w:pPr>
            <w:r>
              <w:rPr>
                <w:bCs/>
                <w:szCs w:val="21"/>
              </w:rPr>
              <w:t>坚硬岩</w:t>
            </w:r>
          </w:p>
        </w:tc>
        <w:tc>
          <w:tcPr>
            <w:tcW w:w="991" w:type="dxa"/>
            <w:tcBorders>
              <w:top w:val="single" w:sz="4" w:space="0" w:color="auto"/>
              <w:bottom w:val="single" w:sz="8" w:space="0" w:color="auto"/>
            </w:tcBorders>
            <w:shd w:val="clear" w:color="auto" w:fill="auto"/>
            <w:vAlign w:val="center"/>
          </w:tcPr>
          <w:p w:rsidR="0073700B" w:rsidRDefault="001A2FFC">
            <w:pPr>
              <w:jc w:val="center"/>
              <w:rPr>
                <w:bCs/>
                <w:szCs w:val="21"/>
              </w:rPr>
            </w:pPr>
            <w:r>
              <w:rPr>
                <w:bCs/>
                <w:szCs w:val="21"/>
              </w:rPr>
              <w:t>较硬岩</w:t>
            </w:r>
          </w:p>
        </w:tc>
        <w:tc>
          <w:tcPr>
            <w:tcW w:w="992" w:type="dxa"/>
            <w:tcBorders>
              <w:top w:val="single" w:sz="4" w:space="0" w:color="auto"/>
              <w:bottom w:val="single" w:sz="8" w:space="0" w:color="auto"/>
            </w:tcBorders>
            <w:shd w:val="clear" w:color="auto" w:fill="auto"/>
            <w:vAlign w:val="center"/>
          </w:tcPr>
          <w:p w:rsidR="0073700B" w:rsidRDefault="001A2FFC">
            <w:pPr>
              <w:jc w:val="center"/>
              <w:rPr>
                <w:bCs/>
                <w:szCs w:val="21"/>
              </w:rPr>
            </w:pPr>
            <w:r>
              <w:rPr>
                <w:bCs/>
                <w:szCs w:val="21"/>
              </w:rPr>
              <w:t>较软岩</w:t>
            </w:r>
          </w:p>
        </w:tc>
        <w:tc>
          <w:tcPr>
            <w:tcW w:w="708" w:type="dxa"/>
            <w:tcBorders>
              <w:top w:val="single" w:sz="4" w:space="0" w:color="auto"/>
              <w:bottom w:val="single" w:sz="8" w:space="0" w:color="auto"/>
            </w:tcBorders>
            <w:shd w:val="clear" w:color="auto" w:fill="auto"/>
            <w:vAlign w:val="center"/>
          </w:tcPr>
          <w:p w:rsidR="0073700B" w:rsidRDefault="001A2FFC">
            <w:pPr>
              <w:jc w:val="center"/>
              <w:rPr>
                <w:bCs/>
                <w:szCs w:val="21"/>
              </w:rPr>
            </w:pPr>
            <w:r>
              <w:rPr>
                <w:bCs/>
                <w:szCs w:val="21"/>
              </w:rPr>
              <w:t>软岩</w:t>
            </w:r>
          </w:p>
        </w:tc>
        <w:tc>
          <w:tcPr>
            <w:tcW w:w="929" w:type="dxa"/>
            <w:tcBorders>
              <w:top w:val="single" w:sz="4" w:space="0" w:color="auto"/>
              <w:bottom w:val="single" w:sz="8" w:space="0" w:color="auto"/>
            </w:tcBorders>
            <w:shd w:val="clear" w:color="auto" w:fill="auto"/>
            <w:vAlign w:val="center"/>
          </w:tcPr>
          <w:p w:rsidR="0073700B" w:rsidRDefault="001A2FFC">
            <w:pPr>
              <w:jc w:val="center"/>
              <w:rPr>
                <w:bCs/>
                <w:szCs w:val="21"/>
              </w:rPr>
            </w:pPr>
            <w:r>
              <w:rPr>
                <w:bCs/>
                <w:szCs w:val="21"/>
              </w:rPr>
              <w:t>极软岩</w:t>
            </w:r>
          </w:p>
        </w:tc>
      </w:tr>
      <w:tr w:rsidR="0073700B">
        <w:tc>
          <w:tcPr>
            <w:tcW w:w="2967" w:type="dxa"/>
            <w:tcBorders>
              <w:top w:val="single" w:sz="8" w:space="0" w:color="auto"/>
            </w:tcBorders>
            <w:shd w:val="clear" w:color="auto" w:fill="auto"/>
          </w:tcPr>
          <w:p w:rsidR="0073700B" w:rsidRDefault="001A2FFC">
            <w:pPr>
              <w:jc w:val="center"/>
              <w:rPr>
                <w:bCs/>
                <w:szCs w:val="21"/>
              </w:rPr>
            </w:pPr>
            <w:r>
              <w:rPr>
                <w:bCs/>
                <w:szCs w:val="21"/>
              </w:rPr>
              <w:t>《岩土工程勘察规范》</w:t>
            </w:r>
          </w:p>
          <w:p w:rsidR="0073700B" w:rsidRDefault="001A2FFC">
            <w:pPr>
              <w:jc w:val="center"/>
              <w:rPr>
                <w:bCs/>
                <w:szCs w:val="21"/>
              </w:rPr>
            </w:pPr>
            <w:r>
              <w:rPr>
                <w:bCs/>
                <w:szCs w:val="21"/>
              </w:rPr>
              <w:t>（</w:t>
            </w:r>
            <w:r>
              <w:rPr>
                <w:bCs/>
                <w:szCs w:val="21"/>
              </w:rPr>
              <w:t xml:space="preserve">GB </w:t>
            </w:r>
            <w:r>
              <w:rPr>
                <w:bCs/>
                <w:szCs w:val="21"/>
              </w:rPr>
              <w:t>50021-2001</w:t>
            </w:r>
            <w:r>
              <w:rPr>
                <w:bCs/>
                <w:szCs w:val="21"/>
              </w:rPr>
              <w:t>）</w:t>
            </w:r>
            <w:r>
              <w:rPr>
                <w:bCs/>
                <w:szCs w:val="21"/>
              </w:rPr>
              <w:fldChar w:fldCharType="begin"/>
            </w:r>
            <w:r>
              <w:rPr>
                <w:bCs/>
                <w:szCs w:val="21"/>
              </w:rPr>
              <w:instrText xml:space="preserve"> ADDIN NE.Ref.{6D42D4EA-F62A-4C9C-B124-EA145C6B4C0D}</w:instrText>
            </w:r>
            <w:r>
              <w:rPr>
                <w:bCs/>
                <w:szCs w:val="21"/>
              </w:rPr>
              <w:fldChar w:fldCharType="separate"/>
            </w:r>
            <w:r>
              <w:rPr>
                <w:color w:val="080000"/>
                <w:kern w:val="0"/>
                <w:szCs w:val="21"/>
                <w:vertAlign w:val="superscript"/>
              </w:rPr>
              <w:t>[52]</w:t>
            </w:r>
            <w:r>
              <w:rPr>
                <w:bCs/>
                <w:szCs w:val="21"/>
              </w:rPr>
              <w:fldChar w:fldCharType="end"/>
            </w:r>
          </w:p>
        </w:tc>
        <w:tc>
          <w:tcPr>
            <w:tcW w:w="1699" w:type="dxa"/>
            <w:gridSpan w:val="2"/>
            <w:tcBorders>
              <w:top w:val="single" w:sz="8" w:space="0" w:color="auto"/>
            </w:tcBorders>
            <w:shd w:val="clear" w:color="auto" w:fill="auto"/>
            <w:vAlign w:val="center"/>
          </w:tcPr>
          <w:p w:rsidR="0073700B" w:rsidRDefault="001A2FFC">
            <w:pPr>
              <w:jc w:val="center"/>
              <w:rPr>
                <w:bCs/>
                <w:szCs w:val="21"/>
              </w:rPr>
            </w:pPr>
            <w:r>
              <w:rPr>
                <w:bCs/>
                <w:szCs w:val="21"/>
              </w:rPr>
              <w:t>&gt;60</w:t>
            </w:r>
          </w:p>
        </w:tc>
        <w:tc>
          <w:tcPr>
            <w:tcW w:w="991" w:type="dxa"/>
            <w:tcBorders>
              <w:top w:val="single" w:sz="8" w:space="0" w:color="auto"/>
            </w:tcBorders>
            <w:shd w:val="clear" w:color="auto" w:fill="auto"/>
            <w:vAlign w:val="center"/>
          </w:tcPr>
          <w:p w:rsidR="0073700B" w:rsidRDefault="001A2FFC">
            <w:pPr>
              <w:jc w:val="center"/>
              <w:rPr>
                <w:bCs/>
                <w:szCs w:val="21"/>
              </w:rPr>
            </w:pPr>
            <w:r>
              <w:rPr>
                <w:bCs/>
                <w:szCs w:val="21"/>
              </w:rPr>
              <w:t>60~30</w:t>
            </w:r>
          </w:p>
        </w:tc>
        <w:tc>
          <w:tcPr>
            <w:tcW w:w="992" w:type="dxa"/>
            <w:tcBorders>
              <w:top w:val="single" w:sz="8" w:space="0" w:color="auto"/>
            </w:tcBorders>
            <w:shd w:val="clear" w:color="auto" w:fill="auto"/>
            <w:vAlign w:val="center"/>
          </w:tcPr>
          <w:p w:rsidR="0073700B" w:rsidRDefault="001A2FFC">
            <w:pPr>
              <w:jc w:val="center"/>
              <w:rPr>
                <w:bCs/>
                <w:szCs w:val="21"/>
              </w:rPr>
            </w:pPr>
            <w:r>
              <w:rPr>
                <w:bCs/>
                <w:szCs w:val="21"/>
              </w:rPr>
              <w:t>30~15</w:t>
            </w:r>
          </w:p>
        </w:tc>
        <w:tc>
          <w:tcPr>
            <w:tcW w:w="708" w:type="dxa"/>
            <w:tcBorders>
              <w:top w:val="single" w:sz="8" w:space="0" w:color="auto"/>
            </w:tcBorders>
            <w:shd w:val="clear" w:color="auto" w:fill="auto"/>
            <w:vAlign w:val="center"/>
          </w:tcPr>
          <w:p w:rsidR="0073700B" w:rsidRDefault="001A2FFC">
            <w:pPr>
              <w:jc w:val="center"/>
              <w:rPr>
                <w:bCs/>
                <w:szCs w:val="21"/>
              </w:rPr>
            </w:pPr>
            <w:r>
              <w:rPr>
                <w:bCs/>
                <w:szCs w:val="21"/>
              </w:rPr>
              <w:t>15~5</w:t>
            </w:r>
          </w:p>
        </w:tc>
        <w:tc>
          <w:tcPr>
            <w:tcW w:w="929" w:type="dxa"/>
            <w:tcBorders>
              <w:top w:val="single" w:sz="8" w:space="0" w:color="auto"/>
            </w:tcBorders>
            <w:shd w:val="clear" w:color="auto" w:fill="auto"/>
            <w:vAlign w:val="center"/>
          </w:tcPr>
          <w:p w:rsidR="0073700B" w:rsidRDefault="001A2FFC">
            <w:pPr>
              <w:jc w:val="center"/>
              <w:rPr>
                <w:bCs/>
                <w:szCs w:val="21"/>
              </w:rPr>
            </w:pPr>
            <w:r>
              <w:rPr>
                <w:bCs/>
                <w:szCs w:val="21"/>
              </w:rPr>
              <w:t>≤5</w:t>
            </w:r>
          </w:p>
        </w:tc>
      </w:tr>
      <w:tr w:rsidR="0073700B">
        <w:tc>
          <w:tcPr>
            <w:tcW w:w="2967" w:type="dxa"/>
            <w:shd w:val="clear" w:color="auto" w:fill="auto"/>
          </w:tcPr>
          <w:p w:rsidR="0073700B" w:rsidRDefault="001A2FFC">
            <w:pPr>
              <w:jc w:val="center"/>
              <w:rPr>
                <w:bCs/>
                <w:szCs w:val="21"/>
              </w:rPr>
            </w:pPr>
            <w:r>
              <w:rPr>
                <w:bCs/>
                <w:szCs w:val="21"/>
              </w:rPr>
              <w:t>《公路隧道设计规范</w:t>
            </w:r>
            <w:r>
              <w:rPr>
                <w:bCs/>
                <w:szCs w:val="21"/>
              </w:rPr>
              <w:t xml:space="preserve"> </w:t>
            </w:r>
            <w:r>
              <w:rPr>
                <w:bCs/>
                <w:szCs w:val="21"/>
              </w:rPr>
              <w:t>第一册</w:t>
            </w:r>
            <w:r>
              <w:rPr>
                <w:bCs/>
                <w:szCs w:val="21"/>
              </w:rPr>
              <w:t xml:space="preserve"> </w:t>
            </w:r>
            <w:r>
              <w:rPr>
                <w:bCs/>
                <w:szCs w:val="21"/>
              </w:rPr>
              <w:t>土建工程》（</w:t>
            </w:r>
            <w:r>
              <w:rPr>
                <w:bCs/>
                <w:szCs w:val="21"/>
              </w:rPr>
              <w:t>JTG 3370.1-2018</w:t>
            </w:r>
            <w:r>
              <w:rPr>
                <w:bCs/>
                <w:szCs w:val="21"/>
              </w:rPr>
              <w:t>）</w:t>
            </w:r>
            <w:r>
              <w:rPr>
                <w:bCs/>
                <w:szCs w:val="21"/>
              </w:rPr>
              <w:fldChar w:fldCharType="begin"/>
            </w:r>
            <w:r>
              <w:rPr>
                <w:bCs/>
                <w:szCs w:val="21"/>
              </w:rPr>
              <w:instrText xml:space="preserve"> ADDIN NE.Ref.{101398BF-067B-424B-AB7E-B27FFB817769}</w:instrText>
            </w:r>
            <w:r>
              <w:rPr>
                <w:bCs/>
                <w:szCs w:val="21"/>
              </w:rPr>
              <w:fldChar w:fldCharType="separate"/>
            </w:r>
            <w:r>
              <w:rPr>
                <w:color w:val="080000"/>
                <w:kern w:val="0"/>
                <w:szCs w:val="21"/>
                <w:vertAlign w:val="superscript"/>
              </w:rPr>
              <w:t>[33]</w:t>
            </w:r>
            <w:r>
              <w:rPr>
                <w:bCs/>
                <w:szCs w:val="21"/>
              </w:rPr>
              <w:fldChar w:fldCharType="end"/>
            </w:r>
          </w:p>
        </w:tc>
        <w:tc>
          <w:tcPr>
            <w:tcW w:w="1699" w:type="dxa"/>
            <w:gridSpan w:val="2"/>
            <w:shd w:val="clear" w:color="auto" w:fill="auto"/>
            <w:vAlign w:val="center"/>
          </w:tcPr>
          <w:p w:rsidR="0073700B" w:rsidRDefault="001A2FFC">
            <w:pPr>
              <w:jc w:val="center"/>
              <w:rPr>
                <w:bCs/>
                <w:szCs w:val="21"/>
              </w:rPr>
            </w:pPr>
            <w:r>
              <w:rPr>
                <w:bCs/>
                <w:szCs w:val="21"/>
              </w:rPr>
              <w:t>&gt;60</w:t>
            </w:r>
          </w:p>
        </w:tc>
        <w:tc>
          <w:tcPr>
            <w:tcW w:w="991" w:type="dxa"/>
            <w:shd w:val="clear" w:color="auto" w:fill="auto"/>
            <w:vAlign w:val="center"/>
          </w:tcPr>
          <w:p w:rsidR="0073700B" w:rsidRDefault="001A2FFC">
            <w:pPr>
              <w:jc w:val="center"/>
              <w:rPr>
                <w:bCs/>
                <w:szCs w:val="21"/>
              </w:rPr>
            </w:pPr>
            <w:r>
              <w:rPr>
                <w:bCs/>
                <w:szCs w:val="21"/>
              </w:rPr>
              <w:t>60~30</w:t>
            </w:r>
          </w:p>
        </w:tc>
        <w:tc>
          <w:tcPr>
            <w:tcW w:w="992" w:type="dxa"/>
            <w:shd w:val="clear" w:color="auto" w:fill="auto"/>
            <w:vAlign w:val="center"/>
          </w:tcPr>
          <w:p w:rsidR="0073700B" w:rsidRDefault="001A2FFC">
            <w:pPr>
              <w:jc w:val="center"/>
              <w:rPr>
                <w:bCs/>
                <w:szCs w:val="21"/>
              </w:rPr>
            </w:pPr>
            <w:r>
              <w:rPr>
                <w:bCs/>
                <w:szCs w:val="21"/>
              </w:rPr>
              <w:t>30~15</w:t>
            </w:r>
          </w:p>
        </w:tc>
        <w:tc>
          <w:tcPr>
            <w:tcW w:w="708" w:type="dxa"/>
            <w:shd w:val="clear" w:color="auto" w:fill="auto"/>
            <w:vAlign w:val="center"/>
          </w:tcPr>
          <w:p w:rsidR="0073700B" w:rsidRDefault="001A2FFC">
            <w:pPr>
              <w:jc w:val="center"/>
              <w:rPr>
                <w:bCs/>
                <w:szCs w:val="21"/>
              </w:rPr>
            </w:pPr>
            <w:r>
              <w:rPr>
                <w:bCs/>
                <w:szCs w:val="21"/>
              </w:rPr>
              <w:t>15~5</w:t>
            </w:r>
          </w:p>
        </w:tc>
        <w:tc>
          <w:tcPr>
            <w:tcW w:w="929" w:type="dxa"/>
            <w:shd w:val="clear" w:color="auto" w:fill="auto"/>
            <w:vAlign w:val="center"/>
          </w:tcPr>
          <w:p w:rsidR="0073700B" w:rsidRDefault="001A2FFC">
            <w:pPr>
              <w:jc w:val="center"/>
              <w:rPr>
                <w:bCs/>
                <w:szCs w:val="21"/>
              </w:rPr>
            </w:pPr>
            <w:r>
              <w:rPr>
                <w:bCs/>
                <w:szCs w:val="21"/>
              </w:rPr>
              <w:t>&lt;5</w:t>
            </w:r>
          </w:p>
        </w:tc>
      </w:tr>
      <w:tr w:rsidR="0073700B">
        <w:tc>
          <w:tcPr>
            <w:tcW w:w="2967" w:type="dxa"/>
            <w:shd w:val="clear" w:color="auto" w:fill="auto"/>
          </w:tcPr>
          <w:p w:rsidR="0073700B" w:rsidRDefault="001A2FFC">
            <w:pPr>
              <w:jc w:val="center"/>
              <w:rPr>
                <w:bCs/>
                <w:szCs w:val="21"/>
              </w:rPr>
            </w:pPr>
            <w:r>
              <w:rPr>
                <w:bCs/>
                <w:szCs w:val="21"/>
              </w:rPr>
              <w:t>《水工隧洞设计规范》</w:t>
            </w:r>
          </w:p>
          <w:p w:rsidR="0073700B" w:rsidRDefault="001A2FFC">
            <w:pPr>
              <w:jc w:val="center"/>
              <w:rPr>
                <w:bCs/>
                <w:szCs w:val="21"/>
              </w:rPr>
            </w:pPr>
            <w:r>
              <w:rPr>
                <w:bCs/>
                <w:szCs w:val="21"/>
              </w:rPr>
              <w:t>（</w:t>
            </w:r>
            <w:r>
              <w:rPr>
                <w:bCs/>
                <w:szCs w:val="21"/>
              </w:rPr>
              <w:t>SL 279-2016</w:t>
            </w:r>
            <w:r>
              <w:rPr>
                <w:bCs/>
                <w:szCs w:val="21"/>
              </w:rPr>
              <w:t>）</w:t>
            </w:r>
            <w:r>
              <w:rPr>
                <w:bCs/>
                <w:szCs w:val="21"/>
              </w:rPr>
              <w:fldChar w:fldCharType="begin"/>
            </w:r>
            <w:r>
              <w:rPr>
                <w:bCs/>
                <w:szCs w:val="21"/>
              </w:rPr>
              <w:instrText xml:space="preserve"> ADDIN NE.Ref.{F0D1B0BB-DCA9-438F-9272-21CD7A46F6B5}</w:instrText>
            </w:r>
            <w:r>
              <w:rPr>
                <w:bCs/>
                <w:szCs w:val="21"/>
              </w:rPr>
              <w:fldChar w:fldCharType="separate"/>
            </w:r>
            <w:r>
              <w:rPr>
                <w:color w:val="080000"/>
                <w:kern w:val="0"/>
                <w:szCs w:val="21"/>
                <w:vertAlign w:val="superscript"/>
              </w:rPr>
              <w:t>[53]</w:t>
            </w:r>
            <w:r>
              <w:rPr>
                <w:bCs/>
                <w:szCs w:val="21"/>
              </w:rPr>
              <w:fldChar w:fldCharType="end"/>
            </w:r>
          </w:p>
        </w:tc>
        <w:tc>
          <w:tcPr>
            <w:tcW w:w="1699" w:type="dxa"/>
            <w:gridSpan w:val="2"/>
            <w:shd w:val="clear" w:color="auto" w:fill="auto"/>
            <w:vAlign w:val="center"/>
          </w:tcPr>
          <w:p w:rsidR="0073700B" w:rsidRDefault="001A2FFC">
            <w:pPr>
              <w:jc w:val="center"/>
              <w:rPr>
                <w:bCs/>
                <w:szCs w:val="21"/>
              </w:rPr>
            </w:pPr>
            <w:r>
              <w:rPr>
                <w:bCs/>
                <w:szCs w:val="21"/>
              </w:rPr>
              <w:t>&gt;60</w:t>
            </w:r>
          </w:p>
        </w:tc>
        <w:tc>
          <w:tcPr>
            <w:tcW w:w="991" w:type="dxa"/>
            <w:shd w:val="clear" w:color="auto" w:fill="auto"/>
            <w:vAlign w:val="center"/>
          </w:tcPr>
          <w:p w:rsidR="0073700B" w:rsidRDefault="001A2FFC">
            <w:pPr>
              <w:jc w:val="center"/>
              <w:rPr>
                <w:bCs/>
                <w:szCs w:val="21"/>
              </w:rPr>
            </w:pPr>
            <w:r>
              <w:rPr>
                <w:bCs/>
                <w:szCs w:val="21"/>
              </w:rPr>
              <w:t>60~30</w:t>
            </w:r>
          </w:p>
        </w:tc>
        <w:tc>
          <w:tcPr>
            <w:tcW w:w="992" w:type="dxa"/>
            <w:shd w:val="clear" w:color="auto" w:fill="auto"/>
            <w:vAlign w:val="center"/>
          </w:tcPr>
          <w:p w:rsidR="0073700B" w:rsidRDefault="001A2FFC">
            <w:pPr>
              <w:jc w:val="center"/>
              <w:rPr>
                <w:bCs/>
                <w:szCs w:val="21"/>
              </w:rPr>
            </w:pPr>
            <w:r>
              <w:rPr>
                <w:bCs/>
                <w:szCs w:val="21"/>
              </w:rPr>
              <w:t>30~15</w:t>
            </w:r>
          </w:p>
        </w:tc>
        <w:tc>
          <w:tcPr>
            <w:tcW w:w="708" w:type="dxa"/>
            <w:shd w:val="clear" w:color="auto" w:fill="auto"/>
            <w:vAlign w:val="center"/>
          </w:tcPr>
          <w:p w:rsidR="0073700B" w:rsidRDefault="001A2FFC">
            <w:pPr>
              <w:jc w:val="center"/>
              <w:rPr>
                <w:bCs/>
                <w:szCs w:val="21"/>
              </w:rPr>
            </w:pPr>
            <w:r>
              <w:rPr>
                <w:bCs/>
                <w:szCs w:val="21"/>
              </w:rPr>
              <w:t>15~5</w:t>
            </w:r>
          </w:p>
        </w:tc>
        <w:tc>
          <w:tcPr>
            <w:tcW w:w="929" w:type="dxa"/>
            <w:shd w:val="clear" w:color="auto" w:fill="auto"/>
            <w:vAlign w:val="center"/>
          </w:tcPr>
          <w:p w:rsidR="0073700B" w:rsidRDefault="001A2FFC">
            <w:pPr>
              <w:jc w:val="center"/>
              <w:rPr>
                <w:bCs/>
                <w:szCs w:val="21"/>
              </w:rPr>
            </w:pPr>
            <w:r>
              <w:rPr>
                <w:bCs/>
                <w:szCs w:val="21"/>
              </w:rPr>
              <w:t>-</w:t>
            </w:r>
          </w:p>
        </w:tc>
      </w:tr>
      <w:tr w:rsidR="0073700B">
        <w:tc>
          <w:tcPr>
            <w:tcW w:w="2967" w:type="dxa"/>
            <w:shd w:val="clear" w:color="auto" w:fill="auto"/>
          </w:tcPr>
          <w:p w:rsidR="0073700B" w:rsidRDefault="001A2FFC">
            <w:pPr>
              <w:jc w:val="center"/>
              <w:rPr>
                <w:bCs/>
                <w:szCs w:val="21"/>
              </w:rPr>
            </w:pPr>
            <w:r>
              <w:rPr>
                <w:bCs/>
                <w:szCs w:val="21"/>
              </w:rPr>
              <w:t>《铁路隧道设计规范》</w:t>
            </w:r>
          </w:p>
          <w:p w:rsidR="0073700B" w:rsidRDefault="001A2FFC">
            <w:pPr>
              <w:jc w:val="center"/>
              <w:rPr>
                <w:bCs/>
                <w:szCs w:val="21"/>
              </w:rPr>
            </w:pPr>
            <w:r>
              <w:rPr>
                <w:bCs/>
                <w:szCs w:val="21"/>
              </w:rPr>
              <w:t>（</w:t>
            </w:r>
            <w:r>
              <w:rPr>
                <w:bCs/>
                <w:szCs w:val="21"/>
              </w:rPr>
              <w:t>TB 10003-2016</w:t>
            </w:r>
            <w:r>
              <w:rPr>
                <w:bCs/>
                <w:szCs w:val="21"/>
              </w:rPr>
              <w:t>）</w:t>
            </w:r>
            <w:r>
              <w:rPr>
                <w:bCs/>
                <w:szCs w:val="21"/>
              </w:rPr>
              <w:fldChar w:fldCharType="begin"/>
            </w:r>
            <w:r>
              <w:rPr>
                <w:bCs/>
                <w:szCs w:val="21"/>
              </w:rPr>
              <w:instrText xml:space="preserve"> ADDIN NE.Ref.{EFA70F9E-6EE2-4C29-9315-8613545993F5}</w:instrText>
            </w:r>
            <w:r>
              <w:rPr>
                <w:bCs/>
                <w:szCs w:val="21"/>
              </w:rPr>
              <w:fldChar w:fldCharType="separate"/>
            </w:r>
            <w:r>
              <w:rPr>
                <w:color w:val="080000"/>
                <w:kern w:val="0"/>
                <w:szCs w:val="21"/>
                <w:vertAlign w:val="superscript"/>
              </w:rPr>
              <w:t>[15]</w:t>
            </w:r>
            <w:r>
              <w:rPr>
                <w:bCs/>
                <w:szCs w:val="21"/>
              </w:rPr>
              <w:fldChar w:fldCharType="end"/>
            </w:r>
          </w:p>
        </w:tc>
        <w:tc>
          <w:tcPr>
            <w:tcW w:w="1699" w:type="dxa"/>
            <w:gridSpan w:val="2"/>
            <w:shd w:val="clear" w:color="auto" w:fill="auto"/>
            <w:vAlign w:val="center"/>
          </w:tcPr>
          <w:p w:rsidR="0073700B" w:rsidRDefault="001A2FFC">
            <w:pPr>
              <w:jc w:val="center"/>
              <w:rPr>
                <w:bCs/>
                <w:szCs w:val="21"/>
              </w:rPr>
            </w:pPr>
            <w:r>
              <w:rPr>
                <w:bCs/>
                <w:szCs w:val="21"/>
              </w:rPr>
              <w:t>&gt;60</w:t>
            </w:r>
          </w:p>
        </w:tc>
        <w:tc>
          <w:tcPr>
            <w:tcW w:w="991" w:type="dxa"/>
            <w:shd w:val="clear" w:color="auto" w:fill="auto"/>
            <w:vAlign w:val="center"/>
          </w:tcPr>
          <w:p w:rsidR="0073700B" w:rsidRDefault="001A2FFC">
            <w:pPr>
              <w:jc w:val="center"/>
              <w:rPr>
                <w:bCs/>
                <w:szCs w:val="21"/>
              </w:rPr>
            </w:pPr>
            <w:r>
              <w:rPr>
                <w:bCs/>
                <w:szCs w:val="21"/>
              </w:rPr>
              <w:t>60~30</w:t>
            </w:r>
          </w:p>
        </w:tc>
        <w:tc>
          <w:tcPr>
            <w:tcW w:w="992" w:type="dxa"/>
            <w:shd w:val="clear" w:color="auto" w:fill="auto"/>
            <w:vAlign w:val="center"/>
          </w:tcPr>
          <w:p w:rsidR="0073700B" w:rsidRDefault="001A2FFC">
            <w:pPr>
              <w:jc w:val="center"/>
              <w:rPr>
                <w:bCs/>
                <w:szCs w:val="21"/>
              </w:rPr>
            </w:pPr>
            <w:r>
              <w:rPr>
                <w:bCs/>
                <w:szCs w:val="21"/>
              </w:rPr>
              <w:t>30~15</w:t>
            </w:r>
          </w:p>
        </w:tc>
        <w:tc>
          <w:tcPr>
            <w:tcW w:w="708" w:type="dxa"/>
            <w:shd w:val="clear" w:color="auto" w:fill="auto"/>
            <w:vAlign w:val="center"/>
          </w:tcPr>
          <w:p w:rsidR="0073700B" w:rsidRDefault="001A2FFC">
            <w:pPr>
              <w:jc w:val="center"/>
              <w:rPr>
                <w:bCs/>
                <w:szCs w:val="21"/>
              </w:rPr>
            </w:pPr>
            <w:r>
              <w:rPr>
                <w:bCs/>
                <w:szCs w:val="21"/>
              </w:rPr>
              <w:t>15~5</w:t>
            </w:r>
          </w:p>
        </w:tc>
        <w:tc>
          <w:tcPr>
            <w:tcW w:w="929" w:type="dxa"/>
            <w:shd w:val="clear" w:color="auto" w:fill="auto"/>
            <w:vAlign w:val="center"/>
          </w:tcPr>
          <w:p w:rsidR="0073700B" w:rsidRDefault="001A2FFC">
            <w:pPr>
              <w:jc w:val="center"/>
              <w:rPr>
                <w:bCs/>
                <w:szCs w:val="21"/>
              </w:rPr>
            </w:pPr>
            <w:r>
              <w:rPr>
                <w:bCs/>
                <w:szCs w:val="21"/>
              </w:rPr>
              <w:t>≤5</w:t>
            </w:r>
          </w:p>
        </w:tc>
      </w:tr>
      <w:tr w:rsidR="0073700B">
        <w:tc>
          <w:tcPr>
            <w:tcW w:w="2967" w:type="dxa"/>
            <w:shd w:val="clear" w:color="auto" w:fill="auto"/>
          </w:tcPr>
          <w:p w:rsidR="0073700B" w:rsidRDefault="001A2FFC">
            <w:pPr>
              <w:jc w:val="center"/>
              <w:rPr>
                <w:bCs/>
                <w:szCs w:val="21"/>
              </w:rPr>
            </w:pPr>
            <w:r>
              <w:rPr>
                <w:bCs/>
                <w:szCs w:val="21"/>
              </w:rPr>
              <w:t>《水利水电工程地质勘察规范》（</w:t>
            </w:r>
            <w:r>
              <w:rPr>
                <w:bCs/>
                <w:szCs w:val="21"/>
              </w:rPr>
              <w:t>GB 50487-2008</w:t>
            </w:r>
            <w:r>
              <w:rPr>
                <w:bCs/>
                <w:szCs w:val="21"/>
              </w:rPr>
              <w:t>）</w:t>
            </w:r>
            <w:r>
              <w:rPr>
                <w:bCs/>
                <w:szCs w:val="21"/>
              </w:rPr>
              <w:fldChar w:fldCharType="begin"/>
            </w:r>
            <w:r>
              <w:rPr>
                <w:bCs/>
                <w:szCs w:val="21"/>
              </w:rPr>
              <w:instrText xml:space="preserve"> ADDIN NE.Ref.{41EF9106-40F2-40E5-906F-59FAB5294F7D}</w:instrText>
            </w:r>
            <w:r>
              <w:rPr>
                <w:bCs/>
                <w:szCs w:val="21"/>
              </w:rPr>
              <w:fldChar w:fldCharType="separate"/>
            </w:r>
            <w:r>
              <w:rPr>
                <w:color w:val="080000"/>
                <w:kern w:val="0"/>
                <w:szCs w:val="21"/>
                <w:vertAlign w:val="superscript"/>
              </w:rPr>
              <w:t>[49]</w:t>
            </w:r>
            <w:r>
              <w:rPr>
                <w:bCs/>
                <w:szCs w:val="21"/>
              </w:rPr>
              <w:fldChar w:fldCharType="end"/>
            </w:r>
          </w:p>
        </w:tc>
        <w:tc>
          <w:tcPr>
            <w:tcW w:w="1699" w:type="dxa"/>
            <w:gridSpan w:val="2"/>
            <w:shd w:val="clear" w:color="auto" w:fill="auto"/>
            <w:vAlign w:val="center"/>
          </w:tcPr>
          <w:p w:rsidR="0073700B" w:rsidRDefault="001A2FFC">
            <w:pPr>
              <w:jc w:val="center"/>
              <w:rPr>
                <w:bCs/>
                <w:szCs w:val="21"/>
              </w:rPr>
            </w:pPr>
            <w:r>
              <w:rPr>
                <w:bCs/>
                <w:szCs w:val="21"/>
              </w:rPr>
              <w:t>&gt;60</w:t>
            </w:r>
          </w:p>
        </w:tc>
        <w:tc>
          <w:tcPr>
            <w:tcW w:w="991" w:type="dxa"/>
            <w:shd w:val="clear" w:color="auto" w:fill="auto"/>
            <w:vAlign w:val="center"/>
          </w:tcPr>
          <w:p w:rsidR="0073700B" w:rsidRDefault="001A2FFC">
            <w:pPr>
              <w:jc w:val="center"/>
              <w:rPr>
                <w:bCs/>
                <w:szCs w:val="21"/>
              </w:rPr>
            </w:pPr>
            <w:r>
              <w:rPr>
                <w:bCs/>
                <w:szCs w:val="21"/>
              </w:rPr>
              <w:t>60~30</w:t>
            </w:r>
          </w:p>
        </w:tc>
        <w:tc>
          <w:tcPr>
            <w:tcW w:w="992" w:type="dxa"/>
            <w:shd w:val="clear" w:color="auto" w:fill="auto"/>
            <w:vAlign w:val="center"/>
          </w:tcPr>
          <w:p w:rsidR="0073700B" w:rsidRDefault="001A2FFC">
            <w:pPr>
              <w:jc w:val="center"/>
              <w:rPr>
                <w:bCs/>
                <w:szCs w:val="21"/>
              </w:rPr>
            </w:pPr>
            <w:r>
              <w:rPr>
                <w:bCs/>
                <w:szCs w:val="21"/>
              </w:rPr>
              <w:t>30~15</w:t>
            </w:r>
          </w:p>
        </w:tc>
        <w:tc>
          <w:tcPr>
            <w:tcW w:w="708" w:type="dxa"/>
            <w:shd w:val="clear" w:color="auto" w:fill="auto"/>
            <w:vAlign w:val="center"/>
          </w:tcPr>
          <w:p w:rsidR="0073700B" w:rsidRDefault="001A2FFC">
            <w:pPr>
              <w:jc w:val="center"/>
              <w:rPr>
                <w:bCs/>
                <w:szCs w:val="21"/>
              </w:rPr>
            </w:pPr>
            <w:r>
              <w:rPr>
                <w:bCs/>
                <w:szCs w:val="21"/>
              </w:rPr>
              <w:t>15~5</w:t>
            </w:r>
          </w:p>
        </w:tc>
        <w:tc>
          <w:tcPr>
            <w:tcW w:w="929" w:type="dxa"/>
            <w:shd w:val="clear" w:color="auto" w:fill="auto"/>
            <w:vAlign w:val="center"/>
          </w:tcPr>
          <w:p w:rsidR="0073700B" w:rsidRDefault="001A2FFC">
            <w:pPr>
              <w:jc w:val="center"/>
              <w:rPr>
                <w:bCs/>
                <w:szCs w:val="21"/>
              </w:rPr>
            </w:pPr>
            <w:r>
              <w:rPr>
                <w:bCs/>
                <w:szCs w:val="21"/>
              </w:rPr>
              <w:t>≤5</w:t>
            </w:r>
          </w:p>
        </w:tc>
      </w:tr>
      <w:tr w:rsidR="0073700B">
        <w:tc>
          <w:tcPr>
            <w:tcW w:w="2967" w:type="dxa"/>
            <w:shd w:val="clear" w:color="auto" w:fill="auto"/>
          </w:tcPr>
          <w:p w:rsidR="0073700B" w:rsidRDefault="001A2FFC">
            <w:pPr>
              <w:jc w:val="center"/>
              <w:rPr>
                <w:bCs/>
                <w:szCs w:val="21"/>
              </w:rPr>
            </w:pPr>
            <w:r>
              <w:rPr>
                <w:bCs/>
                <w:szCs w:val="21"/>
              </w:rPr>
              <w:t>《水力发电工程地质勘察规范》（</w:t>
            </w:r>
            <w:r>
              <w:rPr>
                <w:bCs/>
                <w:szCs w:val="21"/>
              </w:rPr>
              <w:t>GB 50287-2016</w:t>
            </w:r>
            <w:r>
              <w:rPr>
                <w:bCs/>
                <w:szCs w:val="21"/>
              </w:rPr>
              <w:t>）</w:t>
            </w:r>
            <w:r>
              <w:rPr>
                <w:bCs/>
                <w:szCs w:val="21"/>
              </w:rPr>
              <w:fldChar w:fldCharType="begin"/>
            </w:r>
            <w:r>
              <w:rPr>
                <w:bCs/>
                <w:szCs w:val="21"/>
              </w:rPr>
              <w:instrText xml:space="preserve"> ADDIN NE.Ref.{1D50401B-6A84-4986-8FD1-8FAC9DC8E983}</w:instrText>
            </w:r>
            <w:r>
              <w:rPr>
                <w:bCs/>
                <w:szCs w:val="21"/>
              </w:rPr>
              <w:fldChar w:fldCharType="separate"/>
            </w:r>
            <w:r>
              <w:rPr>
                <w:color w:val="080000"/>
                <w:kern w:val="0"/>
                <w:szCs w:val="21"/>
                <w:vertAlign w:val="superscript"/>
              </w:rPr>
              <w:t>[12]</w:t>
            </w:r>
            <w:r>
              <w:rPr>
                <w:bCs/>
                <w:szCs w:val="21"/>
              </w:rPr>
              <w:fldChar w:fldCharType="end"/>
            </w:r>
          </w:p>
        </w:tc>
        <w:tc>
          <w:tcPr>
            <w:tcW w:w="1699" w:type="dxa"/>
            <w:gridSpan w:val="2"/>
            <w:shd w:val="clear" w:color="auto" w:fill="auto"/>
            <w:vAlign w:val="center"/>
          </w:tcPr>
          <w:p w:rsidR="0073700B" w:rsidRDefault="001A2FFC">
            <w:pPr>
              <w:jc w:val="center"/>
              <w:rPr>
                <w:bCs/>
                <w:szCs w:val="21"/>
              </w:rPr>
            </w:pPr>
            <w:r>
              <w:rPr>
                <w:bCs/>
                <w:szCs w:val="21"/>
              </w:rPr>
              <w:t>&gt;60</w:t>
            </w:r>
          </w:p>
        </w:tc>
        <w:tc>
          <w:tcPr>
            <w:tcW w:w="991" w:type="dxa"/>
            <w:shd w:val="clear" w:color="auto" w:fill="auto"/>
            <w:vAlign w:val="center"/>
          </w:tcPr>
          <w:p w:rsidR="0073700B" w:rsidRDefault="001A2FFC">
            <w:pPr>
              <w:jc w:val="center"/>
              <w:rPr>
                <w:bCs/>
                <w:szCs w:val="21"/>
              </w:rPr>
            </w:pPr>
            <w:r>
              <w:rPr>
                <w:bCs/>
                <w:szCs w:val="21"/>
              </w:rPr>
              <w:t>60~30</w:t>
            </w:r>
          </w:p>
        </w:tc>
        <w:tc>
          <w:tcPr>
            <w:tcW w:w="992" w:type="dxa"/>
            <w:shd w:val="clear" w:color="auto" w:fill="auto"/>
            <w:vAlign w:val="center"/>
          </w:tcPr>
          <w:p w:rsidR="0073700B" w:rsidRDefault="001A2FFC">
            <w:pPr>
              <w:jc w:val="center"/>
              <w:rPr>
                <w:bCs/>
                <w:szCs w:val="21"/>
              </w:rPr>
            </w:pPr>
            <w:r>
              <w:rPr>
                <w:bCs/>
                <w:szCs w:val="21"/>
              </w:rPr>
              <w:t>30~15</w:t>
            </w:r>
          </w:p>
        </w:tc>
        <w:tc>
          <w:tcPr>
            <w:tcW w:w="708" w:type="dxa"/>
            <w:shd w:val="clear" w:color="auto" w:fill="auto"/>
            <w:vAlign w:val="center"/>
          </w:tcPr>
          <w:p w:rsidR="0073700B" w:rsidRDefault="001A2FFC">
            <w:pPr>
              <w:jc w:val="center"/>
              <w:rPr>
                <w:bCs/>
                <w:szCs w:val="21"/>
              </w:rPr>
            </w:pPr>
            <w:r>
              <w:rPr>
                <w:bCs/>
                <w:szCs w:val="21"/>
              </w:rPr>
              <w:t>15~5</w:t>
            </w:r>
          </w:p>
        </w:tc>
        <w:tc>
          <w:tcPr>
            <w:tcW w:w="929" w:type="dxa"/>
            <w:shd w:val="clear" w:color="auto" w:fill="auto"/>
            <w:vAlign w:val="center"/>
          </w:tcPr>
          <w:p w:rsidR="0073700B" w:rsidRDefault="001A2FFC">
            <w:pPr>
              <w:jc w:val="center"/>
              <w:rPr>
                <w:bCs/>
                <w:szCs w:val="21"/>
              </w:rPr>
            </w:pPr>
            <w:r>
              <w:rPr>
                <w:bCs/>
                <w:szCs w:val="21"/>
              </w:rPr>
              <w:t>-</w:t>
            </w:r>
          </w:p>
        </w:tc>
      </w:tr>
      <w:tr w:rsidR="0073700B">
        <w:tc>
          <w:tcPr>
            <w:tcW w:w="2967" w:type="dxa"/>
            <w:shd w:val="clear" w:color="auto" w:fill="auto"/>
          </w:tcPr>
          <w:p w:rsidR="0073700B" w:rsidRDefault="001A2FFC">
            <w:pPr>
              <w:jc w:val="center"/>
              <w:rPr>
                <w:bCs/>
                <w:szCs w:val="21"/>
              </w:rPr>
            </w:pPr>
            <w:bookmarkStart w:id="107" w:name="_Hlk13246266"/>
            <w:r>
              <w:rPr>
                <w:bCs/>
                <w:szCs w:val="21"/>
              </w:rPr>
              <w:t>《工程岩体分级标准》（</w:t>
            </w:r>
            <w:r>
              <w:rPr>
                <w:bCs/>
                <w:szCs w:val="21"/>
              </w:rPr>
              <w:t>GB/T50218-2014</w:t>
            </w:r>
            <w:r>
              <w:rPr>
                <w:bCs/>
                <w:szCs w:val="21"/>
              </w:rPr>
              <w:t>）</w:t>
            </w:r>
            <w:bookmarkEnd w:id="107"/>
            <w:r>
              <w:rPr>
                <w:bCs/>
                <w:szCs w:val="21"/>
              </w:rPr>
              <w:fldChar w:fldCharType="begin"/>
            </w:r>
            <w:r>
              <w:rPr>
                <w:bCs/>
                <w:szCs w:val="21"/>
              </w:rPr>
              <w:instrText xml:space="preserve"> ADDIN NE.Ref.{CA88502A-F5FB-485C-A6A2-188BF252EF57}</w:instrText>
            </w:r>
            <w:r>
              <w:rPr>
                <w:bCs/>
                <w:szCs w:val="21"/>
              </w:rPr>
              <w:fldChar w:fldCharType="separate"/>
            </w:r>
            <w:r>
              <w:rPr>
                <w:color w:val="080000"/>
                <w:kern w:val="0"/>
                <w:szCs w:val="21"/>
                <w:vertAlign w:val="superscript"/>
              </w:rPr>
              <w:t>[11]</w:t>
            </w:r>
            <w:r>
              <w:rPr>
                <w:bCs/>
                <w:szCs w:val="21"/>
              </w:rPr>
              <w:fldChar w:fldCharType="end"/>
            </w:r>
          </w:p>
        </w:tc>
        <w:tc>
          <w:tcPr>
            <w:tcW w:w="1699" w:type="dxa"/>
            <w:gridSpan w:val="2"/>
            <w:shd w:val="clear" w:color="auto" w:fill="auto"/>
            <w:vAlign w:val="center"/>
          </w:tcPr>
          <w:p w:rsidR="0073700B" w:rsidRDefault="001A2FFC">
            <w:pPr>
              <w:jc w:val="center"/>
              <w:rPr>
                <w:bCs/>
                <w:szCs w:val="21"/>
              </w:rPr>
            </w:pPr>
            <w:r>
              <w:rPr>
                <w:bCs/>
                <w:szCs w:val="21"/>
              </w:rPr>
              <w:t>&gt;60</w:t>
            </w:r>
          </w:p>
        </w:tc>
        <w:tc>
          <w:tcPr>
            <w:tcW w:w="991" w:type="dxa"/>
            <w:shd w:val="clear" w:color="auto" w:fill="auto"/>
            <w:vAlign w:val="center"/>
          </w:tcPr>
          <w:p w:rsidR="0073700B" w:rsidRDefault="001A2FFC">
            <w:pPr>
              <w:jc w:val="center"/>
              <w:rPr>
                <w:bCs/>
                <w:szCs w:val="21"/>
              </w:rPr>
            </w:pPr>
            <w:r>
              <w:rPr>
                <w:bCs/>
                <w:szCs w:val="21"/>
              </w:rPr>
              <w:t>60~30</w:t>
            </w:r>
          </w:p>
        </w:tc>
        <w:tc>
          <w:tcPr>
            <w:tcW w:w="992" w:type="dxa"/>
            <w:shd w:val="clear" w:color="auto" w:fill="auto"/>
            <w:vAlign w:val="center"/>
          </w:tcPr>
          <w:p w:rsidR="0073700B" w:rsidRDefault="001A2FFC">
            <w:pPr>
              <w:jc w:val="center"/>
              <w:rPr>
                <w:bCs/>
                <w:szCs w:val="21"/>
              </w:rPr>
            </w:pPr>
            <w:r>
              <w:rPr>
                <w:bCs/>
                <w:szCs w:val="21"/>
              </w:rPr>
              <w:t>30~15</w:t>
            </w:r>
          </w:p>
        </w:tc>
        <w:tc>
          <w:tcPr>
            <w:tcW w:w="708" w:type="dxa"/>
            <w:shd w:val="clear" w:color="auto" w:fill="auto"/>
            <w:vAlign w:val="center"/>
          </w:tcPr>
          <w:p w:rsidR="0073700B" w:rsidRDefault="001A2FFC">
            <w:pPr>
              <w:jc w:val="center"/>
              <w:rPr>
                <w:bCs/>
                <w:szCs w:val="21"/>
              </w:rPr>
            </w:pPr>
            <w:r>
              <w:rPr>
                <w:bCs/>
                <w:szCs w:val="21"/>
              </w:rPr>
              <w:t>15~5</w:t>
            </w:r>
          </w:p>
        </w:tc>
        <w:tc>
          <w:tcPr>
            <w:tcW w:w="929" w:type="dxa"/>
            <w:shd w:val="clear" w:color="auto" w:fill="auto"/>
            <w:vAlign w:val="center"/>
          </w:tcPr>
          <w:p w:rsidR="0073700B" w:rsidRDefault="001A2FFC">
            <w:pPr>
              <w:jc w:val="center"/>
              <w:rPr>
                <w:bCs/>
                <w:szCs w:val="21"/>
              </w:rPr>
            </w:pPr>
            <w:r>
              <w:rPr>
                <w:bCs/>
                <w:szCs w:val="21"/>
              </w:rPr>
              <w:t>≤5</w:t>
            </w:r>
          </w:p>
        </w:tc>
      </w:tr>
      <w:tr w:rsidR="0073700B">
        <w:tc>
          <w:tcPr>
            <w:tcW w:w="2967" w:type="dxa"/>
            <w:shd w:val="clear" w:color="auto" w:fill="auto"/>
          </w:tcPr>
          <w:p w:rsidR="0073700B" w:rsidRDefault="001A2FFC">
            <w:pPr>
              <w:jc w:val="center"/>
              <w:rPr>
                <w:bCs/>
                <w:szCs w:val="21"/>
              </w:rPr>
            </w:pPr>
            <w:r>
              <w:rPr>
                <w:bCs/>
                <w:szCs w:val="21"/>
              </w:rPr>
              <w:t>《公路工程地质勘察规范》</w:t>
            </w:r>
          </w:p>
          <w:p w:rsidR="0073700B" w:rsidRDefault="001A2FFC">
            <w:pPr>
              <w:jc w:val="center"/>
              <w:rPr>
                <w:bCs/>
                <w:szCs w:val="21"/>
              </w:rPr>
            </w:pPr>
            <w:r>
              <w:rPr>
                <w:bCs/>
                <w:szCs w:val="21"/>
              </w:rPr>
              <w:t>（</w:t>
            </w:r>
            <w:r>
              <w:rPr>
                <w:bCs/>
                <w:szCs w:val="21"/>
              </w:rPr>
              <w:t>JTG C20-2011</w:t>
            </w:r>
            <w:r>
              <w:rPr>
                <w:bCs/>
                <w:szCs w:val="21"/>
              </w:rPr>
              <w:t>）</w:t>
            </w:r>
            <w:r>
              <w:rPr>
                <w:bCs/>
                <w:szCs w:val="21"/>
              </w:rPr>
              <w:fldChar w:fldCharType="begin"/>
            </w:r>
            <w:r>
              <w:rPr>
                <w:bCs/>
                <w:szCs w:val="21"/>
              </w:rPr>
              <w:instrText xml:space="preserve"> ADDIN NE.Ref.{6951E81C-9436-475C-BEEF-DE6B6F1C1514}</w:instrText>
            </w:r>
            <w:r>
              <w:rPr>
                <w:bCs/>
                <w:szCs w:val="21"/>
              </w:rPr>
              <w:fldChar w:fldCharType="separate"/>
            </w:r>
            <w:r>
              <w:rPr>
                <w:color w:val="080000"/>
                <w:kern w:val="0"/>
                <w:szCs w:val="21"/>
                <w:vertAlign w:val="superscript"/>
              </w:rPr>
              <w:t>[10]</w:t>
            </w:r>
            <w:r>
              <w:rPr>
                <w:bCs/>
                <w:szCs w:val="21"/>
              </w:rPr>
              <w:fldChar w:fldCharType="end"/>
            </w:r>
          </w:p>
        </w:tc>
        <w:tc>
          <w:tcPr>
            <w:tcW w:w="1699" w:type="dxa"/>
            <w:gridSpan w:val="2"/>
            <w:shd w:val="clear" w:color="auto" w:fill="auto"/>
            <w:vAlign w:val="center"/>
          </w:tcPr>
          <w:p w:rsidR="0073700B" w:rsidRDefault="001A2FFC">
            <w:pPr>
              <w:jc w:val="center"/>
              <w:rPr>
                <w:bCs/>
                <w:szCs w:val="21"/>
              </w:rPr>
            </w:pPr>
            <w:r>
              <w:rPr>
                <w:bCs/>
                <w:szCs w:val="21"/>
              </w:rPr>
              <w:t>&gt;60</w:t>
            </w:r>
          </w:p>
        </w:tc>
        <w:tc>
          <w:tcPr>
            <w:tcW w:w="991" w:type="dxa"/>
            <w:shd w:val="clear" w:color="auto" w:fill="auto"/>
            <w:vAlign w:val="center"/>
          </w:tcPr>
          <w:p w:rsidR="0073700B" w:rsidRDefault="001A2FFC">
            <w:pPr>
              <w:jc w:val="center"/>
              <w:rPr>
                <w:bCs/>
                <w:szCs w:val="21"/>
              </w:rPr>
            </w:pPr>
            <w:r>
              <w:rPr>
                <w:bCs/>
                <w:szCs w:val="21"/>
              </w:rPr>
              <w:t>60~30</w:t>
            </w:r>
          </w:p>
        </w:tc>
        <w:tc>
          <w:tcPr>
            <w:tcW w:w="992" w:type="dxa"/>
            <w:shd w:val="clear" w:color="auto" w:fill="auto"/>
            <w:vAlign w:val="center"/>
          </w:tcPr>
          <w:p w:rsidR="0073700B" w:rsidRDefault="001A2FFC">
            <w:pPr>
              <w:jc w:val="center"/>
              <w:rPr>
                <w:bCs/>
                <w:szCs w:val="21"/>
              </w:rPr>
            </w:pPr>
            <w:r>
              <w:rPr>
                <w:bCs/>
                <w:szCs w:val="21"/>
              </w:rPr>
              <w:t>30~15</w:t>
            </w:r>
          </w:p>
        </w:tc>
        <w:tc>
          <w:tcPr>
            <w:tcW w:w="708" w:type="dxa"/>
            <w:shd w:val="clear" w:color="auto" w:fill="auto"/>
            <w:vAlign w:val="center"/>
          </w:tcPr>
          <w:p w:rsidR="0073700B" w:rsidRDefault="001A2FFC">
            <w:pPr>
              <w:jc w:val="center"/>
              <w:rPr>
                <w:bCs/>
                <w:szCs w:val="21"/>
              </w:rPr>
            </w:pPr>
            <w:r>
              <w:rPr>
                <w:bCs/>
                <w:szCs w:val="21"/>
              </w:rPr>
              <w:t>15~5</w:t>
            </w:r>
          </w:p>
        </w:tc>
        <w:tc>
          <w:tcPr>
            <w:tcW w:w="929" w:type="dxa"/>
            <w:shd w:val="clear" w:color="auto" w:fill="auto"/>
            <w:vAlign w:val="center"/>
          </w:tcPr>
          <w:p w:rsidR="0073700B" w:rsidRDefault="001A2FFC">
            <w:pPr>
              <w:jc w:val="center"/>
              <w:rPr>
                <w:bCs/>
                <w:szCs w:val="21"/>
              </w:rPr>
            </w:pPr>
            <w:r>
              <w:rPr>
                <w:bCs/>
                <w:szCs w:val="21"/>
              </w:rPr>
              <w:t>≤5</w:t>
            </w:r>
          </w:p>
        </w:tc>
      </w:tr>
      <w:tr w:rsidR="0073700B">
        <w:tc>
          <w:tcPr>
            <w:tcW w:w="2967" w:type="dxa"/>
            <w:shd w:val="clear" w:color="auto" w:fill="auto"/>
          </w:tcPr>
          <w:p w:rsidR="0073700B" w:rsidRDefault="001A2FFC">
            <w:pPr>
              <w:jc w:val="center"/>
              <w:rPr>
                <w:bCs/>
                <w:szCs w:val="21"/>
              </w:rPr>
            </w:pPr>
            <w:r>
              <w:rPr>
                <w:bCs/>
                <w:szCs w:val="21"/>
              </w:rPr>
              <w:lastRenderedPageBreak/>
              <w:t>本标准</w:t>
            </w:r>
          </w:p>
        </w:tc>
        <w:tc>
          <w:tcPr>
            <w:tcW w:w="1699" w:type="dxa"/>
            <w:gridSpan w:val="2"/>
            <w:shd w:val="clear" w:color="auto" w:fill="auto"/>
            <w:vAlign w:val="center"/>
          </w:tcPr>
          <w:p w:rsidR="0073700B" w:rsidRDefault="001A2FFC">
            <w:pPr>
              <w:jc w:val="center"/>
              <w:rPr>
                <w:bCs/>
                <w:szCs w:val="21"/>
              </w:rPr>
            </w:pPr>
            <w:r>
              <w:rPr>
                <w:bCs/>
                <w:szCs w:val="21"/>
              </w:rPr>
              <w:t>&gt;60</w:t>
            </w:r>
          </w:p>
        </w:tc>
        <w:tc>
          <w:tcPr>
            <w:tcW w:w="991" w:type="dxa"/>
            <w:shd w:val="clear" w:color="auto" w:fill="auto"/>
            <w:vAlign w:val="center"/>
          </w:tcPr>
          <w:p w:rsidR="0073700B" w:rsidRDefault="001A2FFC">
            <w:pPr>
              <w:jc w:val="center"/>
              <w:rPr>
                <w:bCs/>
                <w:szCs w:val="21"/>
              </w:rPr>
            </w:pPr>
            <w:r>
              <w:rPr>
                <w:bCs/>
                <w:szCs w:val="21"/>
              </w:rPr>
              <w:t>60~30</w:t>
            </w:r>
          </w:p>
        </w:tc>
        <w:tc>
          <w:tcPr>
            <w:tcW w:w="2629" w:type="dxa"/>
            <w:gridSpan w:val="3"/>
            <w:shd w:val="clear" w:color="auto" w:fill="auto"/>
            <w:vAlign w:val="center"/>
          </w:tcPr>
          <w:p w:rsidR="0073700B" w:rsidRDefault="001A2FFC">
            <w:pPr>
              <w:jc w:val="center"/>
              <w:rPr>
                <w:bCs/>
                <w:szCs w:val="21"/>
              </w:rPr>
            </w:pPr>
            <w:r>
              <w:rPr>
                <w:bCs/>
                <w:szCs w:val="21"/>
              </w:rPr>
              <w:t>&lt;0</w:t>
            </w:r>
          </w:p>
        </w:tc>
      </w:tr>
    </w:tbl>
    <w:p w:rsidR="0073700B" w:rsidRDefault="001A2FFC">
      <w:pPr>
        <w:pStyle w:val="3"/>
        <w:numPr>
          <w:ilvl w:val="0"/>
          <w:numId w:val="0"/>
        </w:numPr>
        <w:ind w:left="426"/>
        <w:rPr>
          <w:b/>
          <w:bCs w:val="0"/>
        </w:rPr>
      </w:pPr>
      <w:r>
        <w:rPr>
          <w:b/>
          <w:bCs w:val="0"/>
        </w:rPr>
        <w:t xml:space="preserve">15. </w:t>
      </w:r>
      <w:r>
        <w:rPr>
          <w:b/>
          <w:bCs w:val="0"/>
        </w:rPr>
        <w:t>附录</w:t>
      </w:r>
      <w:r>
        <w:rPr>
          <w:b/>
          <w:bCs w:val="0"/>
        </w:rPr>
        <w:t>A.7</w:t>
      </w:r>
      <w:r>
        <w:rPr>
          <w:b/>
          <w:bCs w:val="0"/>
        </w:rPr>
        <w:t>（资料性附录）隧道施工过程</w:t>
      </w:r>
      <w:bookmarkStart w:id="108" w:name="_Hlk13326771"/>
      <w:r>
        <w:rPr>
          <w:b/>
          <w:bCs w:val="0"/>
        </w:rPr>
        <w:t>洞口失稳风险事件可能性评估指标体系</w:t>
      </w:r>
      <w:bookmarkEnd w:id="108"/>
    </w:p>
    <w:p w:rsidR="0073700B" w:rsidRDefault="001A2FFC" w:rsidP="00F80BAC">
      <w:pPr>
        <w:pStyle w:val="af7"/>
        <w:spacing w:beforeLines="50" w:before="156" w:line="360" w:lineRule="auto"/>
        <w:ind w:firstLine="480"/>
        <w:rPr>
          <w:rFonts w:ascii="Times New Roman"/>
          <w:bCs/>
          <w:sz w:val="24"/>
          <w:szCs w:val="24"/>
        </w:rPr>
      </w:pPr>
      <w:bookmarkStart w:id="109" w:name="_Hlk536127928"/>
      <w:r>
        <w:rPr>
          <w:rFonts w:ascii="Times New Roman"/>
          <w:bCs/>
          <w:sz w:val="24"/>
          <w:szCs w:val="24"/>
        </w:rPr>
        <w:t>根据前期对现行指南研究的成果和专家意见，从隧道建设规模、地形特征、地质条件、气象条件、超前预报与监测等五个方面建立施工过程洞口失稳风险事件可能性评估指标体系。其中建设规模包含了隧道开挖跨度指标，地形特征包含了洞口浅埋段长度、洞口偏压角度等指标，地质条件包含了围岩级别</w:t>
      </w:r>
      <w:r>
        <w:rPr>
          <w:rFonts w:ascii="Times New Roman"/>
          <w:bCs/>
          <w:sz w:val="24"/>
          <w:szCs w:val="24"/>
        </w:rPr>
        <w:t>([BQ]</w:t>
      </w:r>
      <w:r>
        <w:rPr>
          <w:rFonts w:ascii="Times New Roman"/>
          <w:bCs/>
          <w:sz w:val="24"/>
          <w:szCs w:val="24"/>
        </w:rPr>
        <w:t>值</w:t>
      </w:r>
      <w:r>
        <w:rPr>
          <w:rFonts w:ascii="Times New Roman"/>
          <w:bCs/>
          <w:sz w:val="24"/>
          <w:szCs w:val="24"/>
        </w:rPr>
        <w:t>)</w:t>
      </w:r>
      <w:r>
        <w:rPr>
          <w:rFonts w:ascii="Times New Roman"/>
          <w:bCs/>
          <w:sz w:val="24"/>
          <w:szCs w:val="24"/>
        </w:rPr>
        <w:t>、坡体结构等指标，气象条件包含了年平均降水量指标，超前预报与监测包含了相对变形值、监控量测方案等指标。</w:t>
      </w:r>
      <w:bookmarkEnd w:id="109"/>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w:t>
      </w:r>
      <w:r>
        <w:rPr>
          <w:rFonts w:ascii="Times New Roman" w:hint="eastAsia"/>
          <w:bCs/>
          <w:sz w:val="24"/>
          <w:szCs w:val="24"/>
        </w:rPr>
        <w:t>）</w:t>
      </w:r>
      <w:r>
        <w:rPr>
          <w:rFonts w:ascii="Times New Roman"/>
          <w:bCs/>
          <w:sz w:val="24"/>
          <w:szCs w:val="24"/>
        </w:rPr>
        <w:t>隧道开挖跨度</w:t>
      </w:r>
      <w:r>
        <w:rPr>
          <w:rFonts w:ascii="Times New Roman"/>
          <w:bCs/>
          <w:i/>
          <w:iCs/>
          <w:sz w:val="24"/>
          <w:szCs w:val="24"/>
        </w:rPr>
        <w:t>X</w:t>
      </w:r>
      <w:r>
        <w:rPr>
          <w:rFonts w:ascii="Times New Roman"/>
          <w:bCs/>
          <w:sz w:val="24"/>
          <w:szCs w:val="24"/>
          <w:vertAlign w:val="subscript"/>
        </w:rPr>
        <w:t>11</w:t>
      </w:r>
      <w:r>
        <w:rPr>
          <w:rFonts w:ascii="Times New Roman"/>
          <w:bCs/>
          <w:sz w:val="24"/>
          <w:szCs w:val="24"/>
        </w:rPr>
        <w:t>，参考《公路隧道施工技术细则》（</w:t>
      </w:r>
      <w:r>
        <w:rPr>
          <w:rFonts w:ascii="Times New Roman"/>
          <w:bCs/>
          <w:sz w:val="24"/>
          <w:szCs w:val="24"/>
        </w:rPr>
        <w:t>JTG/T F60-2009</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NE.Ref.{ACDE75</w:instrText>
      </w:r>
      <w:r>
        <w:rPr>
          <w:rFonts w:ascii="Times New Roman"/>
          <w:bCs/>
          <w:sz w:val="24"/>
          <w:szCs w:val="24"/>
        </w:rPr>
        <w:instrText>4E-0B41-4466-8569-67F873D2E882}</w:instrText>
      </w:r>
      <w:r>
        <w:rPr>
          <w:rFonts w:ascii="Times New Roman"/>
          <w:bCs/>
          <w:sz w:val="24"/>
          <w:szCs w:val="24"/>
        </w:rPr>
        <w:fldChar w:fldCharType="separate"/>
      </w:r>
      <w:r>
        <w:rPr>
          <w:rFonts w:ascii="Times New Roman"/>
          <w:color w:val="080000"/>
          <w:sz w:val="24"/>
          <w:szCs w:val="24"/>
          <w:vertAlign w:val="superscript"/>
        </w:rPr>
        <w:t>[14]</w:t>
      </w:r>
      <w:r>
        <w:rPr>
          <w:rFonts w:ascii="Times New Roman"/>
          <w:bCs/>
          <w:sz w:val="24"/>
          <w:szCs w:val="24"/>
        </w:rPr>
        <w:fldChar w:fldCharType="end"/>
      </w:r>
      <w:r>
        <w:rPr>
          <w:rFonts w:ascii="Times New Roman"/>
          <w:bCs/>
          <w:sz w:val="24"/>
          <w:szCs w:val="24"/>
        </w:rPr>
        <w:t>，按开挖宽度</w:t>
      </w:r>
      <w:r>
        <w:rPr>
          <w:rFonts w:ascii="Times New Roman"/>
          <w:bCs/>
          <w:i/>
          <w:iCs/>
          <w:sz w:val="24"/>
          <w:szCs w:val="24"/>
        </w:rPr>
        <w:t>B</w:t>
      </w:r>
      <w:r>
        <w:rPr>
          <w:rFonts w:ascii="Times New Roman"/>
          <w:bCs/>
          <w:sz w:val="24"/>
          <w:szCs w:val="24"/>
        </w:rPr>
        <w:t>将隧道划分为小跨度隧道、中跨度隧道、大跨度隧道、超大跨度隧道，开挖宽度</w:t>
      </w:r>
      <w:r>
        <w:rPr>
          <w:rFonts w:ascii="Times New Roman"/>
          <w:bCs/>
          <w:i/>
          <w:iCs/>
          <w:sz w:val="24"/>
          <w:szCs w:val="24"/>
        </w:rPr>
        <w:t>B</w:t>
      </w:r>
      <w:r>
        <w:rPr>
          <w:rFonts w:ascii="Times New Roman"/>
          <w:bCs/>
          <w:sz w:val="24"/>
          <w:szCs w:val="24"/>
        </w:rPr>
        <w:t>越大，隧道断面开挖持续时间较长，支护结构难以快速封闭成环，安全稳定性问题越突出。</w:t>
      </w:r>
    </w:p>
    <w:p w:rsidR="0073700B" w:rsidRDefault="001A2FFC" w:rsidP="00F80BAC">
      <w:pPr>
        <w:pStyle w:val="af7"/>
        <w:spacing w:beforeLines="50" w:before="156" w:line="360" w:lineRule="auto"/>
        <w:ind w:firstLine="480"/>
        <w:rPr>
          <w:rFonts w:ascii="Times New Roman"/>
          <w:bCs/>
          <w:sz w:val="24"/>
          <w:szCs w:val="24"/>
        </w:rPr>
      </w:pPr>
      <w:bookmarkStart w:id="110" w:name="_Hlk21274122"/>
      <w:r>
        <w:rPr>
          <w:rFonts w:ascii="Times New Roman" w:hint="eastAsia"/>
          <w:bCs/>
          <w:sz w:val="24"/>
          <w:szCs w:val="24"/>
        </w:rPr>
        <w:t>（</w:t>
      </w:r>
      <w:r>
        <w:rPr>
          <w:rFonts w:ascii="Times New Roman" w:hint="eastAsia"/>
          <w:bCs/>
          <w:sz w:val="24"/>
          <w:szCs w:val="24"/>
        </w:rPr>
        <w:t>2</w:t>
      </w:r>
      <w:r>
        <w:rPr>
          <w:rFonts w:ascii="Times New Roman" w:hint="eastAsia"/>
          <w:bCs/>
          <w:sz w:val="24"/>
          <w:szCs w:val="24"/>
        </w:rPr>
        <w:t>）</w:t>
      </w:r>
      <w:r>
        <w:rPr>
          <w:rFonts w:ascii="Times New Roman"/>
          <w:bCs/>
          <w:sz w:val="24"/>
          <w:szCs w:val="24"/>
        </w:rPr>
        <w:t>洞口</w:t>
      </w:r>
      <w:bookmarkStart w:id="111" w:name="_Hlk21274062"/>
      <w:r>
        <w:rPr>
          <w:rFonts w:ascii="Times New Roman"/>
          <w:bCs/>
          <w:sz w:val="24"/>
          <w:szCs w:val="24"/>
        </w:rPr>
        <w:t>浅埋段长度</w:t>
      </w:r>
      <w:bookmarkEnd w:id="110"/>
      <w:bookmarkEnd w:id="111"/>
      <w:r>
        <w:rPr>
          <w:rFonts w:ascii="Times New Roman"/>
          <w:bCs/>
          <w:i/>
          <w:iCs/>
          <w:sz w:val="24"/>
          <w:szCs w:val="24"/>
        </w:rPr>
        <w:t>X</w:t>
      </w:r>
      <w:r>
        <w:rPr>
          <w:rFonts w:ascii="Times New Roman"/>
          <w:bCs/>
          <w:sz w:val="24"/>
          <w:szCs w:val="24"/>
          <w:vertAlign w:val="subscript"/>
        </w:rPr>
        <w:t>21</w:t>
      </w:r>
      <w:r>
        <w:rPr>
          <w:rFonts w:ascii="Times New Roman"/>
          <w:bCs/>
          <w:sz w:val="24"/>
          <w:szCs w:val="24"/>
        </w:rPr>
        <w:t>，参考《铁路隧道设计规范》（</w:t>
      </w:r>
      <w:r>
        <w:rPr>
          <w:rFonts w:ascii="Times New Roman"/>
          <w:bCs/>
          <w:sz w:val="24"/>
          <w:szCs w:val="24"/>
        </w:rPr>
        <w:t>TB 10003-2016</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NE.Ref.{BD7F0802-8918-4940-A995-0B81781B3F64}</w:instrText>
      </w:r>
      <w:r>
        <w:rPr>
          <w:rFonts w:ascii="Times New Roman"/>
          <w:bCs/>
          <w:sz w:val="24"/>
          <w:szCs w:val="24"/>
        </w:rPr>
        <w:fldChar w:fldCharType="separate"/>
      </w:r>
      <w:r>
        <w:rPr>
          <w:rFonts w:ascii="Times New Roman"/>
          <w:color w:val="080000"/>
          <w:sz w:val="24"/>
          <w:szCs w:val="24"/>
          <w:vertAlign w:val="superscript"/>
        </w:rPr>
        <w:t>[15]</w:t>
      </w:r>
      <w:r>
        <w:rPr>
          <w:rFonts w:ascii="Times New Roman"/>
          <w:bCs/>
          <w:sz w:val="24"/>
          <w:szCs w:val="24"/>
        </w:rPr>
        <w:fldChar w:fldCharType="end"/>
      </w:r>
      <w:r>
        <w:rPr>
          <w:rFonts w:ascii="Times New Roman"/>
          <w:bCs/>
          <w:sz w:val="24"/>
          <w:szCs w:val="24"/>
        </w:rPr>
        <w:t>，浅埋段是决定洞口处稳定性的重要因素，该段岩体质量往往相对较差，易受降水影响。洞口浅埋段长度越长，该段施工时间越长，发生失稳的风险就会越大。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3</w:t>
      </w:r>
      <w:r>
        <w:rPr>
          <w:rFonts w:ascii="Times New Roman" w:hint="eastAsia"/>
          <w:bCs/>
          <w:sz w:val="24"/>
          <w:szCs w:val="24"/>
        </w:rPr>
        <w:t>）</w:t>
      </w:r>
      <w:r>
        <w:rPr>
          <w:rFonts w:ascii="Times New Roman"/>
          <w:bCs/>
          <w:sz w:val="24"/>
          <w:szCs w:val="24"/>
        </w:rPr>
        <w:t>洞口偏压角度</w:t>
      </w:r>
      <w:r>
        <w:rPr>
          <w:rFonts w:ascii="Times New Roman"/>
          <w:bCs/>
          <w:i/>
          <w:iCs/>
          <w:sz w:val="24"/>
          <w:szCs w:val="24"/>
        </w:rPr>
        <w:t>X</w:t>
      </w:r>
      <w:r>
        <w:rPr>
          <w:rFonts w:ascii="Times New Roman"/>
          <w:bCs/>
          <w:sz w:val="24"/>
          <w:szCs w:val="24"/>
          <w:vertAlign w:val="subscript"/>
        </w:rPr>
        <w:t>22</w:t>
      </w:r>
      <w:r>
        <w:rPr>
          <w:rFonts w:ascii="Times New Roman"/>
          <w:bCs/>
          <w:sz w:val="24"/>
          <w:szCs w:val="24"/>
        </w:rPr>
        <w:t>，</w:t>
      </w:r>
      <w:r>
        <w:rPr>
          <w:rFonts w:ascii="Times New Roman"/>
          <w:bCs/>
          <w:sz w:val="24"/>
        </w:rPr>
        <w:t>是指垂直于隧道洞口的横剖面与地面的交线同水平面的夹角。参考《铁路隧道设计规范》（</w:t>
      </w:r>
      <w:r>
        <w:rPr>
          <w:rFonts w:ascii="Times New Roman"/>
          <w:bCs/>
          <w:sz w:val="24"/>
        </w:rPr>
        <w:t>JB 10003-2016</w:t>
      </w:r>
      <w:r>
        <w:rPr>
          <w:rFonts w:ascii="Times New Roman"/>
          <w:bCs/>
          <w:sz w:val="24"/>
        </w:rPr>
        <w:t>）</w:t>
      </w:r>
      <w:r>
        <w:rPr>
          <w:rFonts w:ascii="Times New Roman"/>
          <w:bCs/>
          <w:sz w:val="24"/>
        </w:rPr>
        <w:fldChar w:fldCharType="begin"/>
      </w:r>
      <w:r>
        <w:rPr>
          <w:rFonts w:ascii="Times New Roman"/>
          <w:bCs/>
          <w:sz w:val="24"/>
        </w:rPr>
        <w:instrText xml:space="preserve"> ADDIN NE.Ref.{5B2542D1-CE83-4584-8E15-1C38EA1B98B0}</w:instrText>
      </w:r>
      <w:r>
        <w:rPr>
          <w:rFonts w:ascii="Times New Roman"/>
          <w:bCs/>
          <w:sz w:val="24"/>
        </w:rPr>
        <w:fldChar w:fldCharType="separate"/>
      </w:r>
      <w:r>
        <w:rPr>
          <w:rFonts w:ascii="Times New Roman"/>
          <w:color w:val="080000"/>
          <w:sz w:val="24"/>
          <w:szCs w:val="24"/>
          <w:vertAlign w:val="superscript"/>
        </w:rPr>
        <w:t>[15]</w:t>
      </w:r>
      <w:r>
        <w:rPr>
          <w:rFonts w:ascii="Times New Roman"/>
          <w:bCs/>
          <w:sz w:val="24"/>
        </w:rPr>
        <w:fldChar w:fldCharType="end"/>
      </w:r>
      <w:r>
        <w:rPr>
          <w:rFonts w:ascii="Times New Roman"/>
          <w:bCs/>
          <w:sz w:val="24"/>
        </w:rPr>
        <w:t>，大多数偏压隧道处于洞口段与浅埋段，地形因素造成的偏压对隧道洞口浅埋段的稳定性影响特别大，本标准以岩层倾角表示偏压情况</w:t>
      </w:r>
      <w:r>
        <w:rPr>
          <w:rFonts w:ascii="Times New Roman"/>
          <w:bCs/>
          <w:sz w:val="24"/>
        </w:rPr>
        <w:fldChar w:fldCharType="begin"/>
      </w:r>
      <w:r>
        <w:rPr>
          <w:rFonts w:ascii="Times New Roman"/>
          <w:bCs/>
          <w:sz w:val="24"/>
        </w:rPr>
        <w:instrText xml:space="preserve"> ADDIN NE.Ref.{DC793192-B4D7-44C5-8A9E-B15912585702}</w:instrText>
      </w:r>
      <w:r>
        <w:rPr>
          <w:rFonts w:ascii="Times New Roman"/>
          <w:bCs/>
          <w:sz w:val="24"/>
        </w:rPr>
        <w:fldChar w:fldCharType="separate"/>
      </w:r>
      <w:r>
        <w:rPr>
          <w:rFonts w:ascii="Times New Roman"/>
          <w:color w:val="080000"/>
          <w:sz w:val="24"/>
          <w:szCs w:val="24"/>
          <w:vertAlign w:val="superscript"/>
        </w:rPr>
        <w:t>[30, 31]</w:t>
      </w:r>
      <w:r>
        <w:rPr>
          <w:rFonts w:ascii="Times New Roman"/>
          <w:bCs/>
          <w:sz w:val="24"/>
        </w:rPr>
        <w:fldChar w:fldCharType="end"/>
      </w:r>
      <w:r>
        <w:rPr>
          <w:rFonts w:ascii="Times New Roman"/>
          <w:bCs/>
          <w:sz w:val="24"/>
        </w:rPr>
        <w:t>，倾角越大，则发生洞口失稳、塌方等事故的可能性就越大。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4</w:t>
      </w:r>
      <w:r>
        <w:rPr>
          <w:rFonts w:ascii="Times New Roman" w:hint="eastAsia"/>
          <w:bCs/>
          <w:sz w:val="24"/>
          <w:szCs w:val="24"/>
        </w:rPr>
        <w:t>）</w:t>
      </w:r>
      <w:r>
        <w:rPr>
          <w:rFonts w:ascii="Times New Roman"/>
          <w:bCs/>
          <w:sz w:val="24"/>
          <w:szCs w:val="24"/>
        </w:rPr>
        <w:t>围岩级别</w:t>
      </w:r>
      <w:r>
        <w:rPr>
          <w:rFonts w:ascii="Times New Roman"/>
          <w:bCs/>
          <w:sz w:val="24"/>
          <w:szCs w:val="24"/>
        </w:rPr>
        <w:t>([BQ]</w:t>
      </w:r>
      <w:r>
        <w:rPr>
          <w:rFonts w:ascii="Times New Roman"/>
          <w:bCs/>
          <w:sz w:val="24"/>
          <w:szCs w:val="24"/>
        </w:rPr>
        <w:t>值</w:t>
      </w:r>
      <w:r>
        <w:rPr>
          <w:rFonts w:ascii="Times New Roman"/>
          <w:bCs/>
          <w:sz w:val="24"/>
          <w:szCs w:val="24"/>
        </w:rPr>
        <w:t>)</w:t>
      </w:r>
      <w:r>
        <w:rPr>
          <w:rFonts w:ascii="Times New Roman"/>
          <w:bCs/>
          <w:i/>
          <w:iCs/>
          <w:sz w:val="24"/>
          <w:szCs w:val="24"/>
        </w:rPr>
        <w:t>X</w:t>
      </w:r>
      <w:r>
        <w:rPr>
          <w:rFonts w:ascii="Times New Roman"/>
          <w:bCs/>
          <w:sz w:val="24"/>
          <w:szCs w:val="24"/>
          <w:vertAlign w:val="subscript"/>
        </w:rPr>
        <w:t>31</w:t>
      </w:r>
      <w:r>
        <w:rPr>
          <w:rFonts w:ascii="Times New Roman"/>
          <w:bCs/>
          <w:sz w:val="24"/>
          <w:szCs w:val="24"/>
        </w:rPr>
        <w:t>，参考《工程岩体分级标准》（</w:t>
      </w:r>
      <w:r>
        <w:rPr>
          <w:rFonts w:ascii="Times New Roman"/>
          <w:bCs/>
          <w:sz w:val="24"/>
          <w:szCs w:val="24"/>
        </w:rPr>
        <w:t>GB/T 50218-2014</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NE.Ref.{FB69248D-ECFF-493E-923B-1D46CF5389B8}</w:instrText>
      </w:r>
      <w:r>
        <w:rPr>
          <w:rFonts w:ascii="Times New Roman"/>
          <w:bCs/>
          <w:sz w:val="24"/>
          <w:szCs w:val="24"/>
        </w:rPr>
        <w:fldChar w:fldCharType="separate"/>
      </w:r>
      <w:r>
        <w:rPr>
          <w:rFonts w:ascii="Times New Roman"/>
          <w:color w:val="080000"/>
          <w:sz w:val="24"/>
          <w:szCs w:val="24"/>
          <w:vertAlign w:val="superscript"/>
        </w:rPr>
        <w:t>[11]</w:t>
      </w:r>
      <w:r>
        <w:rPr>
          <w:rFonts w:ascii="Times New Roman"/>
          <w:bCs/>
          <w:sz w:val="24"/>
          <w:szCs w:val="24"/>
        </w:rPr>
        <w:fldChar w:fldCharType="end"/>
      </w:r>
      <w:r>
        <w:rPr>
          <w:rFonts w:ascii="Times New Roman"/>
          <w:bCs/>
          <w:sz w:val="24"/>
          <w:szCs w:val="24"/>
        </w:rPr>
        <w:t>，按地下工程岩体质量指标</w:t>
      </w:r>
      <w:r>
        <w:rPr>
          <w:rFonts w:ascii="Times New Roman"/>
          <w:bCs/>
          <w:sz w:val="24"/>
          <w:szCs w:val="24"/>
        </w:rPr>
        <w:t>[BQ]</w:t>
      </w:r>
      <w:r>
        <w:rPr>
          <w:rFonts w:ascii="Times New Roman"/>
          <w:bCs/>
          <w:sz w:val="24"/>
          <w:szCs w:val="24"/>
        </w:rPr>
        <w:t>值确定岩体级别，围岩级别越低，则围岩质量越差，对应的洞口失稳风险也越大。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5</w:t>
      </w:r>
      <w:r>
        <w:rPr>
          <w:rFonts w:ascii="Times New Roman" w:hint="eastAsia"/>
          <w:bCs/>
          <w:sz w:val="24"/>
          <w:szCs w:val="24"/>
        </w:rPr>
        <w:t>）</w:t>
      </w:r>
      <w:r>
        <w:rPr>
          <w:rFonts w:ascii="Times New Roman"/>
          <w:bCs/>
          <w:sz w:val="24"/>
          <w:szCs w:val="24"/>
        </w:rPr>
        <w:t>坡体结</w:t>
      </w:r>
      <w:r>
        <w:rPr>
          <w:rFonts w:ascii="Times New Roman"/>
          <w:bCs/>
          <w:sz w:val="24"/>
          <w:szCs w:val="24"/>
        </w:rPr>
        <w:t>构</w:t>
      </w:r>
      <w:r>
        <w:rPr>
          <w:rFonts w:ascii="Times New Roman"/>
          <w:bCs/>
          <w:i/>
          <w:iCs/>
          <w:sz w:val="24"/>
          <w:szCs w:val="24"/>
        </w:rPr>
        <w:t>X</w:t>
      </w:r>
      <w:r>
        <w:rPr>
          <w:rFonts w:ascii="Times New Roman"/>
          <w:bCs/>
          <w:sz w:val="24"/>
          <w:szCs w:val="24"/>
          <w:vertAlign w:val="subscript"/>
        </w:rPr>
        <w:t>32</w:t>
      </w:r>
      <w:r>
        <w:rPr>
          <w:rFonts w:ascii="Times New Roman"/>
          <w:bCs/>
          <w:sz w:val="24"/>
          <w:szCs w:val="24"/>
        </w:rPr>
        <w:t>，参考《公路隧道设计规范</w:t>
      </w:r>
      <w:r>
        <w:rPr>
          <w:rFonts w:ascii="Times New Roman"/>
          <w:bCs/>
          <w:sz w:val="24"/>
          <w:szCs w:val="24"/>
        </w:rPr>
        <w:t xml:space="preserve"> </w:t>
      </w:r>
      <w:r>
        <w:rPr>
          <w:rFonts w:ascii="Times New Roman"/>
          <w:bCs/>
          <w:sz w:val="24"/>
          <w:szCs w:val="24"/>
        </w:rPr>
        <w:t>第一册</w:t>
      </w:r>
      <w:r>
        <w:rPr>
          <w:rFonts w:ascii="Times New Roman"/>
          <w:bCs/>
          <w:sz w:val="24"/>
          <w:szCs w:val="24"/>
        </w:rPr>
        <w:t xml:space="preserve"> </w:t>
      </w:r>
      <w:r>
        <w:rPr>
          <w:rFonts w:ascii="Times New Roman"/>
          <w:bCs/>
          <w:sz w:val="24"/>
          <w:szCs w:val="24"/>
        </w:rPr>
        <w:t>土建工程》（</w:t>
      </w:r>
      <w:r>
        <w:rPr>
          <w:rFonts w:ascii="Times New Roman"/>
          <w:bCs/>
          <w:sz w:val="24"/>
          <w:szCs w:val="24"/>
        </w:rPr>
        <w:t>JTG 3370.1-2018</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NE.Ref.{E7C14D4D-8C8C-46E7-A911-5CBA2A338AE1}</w:instrText>
      </w:r>
      <w:r>
        <w:rPr>
          <w:rFonts w:ascii="Times New Roman"/>
          <w:bCs/>
          <w:sz w:val="24"/>
          <w:szCs w:val="24"/>
        </w:rPr>
        <w:fldChar w:fldCharType="separate"/>
      </w:r>
      <w:r>
        <w:rPr>
          <w:rFonts w:ascii="Times New Roman"/>
          <w:color w:val="080000"/>
          <w:sz w:val="24"/>
          <w:szCs w:val="24"/>
          <w:vertAlign w:val="superscript"/>
        </w:rPr>
        <w:t>[33]</w:t>
      </w:r>
      <w:r>
        <w:rPr>
          <w:rFonts w:ascii="Times New Roman"/>
          <w:bCs/>
          <w:sz w:val="24"/>
          <w:szCs w:val="24"/>
        </w:rPr>
        <w:fldChar w:fldCharType="end"/>
      </w:r>
      <w:r>
        <w:rPr>
          <w:rFonts w:ascii="Times New Roman"/>
          <w:bCs/>
          <w:sz w:val="24"/>
          <w:szCs w:val="24"/>
        </w:rPr>
        <w:t>，洞口应设于山坡稳定、地质条件较好的位置，隧道轴线与坡</w:t>
      </w:r>
      <w:r>
        <w:rPr>
          <w:rFonts w:ascii="Times New Roman"/>
          <w:bCs/>
          <w:sz w:val="24"/>
          <w:szCs w:val="24"/>
        </w:rPr>
        <w:lastRenderedPageBreak/>
        <w:t>面正交的横交坡结构最为理想。而斜交坡、缓顺向坡、古滑坡体的失稳风险相对依次增加。</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6</w:t>
      </w:r>
      <w:r>
        <w:rPr>
          <w:rFonts w:ascii="Times New Roman" w:hint="eastAsia"/>
          <w:bCs/>
          <w:sz w:val="24"/>
          <w:szCs w:val="24"/>
        </w:rPr>
        <w:t>）</w:t>
      </w:r>
      <w:r>
        <w:rPr>
          <w:rFonts w:ascii="Times New Roman"/>
          <w:bCs/>
          <w:sz w:val="24"/>
          <w:szCs w:val="24"/>
        </w:rPr>
        <w:t>年均降水量</w:t>
      </w:r>
      <w:r>
        <w:rPr>
          <w:rFonts w:ascii="Times New Roman"/>
          <w:bCs/>
          <w:i/>
          <w:iCs/>
          <w:sz w:val="24"/>
          <w:szCs w:val="24"/>
        </w:rPr>
        <w:t>X</w:t>
      </w:r>
      <w:r>
        <w:rPr>
          <w:rFonts w:ascii="Times New Roman"/>
          <w:bCs/>
          <w:sz w:val="24"/>
          <w:szCs w:val="24"/>
          <w:vertAlign w:val="subscript"/>
        </w:rPr>
        <w:t>41</w:t>
      </w:r>
      <w:r>
        <w:rPr>
          <w:rFonts w:ascii="Times New Roman"/>
          <w:bCs/>
          <w:sz w:val="24"/>
          <w:szCs w:val="24"/>
        </w:rPr>
        <w:t>，</w:t>
      </w:r>
      <w:r>
        <w:rPr>
          <w:rFonts w:ascii="Times New Roman"/>
          <w:bCs/>
          <w:sz w:val="24"/>
        </w:rPr>
        <w:t>降水量过大，特别是持续的强降水，严重影响洞口工程施工；如果地表的排水、截水设施不完善，大量的地表水将会渗入地层，此外降水容易在隧道浅埋段渗入隧道围岩</w:t>
      </w:r>
      <w:r>
        <w:rPr>
          <w:rFonts w:ascii="Times New Roman"/>
          <w:bCs/>
          <w:sz w:val="24"/>
        </w:rPr>
        <w:t>，软化岩体并降低围岩强度，影响隧道围岩稳定性。故降水量越大，则洞口失稳风险越大。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7</w:t>
      </w:r>
      <w:r>
        <w:rPr>
          <w:rFonts w:ascii="Times New Roman" w:hint="eastAsia"/>
          <w:bCs/>
          <w:sz w:val="24"/>
          <w:szCs w:val="24"/>
        </w:rPr>
        <w:t>）</w:t>
      </w:r>
      <w:r>
        <w:rPr>
          <w:rFonts w:ascii="Times New Roman"/>
          <w:bCs/>
          <w:sz w:val="24"/>
          <w:szCs w:val="24"/>
        </w:rPr>
        <w:t>相对变形值</w:t>
      </w:r>
      <w:r>
        <w:rPr>
          <w:rFonts w:ascii="Times New Roman"/>
          <w:i/>
          <w:iCs/>
          <w:szCs w:val="21"/>
        </w:rPr>
        <w:t>(u/B</w:t>
      </w:r>
      <w:r>
        <w:rPr>
          <w:rFonts w:ascii="Times New Roman"/>
          <w:szCs w:val="21"/>
        </w:rPr>
        <w:t>)</w:t>
      </w:r>
      <w:r>
        <w:rPr>
          <w:rFonts w:ascii="Times New Roman"/>
          <w:bCs/>
          <w:i/>
          <w:iCs/>
          <w:sz w:val="24"/>
          <w:szCs w:val="24"/>
        </w:rPr>
        <w:t>X</w:t>
      </w:r>
      <w:r>
        <w:rPr>
          <w:rFonts w:ascii="Times New Roman"/>
          <w:bCs/>
          <w:sz w:val="24"/>
          <w:szCs w:val="24"/>
          <w:vertAlign w:val="subscript"/>
        </w:rPr>
        <w:t>51</w:t>
      </w:r>
      <w:r>
        <w:rPr>
          <w:rFonts w:ascii="Times New Roman"/>
          <w:bCs/>
          <w:sz w:val="24"/>
          <w:szCs w:val="24"/>
        </w:rPr>
        <w:fldChar w:fldCharType="begin"/>
      </w:r>
      <w:r>
        <w:rPr>
          <w:rFonts w:ascii="Times New Roman"/>
          <w:bCs/>
          <w:sz w:val="24"/>
          <w:szCs w:val="24"/>
        </w:rPr>
        <w:instrText xml:space="preserve"> ADDIN NE.Ref.{48A90248-D823-4106-AC00-EB94C435BC47}</w:instrText>
      </w:r>
      <w:r>
        <w:rPr>
          <w:rFonts w:ascii="Times New Roman"/>
          <w:bCs/>
          <w:sz w:val="24"/>
          <w:szCs w:val="24"/>
        </w:rPr>
        <w:fldChar w:fldCharType="separate"/>
      </w:r>
      <w:r>
        <w:rPr>
          <w:rFonts w:ascii="Times New Roman"/>
          <w:color w:val="080000"/>
          <w:sz w:val="24"/>
          <w:szCs w:val="24"/>
          <w:vertAlign w:val="superscript"/>
        </w:rPr>
        <w:t>[54, 55]</w:t>
      </w:r>
      <w:r>
        <w:rPr>
          <w:rFonts w:ascii="Times New Roman"/>
          <w:bCs/>
          <w:sz w:val="24"/>
          <w:szCs w:val="24"/>
        </w:rPr>
        <w:fldChar w:fldCharType="end"/>
      </w:r>
      <w:r>
        <w:rPr>
          <w:rFonts w:ascii="Times New Roman"/>
          <w:bCs/>
          <w:sz w:val="24"/>
          <w:szCs w:val="24"/>
        </w:rPr>
        <w:t>，参考《铁路隧道设计规范》（</w:t>
      </w:r>
      <w:r>
        <w:rPr>
          <w:rFonts w:ascii="Times New Roman"/>
          <w:bCs/>
          <w:sz w:val="24"/>
          <w:szCs w:val="24"/>
        </w:rPr>
        <w:t>TB 10003-2016</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NE.Ref.{8855B807-BD09-4262-A820-C6868B98CF82}</w:instrText>
      </w:r>
      <w:r>
        <w:rPr>
          <w:rFonts w:ascii="Times New Roman"/>
          <w:bCs/>
          <w:sz w:val="24"/>
          <w:szCs w:val="24"/>
        </w:rPr>
        <w:fldChar w:fldCharType="separate"/>
      </w:r>
      <w:r>
        <w:rPr>
          <w:rFonts w:ascii="Times New Roman"/>
          <w:color w:val="080000"/>
          <w:sz w:val="24"/>
          <w:szCs w:val="24"/>
          <w:vertAlign w:val="superscript"/>
        </w:rPr>
        <w:t>[15]</w:t>
      </w:r>
      <w:r>
        <w:rPr>
          <w:rFonts w:ascii="Times New Roman"/>
          <w:bCs/>
          <w:sz w:val="24"/>
          <w:szCs w:val="24"/>
        </w:rPr>
        <w:fldChar w:fldCharType="end"/>
      </w:r>
      <w:r>
        <w:rPr>
          <w:rFonts w:ascii="Times New Roman"/>
          <w:bCs/>
          <w:sz w:val="24"/>
          <w:szCs w:val="24"/>
        </w:rPr>
        <w:t>，隧道开挖后，围岩表面因开挖扰动作用会产生部分变形，相对变形值即为变形量</w:t>
      </w:r>
      <w:r>
        <w:rPr>
          <w:rFonts w:ascii="Times New Roman"/>
          <w:bCs/>
          <w:i/>
          <w:iCs/>
          <w:sz w:val="24"/>
          <w:szCs w:val="24"/>
        </w:rPr>
        <w:t>u</w:t>
      </w:r>
      <w:r>
        <w:rPr>
          <w:rFonts w:ascii="Times New Roman"/>
          <w:bCs/>
          <w:sz w:val="24"/>
          <w:szCs w:val="24"/>
        </w:rPr>
        <w:t>与隧道等效半径</w:t>
      </w:r>
      <w:r>
        <w:rPr>
          <w:rFonts w:ascii="Times New Roman"/>
          <w:bCs/>
          <w:i/>
          <w:iCs/>
          <w:sz w:val="24"/>
          <w:szCs w:val="24"/>
        </w:rPr>
        <w:t>B</w:t>
      </w:r>
      <w:r>
        <w:rPr>
          <w:rFonts w:ascii="Times New Roman"/>
          <w:bCs/>
          <w:sz w:val="24"/>
          <w:szCs w:val="24"/>
        </w:rPr>
        <w:t>之比，评估时按照就高原则，选取评估区段内变形量最大的断面，相对变形值越大，则洞口失稳风险越大。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8</w:t>
      </w:r>
      <w:r>
        <w:rPr>
          <w:rFonts w:ascii="Times New Roman" w:hint="eastAsia"/>
          <w:bCs/>
          <w:sz w:val="24"/>
          <w:szCs w:val="24"/>
        </w:rPr>
        <w:t>）</w:t>
      </w:r>
      <w:r>
        <w:rPr>
          <w:rFonts w:ascii="Times New Roman"/>
          <w:bCs/>
          <w:sz w:val="24"/>
          <w:szCs w:val="24"/>
        </w:rPr>
        <w:t>监控量测方案</w:t>
      </w:r>
      <w:r>
        <w:rPr>
          <w:rFonts w:ascii="Times New Roman"/>
          <w:bCs/>
          <w:i/>
          <w:iCs/>
          <w:sz w:val="24"/>
          <w:szCs w:val="24"/>
        </w:rPr>
        <w:t>X</w:t>
      </w:r>
      <w:r>
        <w:rPr>
          <w:rFonts w:ascii="Times New Roman"/>
          <w:bCs/>
          <w:sz w:val="24"/>
          <w:szCs w:val="24"/>
          <w:vertAlign w:val="subscript"/>
        </w:rPr>
        <w:t>52</w:t>
      </w:r>
      <w:r>
        <w:rPr>
          <w:rFonts w:ascii="Times New Roman"/>
          <w:bCs/>
          <w:sz w:val="24"/>
          <w:szCs w:val="24"/>
        </w:rPr>
        <w:fldChar w:fldCharType="begin"/>
      </w:r>
      <w:r>
        <w:rPr>
          <w:rFonts w:ascii="Times New Roman"/>
          <w:bCs/>
          <w:sz w:val="24"/>
          <w:szCs w:val="24"/>
        </w:rPr>
        <w:instrText xml:space="preserve"> ADDIN NE.Ref.{C6035050-A6DA-4052-AB22-2A2388CD1BA1}</w:instrText>
      </w:r>
      <w:r>
        <w:rPr>
          <w:rFonts w:ascii="Times New Roman"/>
          <w:bCs/>
          <w:sz w:val="24"/>
          <w:szCs w:val="24"/>
        </w:rPr>
        <w:fldChar w:fldCharType="separate"/>
      </w:r>
      <w:r>
        <w:rPr>
          <w:rFonts w:ascii="Times New Roman"/>
          <w:color w:val="080000"/>
          <w:sz w:val="24"/>
          <w:szCs w:val="24"/>
          <w:vertAlign w:val="superscript"/>
        </w:rPr>
        <w:t>[56]</w:t>
      </w:r>
      <w:r>
        <w:rPr>
          <w:rFonts w:ascii="Times New Roman"/>
          <w:bCs/>
          <w:sz w:val="24"/>
          <w:szCs w:val="24"/>
        </w:rPr>
        <w:fldChar w:fldCharType="end"/>
      </w:r>
      <w:r>
        <w:rPr>
          <w:rFonts w:ascii="Times New Roman"/>
          <w:bCs/>
          <w:sz w:val="24"/>
          <w:szCs w:val="24"/>
        </w:rPr>
        <w:t>，参考《公路工程施工安全技术规范》（</w:t>
      </w:r>
      <w:r>
        <w:rPr>
          <w:rFonts w:ascii="Times New Roman"/>
          <w:bCs/>
          <w:sz w:val="24"/>
          <w:szCs w:val="24"/>
        </w:rPr>
        <w:t>JTG F90-2015</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NE.Ref.{D9783ADF-4747-4994-8F00-8F356B3A3488}</w:instrText>
      </w:r>
      <w:r>
        <w:rPr>
          <w:rFonts w:ascii="Times New Roman"/>
          <w:bCs/>
          <w:sz w:val="24"/>
          <w:szCs w:val="24"/>
        </w:rPr>
        <w:fldChar w:fldCharType="separate"/>
      </w:r>
      <w:r>
        <w:rPr>
          <w:rFonts w:ascii="Times New Roman"/>
          <w:color w:val="080000"/>
          <w:sz w:val="24"/>
          <w:szCs w:val="24"/>
          <w:vertAlign w:val="superscript"/>
        </w:rPr>
        <w:t>[57]</w:t>
      </w:r>
      <w:r>
        <w:rPr>
          <w:rFonts w:ascii="Times New Roman"/>
          <w:bCs/>
          <w:sz w:val="24"/>
          <w:szCs w:val="24"/>
        </w:rPr>
        <w:fldChar w:fldCharType="end"/>
      </w:r>
      <w:r>
        <w:rPr>
          <w:rFonts w:ascii="Times New Roman"/>
          <w:bCs/>
          <w:sz w:val="24"/>
          <w:szCs w:val="24"/>
        </w:rPr>
        <w:t>，监控量测包括量测频率、监测项目、信息反馈等内容。合理的监控量测频率、全面的必测项目与及时的信</w:t>
      </w:r>
      <w:r>
        <w:rPr>
          <w:rFonts w:ascii="Times New Roman"/>
          <w:bCs/>
          <w:sz w:val="24"/>
          <w:szCs w:val="24"/>
        </w:rPr>
        <w:t>息反馈可以有效降低风险事件发生的可能性。</w:t>
      </w:r>
    </w:p>
    <w:p w:rsidR="0073700B" w:rsidRDefault="001A2FFC">
      <w:pPr>
        <w:pStyle w:val="3"/>
        <w:numPr>
          <w:ilvl w:val="0"/>
          <w:numId w:val="0"/>
        </w:numPr>
        <w:ind w:left="426"/>
        <w:rPr>
          <w:b/>
          <w:bCs w:val="0"/>
        </w:rPr>
      </w:pPr>
      <w:r>
        <w:rPr>
          <w:b/>
          <w:bCs w:val="0"/>
        </w:rPr>
        <w:t xml:space="preserve">16. </w:t>
      </w:r>
      <w:r>
        <w:rPr>
          <w:b/>
          <w:bCs w:val="0"/>
        </w:rPr>
        <w:t>附录</w:t>
      </w:r>
      <w:r>
        <w:rPr>
          <w:b/>
          <w:bCs w:val="0"/>
        </w:rPr>
        <w:t>A.8</w:t>
      </w:r>
      <w:r>
        <w:rPr>
          <w:b/>
          <w:bCs w:val="0"/>
        </w:rPr>
        <w:t>（资料性附录）隧道施工过程坍塌风险事件可能性评估指标体系</w:t>
      </w:r>
    </w:p>
    <w:p w:rsidR="0073700B" w:rsidRDefault="001A2FFC" w:rsidP="00F80BAC">
      <w:pPr>
        <w:spacing w:beforeLines="50" w:before="156" w:line="360" w:lineRule="auto"/>
        <w:ind w:firstLineChars="200" w:firstLine="480"/>
        <w:rPr>
          <w:bCs/>
          <w:sz w:val="24"/>
        </w:rPr>
      </w:pPr>
      <w:bookmarkStart w:id="112" w:name="_Hlk536128224"/>
      <w:r>
        <w:rPr>
          <w:bCs/>
          <w:sz w:val="24"/>
        </w:rPr>
        <w:t>根据前期对现行指南的研究成果和专家意见，从隧道建设规模、地形特征、地质条件、水文地质条件、施工因素、超前预报与监测等六个方面建立施工过程坍塌风险事件可能性评估指标体系。其中建设规模包含了隧道开挖跨度指标，地形特征包含了隧道埋深、浅埋隧道偏压角度等指标，地质条件包含了围岩级别</w:t>
      </w:r>
      <w:r>
        <w:rPr>
          <w:bCs/>
          <w:sz w:val="24"/>
        </w:rPr>
        <w:t>([BQ]</w:t>
      </w:r>
      <w:r>
        <w:rPr>
          <w:bCs/>
          <w:sz w:val="24"/>
        </w:rPr>
        <w:t>值</w:t>
      </w:r>
      <w:r>
        <w:rPr>
          <w:bCs/>
          <w:sz w:val="24"/>
        </w:rPr>
        <w:t>)</w:t>
      </w:r>
      <w:r>
        <w:rPr>
          <w:bCs/>
          <w:sz w:val="24"/>
        </w:rPr>
        <w:t>、断层破碎带宽度、断层破碎带胶结程度、优势结构面倾角等指标，水文地质条件包含了地下涌水情况指标，施工因素包</w:t>
      </w:r>
      <w:r>
        <w:rPr>
          <w:bCs/>
          <w:sz w:val="24"/>
        </w:rPr>
        <w:t>含了衬砌安全距离、仰拱安全距离等指标，超前预报与监测包含了超前地质预报、相对变形值、监控量测方案等指标。</w:t>
      </w:r>
    </w:p>
    <w:bookmarkEnd w:id="112"/>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1</w:t>
      </w:r>
      <w:r>
        <w:rPr>
          <w:rFonts w:hint="eastAsia"/>
          <w:bCs/>
          <w:sz w:val="24"/>
          <w:szCs w:val="24"/>
        </w:rPr>
        <w:t>）</w:t>
      </w:r>
      <w:r>
        <w:rPr>
          <w:bCs/>
          <w:sz w:val="24"/>
        </w:rPr>
        <w:t>隧道开挖跨度</w:t>
      </w:r>
      <w:r>
        <w:rPr>
          <w:bCs/>
          <w:i/>
          <w:iCs/>
          <w:sz w:val="24"/>
        </w:rPr>
        <w:t>X</w:t>
      </w:r>
      <w:r>
        <w:rPr>
          <w:bCs/>
          <w:sz w:val="24"/>
          <w:vertAlign w:val="subscript"/>
        </w:rPr>
        <w:t>11</w:t>
      </w:r>
      <w:r>
        <w:rPr>
          <w:bCs/>
          <w:sz w:val="24"/>
        </w:rPr>
        <w:t>，参考《公路隧道施工技术细则》（</w:t>
      </w:r>
      <w:r>
        <w:rPr>
          <w:bCs/>
          <w:sz w:val="24"/>
        </w:rPr>
        <w:t>JTG/T F60-2009</w:t>
      </w:r>
      <w:r>
        <w:rPr>
          <w:bCs/>
          <w:sz w:val="24"/>
        </w:rPr>
        <w:t>）</w:t>
      </w:r>
      <w:r>
        <w:rPr>
          <w:bCs/>
          <w:sz w:val="24"/>
        </w:rPr>
        <w:fldChar w:fldCharType="begin"/>
      </w:r>
      <w:r>
        <w:rPr>
          <w:bCs/>
          <w:sz w:val="24"/>
        </w:rPr>
        <w:instrText xml:space="preserve"> ADDIN NE.Ref.{3E764CE8-58E7-4DF7-B6A7-8FF0BA409375}</w:instrText>
      </w:r>
      <w:r>
        <w:rPr>
          <w:bCs/>
          <w:sz w:val="24"/>
        </w:rPr>
        <w:fldChar w:fldCharType="separate"/>
      </w:r>
      <w:r>
        <w:rPr>
          <w:color w:val="080000"/>
          <w:kern w:val="0"/>
          <w:sz w:val="24"/>
          <w:szCs w:val="24"/>
          <w:vertAlign w:val="superscript"/>
        </w:rPr>
        <w:t>[14]</w:t>
      </w:r>
      <w:r>
        <w:rPr>
          <w:bCs/>
          <w:sz w:val="24"/>
        </w:rPr>
        <w:fldChar w:fldCharType="end"/>
      </w:r>
      <w:r>
        <w:rPr>
          <w:bCs/>
          <w:sz w:val="24"/>
        </w:rPr>
        <w:t>，按开挖宽度可将隧道划分为小跨度隧道、中跨度隧道、大跨度隧道、超大跨度隧道，开挖宽度越大，隧道断面开挖持续时间较长，支护结构难以快速封</w:t>
      </w:r>
      <w:r>
        <w:rPr>
          <w:bCs/>
          <w:sz w:val="24"/>
        </w:rPr>
        <w:lastRenderedPageBreak/>
        <w:t>闭成环，安全性问题越突出。</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2</w:t>
      </w:r>
      <w:r>
        <w:rPr>
          <w:rFonts w:hint="eastAsia"/>
          <w:bCs/>
          <w:sz w:val="24"/>
          <w:szCs w:val="24"/>
        </w:rPr>
        <w:t>）</w:t>
      </w:r>
      <w:r>
        <w:rPr>
          <w:bCs/>
          <w:sz w:val="24"/>
        </w:rPr>
        <w:t>隧道埋深</w:t>
      </w:r>
      <w:r>
        <w:rPr>
          <w:bCs/>
          <w:i/>
          <w:iCs/>
          <w:sz w:val="24"/>
        </w:rPr>
        <w:t>X</w:t>
      </w:r>
      <w:r>
        <w:rPr>
          <w:bCs/>
          <w:sz w:val="24"/>
          <w:vertAlign w:val="subscript"/>
        </w:rPr>
        <w:t>21</w:t>
      </w:r>
      <w:r>
        <w:rPr>
          <w:bCs/>
          <w:sz w:val="24"/>
        </w:rPr>
        <w:fldChar w:fldCharType="begin"/>
      </w:r>
      <w:r>
        <w:rPr>
          <w:bCs/>
          <w:sz w:val="24"/>
        </w:rPr>
        <w:instrText xml:space="preserve"> ADDIN NE.Ref.{4C7A7FE0-6021-412A-812F-441C525D560C}</w:instrText>
      </w:r>
      <w:r>
        <w:rPr>
          <w:bCs/>
          <w:sz w:val="24"/>
        </w:rPr>
        <w:fldChar w:fldCharType="separate"/>
      </w:r>
      <w:r>
        <w:rPr>
          <w:color w:val="080000"/>
          <w:kern w:val="0"/>
          <w:sz w:val="24"/>
          <w:szCs w:val="24"/>
          <w:vertAlign w:val="superscript"/>
        </w:rPr>
        <w:t>[58]</w:t>
      </w:r>
      <w:r>
        <w:rPr>
          <w:bCs/>
          <w:sz w:val="24"/>
        </w:rPr>
        <w:fldChar w:fldCharType="end"/>
      </w:r>
      <w:r>
        <w:rPr>
          <w:bCs/>
          <w:sz w:val="24"/>
        </w:rPr>
        <w:t>，参考《铁路隧道设计规范》（</w:t>
      </w:r>
      <w:r>
        <w:rPr>
          <w:bCs/>
          <w:sz w:val="24"/>
        </w:rPr>
        <w:t>JB 10003—2016</w:t>
      </w:r>
      <w:r>
        <w:rPr>
          <w:bCs/>
          <w:sz w:val="24"/>
        </w:rPr>
        <w:t>）</w:t>
      </w:r>
      <w:r>
        <w:rPr>
          <w:bCs/>
          <w:sz w:val="24"/>
        </w:rPr>
        <w:fldChar w:fldCharType="begin"/>
      </w:r>
      <w:r>
        <w:rPr>
          <w:bCs/>
          <w:sz w:val="24"/>
        </w:rPr>
        <w:instrText xml:space="preserve"> ADDIN NE.Ref.{F9FE1C71-9BC7-415F-8B9C-57C3D1D3EC14}</w:instrText>
      </w:r>
      <w:r>
        <w:rPr>
          <w:bCs/>
          <w:sz w:val="24"/>
        </w:rPr>
        <w:fldChar w:fldCharType="separate"/>
      </w:r>
      <w:r>
        <w:rPr>
          <w:color w:val="080000"/>
          <w:kern w:val="0"/>
          <w:sz w:val="24"/>
          <w:szCs w:val="24"/>
          <w:vertAlign w:val="superscript"/>
        </w:rPr>
        <w:t>[15]</w:t>
      </w:r>
      <w:r>
        <w:rPr>
          <w:bCs/>
          <w:sz w:val="24"/>
        </w:rPr>
        <w:fldChar w:fldCharType="end"/>
      </w:r>
      <w:r>
        <w:rPr>
          <w:bCs/>
          <w:sz w:val="24"/>
        </w:rPr>
        <w:t>，这里主要考虑高地应力下的坍塌风险。一般来说，隧道埋深越大，围岩初始地应力越大。高地应力状态下，受开挖扰动及岩体内部结构面影响，在围岩内部一定范围内易形成松动圈，再加之爆破扰动，易造成围岩坍塌</w:t>
      </w:r>
      <w:r>
        <w:rPr>
          <w:bCs/>
          <w:sz w:val="24"/>
        </w:rPr>
        <w:fldChar w:fldCharType="begin"/>
      </w:r>
      <w:r>
        <w:rPr>
          <w:bCs/>
          <w:sz w:val="24"/>
        </w:rPr>
        <w:instrText xml:space="preserve"> ADDIN NE.Ref.{F81052FC-D7C8-4337-A04F-E5B15E91E2D6}</w:instrText>
      </w:r>
      <w:r>
        <w:rPr>
          <w:bCs/>
          <w:sz w:val="24"/>
        </w:rPr>
        <w:fldChar w:fldCharType="separate"/>
      </w:r>
      <w:r>
        <w:rPr>
          <w:color w:val="080000"/>
          <w:kern w:val="0"/>
          <w:sz w:val="24"/>
          <w:szCs w:val="24"/>
          <w:vertAlign w:val="superscript"/>
        </w:rPr>
        <w:t>[59, 60]</w:t>
      </w:r>
      <w:r>
        <w:rPr>
          <w:bCs/>
          <w:sz w:val="24"/>
        </w:rPr>
        <w:fldChar w:fldCharType="end"/>
      </w:r>
      <w:r>
        <w:rPr>
          <w:bCs/>
          <w:sz w:val="24"/>
        </w:rPr>
        <w:t>。</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3</w:t>
      </w:r>
      <w:r>
        <w:rPr>
          <w:rFonts w:hint="eastAsia"/>
          <w:bCs/>
          <w:sz w:val="24"/>
          <w:szCs w:val="24"/>
        </w:rPr>
        <w:t>）</w:t>
      </w:r>
      <w:r>
        <w:rPr>
          <w:bCs/>
          <w:sz w:val="24"/>
        </w:rPr>
        <w:t>浅埋隧道偏压角度</w:t>
      </w:r>
      <w:r>
        <w:rPr>
          <w:bCs/>
          <w:i/>
          <w:iCs/>
          <w:sz w:val="24"/>
        </w:rPr>
        <w:t>X</w:t>
      </w:r>
      <w:r>
        <w:rPr>
          <w:bCs/>
          <w:sz w:val="24"/>
          <w:vertAlign w:val="subscript"/>
        </w:rPr>
        <w:t>22</w:t>
      </w:r>
      <w:r>
        <w:rPr>
          <w:bCs/>
          <w:sz w:val="24"/>
        </w:rPr>
        <w:fldChar w:fldCharType="begin"/>
      </w:r>
      <w:r>
        <w:rPr>
          <w:bCs/>
          <w:sz w:val="24"/>
        </w:rPr>
        <w:instrText xml:space="preserve"> ADDIN NE.Ref.{27AE9342-7165-4CDC-9E48-DC4A43C3E54F}</w:instrText>
      </w:r>
      <w:r>
        <w:rPr>
          <w:bCs/>
          <w:sz w:val="24"/>
        </w:rPr>
        <w:fldChar w:fldCharType="separate"/>
      </w:r>
      <w:r>
        <w:rPr>
          <w:color w:val="080000"/>
          <w:kern w:val="0"/>
          <w:sz w:val="24"/>
          <w:szCs w:val="24"/>
          <w:vertAlign w:val="superscript"/>
        </w:rPr>
        <w:t>[16]</w:t>
      </w:r>
      <w:r>
        <w:rPr>
          <w:bCs/>
          <w:sz w:val="24"/>
        </w:rPr>
        <w:fldChar w:fldCharType="end"/>
      </w:r>
      <w:r>
        <w:rPr>
          <w:bCs/>
          <w:sz w:val="24"/>
        </w:rPr>
        <w:t>，是指垂直于隧道洞口的横剖面与地面的交线同水平面的夹角。参考《铁路隧道设计规范》（</w:t>
      </w:r>
      <w:r>
        <w:rPr>
          <w:bCs/>
          <w:sz w:val="24"/>
        </w:rPr>
        <w:t>JB 10003-2016</w:t>
      </w:r>
      <w:r>
        <w:rPr>
          <w:bCs/>
          <w:sz w:val="24"/>
        </w:rPr>
        <w:t>）</w:t>
      </w:r>
      <w:r>
        <w:rPr>
          <w:bCs/>
          <w:sz w:val="24"/>
        </w:rPr>
        <w:fldChar w:fldCharType="begin"/>
      </w:r>
      <w:r>
        <w:rPr>
          <w:bCs/>
          <w:sz w:val="24"/>
        </w:rPr>
        <w:instrText xml:space="preserve"> ADDIN NE.Ref.{6BD6BEFC-317E-4BC3-8417-E394D9A373D1}</w:instrText>
      </w:r>
      <w:r>
        <w:rPr>
          <w:bCs/>
          <w:sz w:val="24"/>
        </w:rPr>
        <w:fldChar w:fldCharType="separate"/>
      </w:r>
      <w:r>
        <w:rPr>
          <w:color w:val="080000"/>
          <w:kern w:val="0"/>
          <w:sz w:val="24"/>
          <w:szCs w:val="24"/>
          <w:vertAlign w:val="superscript"/>
        </w:rPr>
        <w:t>[15]</w:t>
      </w:r>
      <w:r>
        <w:rPr>
          <w:bCs/>
          <w:sz w:val="24"/>
        </w:rPr>
        <w:fldChar w:fldCharType="end"/>
      </w:r>
      <w:r>
        <w:rPr>
          <w:bCs/>
          <w:sz w:val="24"/>
        </w:rPr>
        <w:t>，大多数</w:t>
      </w:r>
      <w:r>
        <w:rPr>
          <w:bCs/>
          <w:sz w:val="24"/>
        </w:rPr>
        <w:t>偏压隧道处于洞口段与浅埋段，地形因素造成的偏压对隧道洞口浅埋段的稳定性影响特别大，本标准以岩层倾角表示偏压情况，倾角越大，则发生坍塌事故的可能性就越大。</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4</w:t>
      </w:r>
      <w:r>
        <w:rPr>
          <w:rFonts w:hint="eastAsia"/>
          <w:bCs/>
          <w:sz w:val="24"/>
          <w:szCs w:val="24"/>
        </w:rPr>
        <w:t>）</w:t>
      </w:r>
      <w:r>
        <w:rPr>
          <w:bCs/>
          <w:sz w:val="24"/>
        </w:rPr>
        <w:t>围岩级别</w:t>
      </w:r>
      <w:r>
        <w:rPr>
          <w:bCs/>
          <w:sz w:val="24"/>
        </w:rPr>
        <w:t>([BQ]</w:t>
      </w:r>
      <w:r>
        <w:rPr>
          <w:bCs/>
          <w:sz w:val="24"/>
        </w:rPr>
        <w:t>值</w:t>
      </w:r>
      <w:r>
        <w:rPr>
          <w:bCs/>
          <w:sz w:val="24"/>
        </w:rPr>
        <w:t>)</w:t>
      </w:r>
      <w:r>
        <w:rPr>
          <w:bCs/>
          <w:i/>
          <w:iCs/>
          <w:sz w:val="24"/>
        </w:rPr>
        <w:t>X</w:t>
      </w:r>
      <w:r>
        <w:rPr>
          <w:bCs/>
          <w:sz w:val="24"/>
          <w:vertAlign w:val="subscript"/>
        </w:rPr>
        <w:t>31</w:t>
      </w:r>
      <w:r>
        <w:rPr>
          <w:bCs/>
          <w:sz w:val="24"/>
        </w:rPr>
        <w:t>，</w:t>
      </w:r>
      <w:r>
        <w:rPr>
          <w:bCs/>
          <w:sz w:val="24"/>
          <w:szCs w:val="24"/>
        </w:rPr>
        <w:t>参考《工程岩体分级标准》（</w:t>
      </w:r>
      <w:r>
        <w:rPr>
          <w:bCs/>
          <w:sz w:val="24"/>
          <w:szCs w:val="24"/>
        </w:rPr>
        <w:t>GB/T 50218-2014</w:t>
      </w:r>
      <w:r>
        <w:rPr>
          <w:bCs/>
          <w:sz w:val="24"/>
          <w:szCs w:val="24"/>
        </w:rPr>
        <w:t>）</w:t>
      </w:r>
      <w:r>
        <w:rPr>
          <w:bCs/>
          <w:sz w:val="24"/>
          <w:szCs w:val="24"/>
        </w:rPr>
        <w:fldChar w:fldCharType="begin"/>
      </w:r>
      <w:r>
        <w:rPr>
          <w:bCs/>
          <w:sz w:val="24"/>
          <w:szCs w:val="24"/>
        </w:rPr>
        <w:instrText xml:space="preserve"> ADDIN NE.Ref.{2F3E7F91-B552-490D-9397-7D302504BC91}</w:instrText>
      </w:r>
      <w:r>
        <w:rPr>
          <w:bCs/>
          <w:sz w:val="24"/>
          <w:szCs w:val="24"/>
        </w:rPr>
        <w:fldChar w:fldCharType="separate"/>
      </w:r>
      <w:r>
        <w:rPr>
          <w:color w:val="080000"/>
          <w:kern w:val="0"/>
          <w:sz w:val="24"/>
          <w:szCs w:val="24"/>
          <w:vertAlign w:val="superscript"/>
        </w:rPr>
        <w:t>[11]</w:t>
      </w:r>
      <w:r>
        <w:rPr>
          <w:bCs/>
          <w:sz w:val="24"/>
          <w:szCs w:val="24"/>
        </w:rPr>
        <w:fldChar w:fldCharType="end"/>
      </w:r>
      <w:r>
        <w:rPr>
          <w:bCs/>
          <w:sz w:val="24"/>
          <w:szCs w:val="24"/>
        </w:rPr>
        <w:t>，围岩级别越低，则围岩质量越差，则围岩自稳能力越差，对应的坍塌风险越大</w:t>
      </w:r>
      <w:r>
        <w:rPr>
          <w:bCs/>
          <w:sz w:val="24"/>
          <w:szCs w:val="24"/>
        </w:rPr>
        <w:fldChar w:fldCharType="begin"/>
      </w:r>
      <w:r>
        <w:rPr>
          <w:bCs/>
          <w:sz w:val="24"/>
          <w:szCs w:val="24"/>
        </w:rPr>
        <w:instrText xml:space="preserve"> ADDIN NE.Ref.{E4FBC32B-F3C4-4B09-A67E</w:instrText>
      </w:r>
      <w:r>
        <w:rPr>
          <w:bCs/>
          <w:sz w:val="24"/>
          <w:szCs w:val="24"/>
        </w:rPr>
        <w:instrText>-27746AE4A4FE}</w:instrText>
      </w:r>
      <w:r>
        <w:rPr>
          <w:bCs/>
          <w:sz w:val="24"/>
          <w:szCs w:val="24"/>
        </w:rPr>
        <w:fldChar w:fldCharType="separate"/>
      </w:r>
      <w:r>
        <w:rPr>
          <w:color w:val="080000"/>
          <w:kern w:val="0"/>
          <w:sz w:val="24"/>
          <w:szCs w:val="24"/>
          <w:vertAlign w:val="superscript"/>
        </w:rPr>
        <w:t>[35]</w:t>
      </w:r>
      <w:r>
        <w:rPr>
          <w:bCs/>
          <w:sz w:val="24"/>
          <w:szCs w:val="24"/>
        </w:rPr>
        <w:fldChar w:fldCharType="end"/>
      </w:r>
      <w:r>
        <w:rPr>
          <w:bCs/>
          <w:sz w:val="24"/>
          <w:szCs w:val="24"/>
        </w:rPr>
        <w:t>，施工作业条件要求也越高。评估过程中，对于同一施工区段内围岩级别不一的情况，应取低值。</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5</w:t>
      </w:r>
      <w:r>
        <w:rPr>
          <w:rFonts w:hint="eastAsia"/>
          <w:bCs/>
          <w:sz w:val="24"/>
          <w:szCs w:val="24"/>
        </w:rPr>
        <w:t>）</w:t>
      </w:r>
      <w:r>
        <w:rPr>
          <w:bCs/>
          <w:sz w:val="24"/>
        </w:rPr>
        <w:t>断层破碎带宽度</w:t>
      </w:r>
      <w:r>
        <w:rPr>
          <w:bCs/>
          <w:i/>
          <w:iCs/>
          <w:sz w:val="24"/>
        </w:rPr>
        <w:t>X</w:t>
      </w:r>
      <w:r>
        <w:rPr>
          <w:bCs/>
          <w:sz w:val="24"/>
          <w:vertAlign w:val="subscript"/>
        </w:rPr>
        <w:t>32</w:t>
      </w:r>
      <w:r>
        <w:rPr>
          <w:bCs/>
          <w:sz w:val="24"/>
          <w:szCs w:val="21"/>
        </w:rPr>
        <w:fldChar w:fldCharType="begin"/>
      </w:r>
      <w:r>
        <w:rPr>
          <w:bCs/>
          <w:sz w:val="24"/>
          <w:szCs w:val="21"/>
        </w:rPr>
        <w:instrText xml:space="preserve"> ADDIN NE.Ref.{C1BA104D-47FF-43BB-A772-3D352361C71E}</w:instrText>
      </w:r>
      <w:r>
        <w:rPr>
          <w:bCs/>
          <w:sz w:val="24"/>
          <w:szCs w:val="21"/>
        </w:rPr>
        <w:fldChar w:fldCharType="separate"/>
      </w:r>
      <w:r>
        <w:rPr>
          <w:color w:val="080000"/>
          <w:kern w:val="0"/>
          <w:sz w:val="24"/>
          <w:szCs w:val="24"/>
          <w:vertAlign w:val="superscript"/>
        </w:rPr>
        <w:t>[38]</w:t>
      </w:r>
      <w:r>
        <w:rPr>
          <w:bCs/>
          <w:sz w:val="24"/>
          <w:szCs w:val="21"/>
        </w:rPr>
        <w:fldChar w:fldCharType="end"/>
      </w:r>
      <w:r>
        <w:rPr>
          <w:bCs/>
          <w:sz w:val="24"/>
        </w:rPr>
        <w:t>，</w:t>
      </w:r>
      <w:r>
        <w:rPr>
          <w:bCs/>
          <w:sz w:val="24"/>
          <w:szCs w:val="21"/>
        </w:rPr>
        <w:t>参考《工程岩体分级标准》（</w:t>
      </w:r>
      <w:r>
        <w:rPr>
          <w:bCs/>
          <w:sz w:val="24"/>
          <w:szCs w:val="21"/>
        </w:rPr>
        <w:t>GB/T 50218-2014</w:t>
      </w:r>
      <w:r>
        <w:rPr>
          <w:bCs/>
          <w:sz w:val="24"/>
          <w:szCs w:val="21"/>
        </w:rPr>
        <w:t>）</w:t>
      </w:r>
      <w:r>
        <w:rPr>
          <w:bCs/>
          <w:sz w:val="24"/>
          <w:szCs w:val="21"/>
        </w:rPr>
        <w:fldChar w:fldCharType="begin"/>
      </w:r>
      <w:r>
        <w:rPr>
          <w:bCs/>
          <w:sz w:val="24"/>
          <w:szCs w:val="21"/>
        </w:rPr>
        <w:instrText xml:space="preserve"> ADDIN NE.Ref.{EBEC9BFC-EC3D-45BE-BA0B-DC681884896B}</w:instrText>
      </w:r>
      <w:r>
        <w:rPr>
          <w:bCs/>
          <w:sz w:val="24"/>
          <w:szCs w:val="21"/>
        </w:rPr>
        <w:fldChar w:fldCharType="separate"/>
      </w:r>
      <w:r>
        <w:rPr>
          <w:color w:val="080000"/>
          <w:kern w:val="0"/>
          <w:sz w:val="24"/>
          <w:szCs w:val="24"/>
          <w:vertAlign w:val="superscript"/>
        </w:rPr>
        <w:t>[11]</w:t>
      </w:r>
      <w:r>
        <w:rPr>
          <w:bCs/>
          <w:sz w:val="24"/>
          <w:szCs w:val="21"/>
        </w:rPr>
        <w:fldChar w:fldCharType="end"/>
      </w:r>
      <w:r>
        <w:rPr>
          <w:bCs/>
          <w:sz w:val="24"/>
          <w:szCs w:val="21"/>
        </w:rPr>
        <w:t>，一般而言，断层及其影响带内岩体往往较为破碎，围岩等级较低，</w:t>
      </w:r>
      <w:r>
        <w:rPr>
          <w:bCs/>
          <w:sz w:val="24"/>
          <w:szCs w:val="21"/>
        </w:rPr>
        <w:t>是地表水、地下水流动的天然通道，是引发坍塌的主要因素之一。本标准根据断层破碎带的宽度分类，宽度越大，则在断层破碎带及其影响带中施工周期越长，坍塌风险越高。</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6</w:t>
      </w:r>
      <w:r>
        <w:rPr>
          <w:rFonts w:hint="eastAsia"/>
          <w:bCs/>
          <w:sz w:val="24"/>
          <w:szCs w:val="24"/>
        </w:rPr>
        <w:t>）</w:t>
      </w:r>
      <w:r>
        <w:rPr>
          <w:bCs/>
          <w:sz w:val="24"/>
        </w:rPr>
        <w:t>断层破碎带胶结情况</w:t>
      </w:r>
      <w:r>
        <w:rPr>
          <w:bCs/>
          <w:i/>
          <w:iCs/>
          <w:sz w:val="24"/>
        </w:rPr>
        <w:t>X</w:t>
      </w:r>
      <w:r>
        <w:rPr>
          <w:bCs/>
          <w:sz w:val="24"/>
          <w:vertAlign w:val="subscript"/>
        </w:rPr>
        <w:t>33</w:t>
      </w:r>
      <w:r>
        <w:rPr>
          <w:bCs/>
          <w:sz w:val="24"/>
        </w:rPr>
        <w:t>，本标准将断层破碎带视为岩体碎裂结构，以该结构的胶结程度作为划分依据，胶结程度越差或越松弛的断层破碎带，其潜在的坍塌风险越大，表</w:t>
      </w:r>
      <w:r>
        <w:rPr>
          <w:bCs/>
          <w:sz w:val="24"/>
        </w:rPr>
        <w:t>A-3</w:t>
      </w:r>
      <w:r>
        <w:rPr>
          <w:bCs/>
          <w:sz w:val="24"/>
        </w:rPr>
        <w:t>给出了各分类的基本特征</w:t>
      </w:r>
      <w:r>
        <w:rPr>
          <w:bCs/>
          <w:sz w:val="24"/>
        </w:rPr>
        <w:fldChar w:fldCharType="begin"/>
      </w:r>
      <w:r>
        <w:rPr>
          <w:bCs/>
          <w:sz w:val="24"/>
        </w:rPr>
        <w:instrText xml:space="preserve"> ADDIN NE.Ref.{658D3C82-7C1C-4BE2-8A66-62DD6909B4D5}</w:instrText>
      </w:r>
      <w:r>
        <w:rPr>
          <w:bCs/>
          <w:sz w:val="24"/>
        </w:rPr>
        <w:fldChar w:fldCharType="separate"/>
      </w:r>
      <w:r>
        <w:rPr>
          <w:color w:val="080000"/>
          <w:kern w:val="0"/>
          <w:sz w:val="24"/>
          <w:szCs w:val="24"/>
          <w:vertAlign w:val="superscript"/>
        </w:rPr>
        <w:t>[61]</w:t>
      </w:r>
      <w:r>
        <w:rPr>
          <w:bCs/>
          <w:sz w:val="24"/>
        </w:rPr>
        <w:fldChar w:fldCharType="end"/>
      </w:r>
      <w:r>
        <w:rPr>
          <w:bCs/>
          <w:sz w:val="24"/>
        </w:rPr>
        <w:t>，作为评估参考。</w:t>
      </w:r>
    </w:p>
    <w:p w:rsidR="0073700B" w:rsidRDefault="001A2FFC">
      <w:pPr>
        <w:spacing w:line="360" w:lineRule="auto"/>
        <w:jc w:val="center"/>
        <w:rPr>
          <w:rFonts w:ascii="黑体" w:eastAsia="黑体" w:hAnsi="黑体"/>
          <w:bCs/>
          <w:sz w:val="24"/>
        </w:rPr>
      </w:pPr>
      <w:r>
        <w:rPr>
          <w:rFonts w:ascii="黑体" w:eastAsia="黑体" w:hAnsi="黑体"/>
          <w:bCs/>
          <w:sz w:val="24"/>
        </w:rPr>
        <w:t>表</w:t>
      </w:r>
      <w:r>
        <w:rPr>
          <w:rFonts w:ascii="黑体" w:eastAsia="黑体" w:hAnsi="黑体"/>
          <w:bCs/>
          <w:sz w:val="24"/>
        </w:rPr>
        <w:t xml:space="preserve">A-3 </w:t>
      </w:r>
      <w:r>
        <w:rPr>
          <w:rFonts w:ascii="黑体" w:eastAsia="黑体" w:hAnsi="黑体"/>
          <w:bCs/>
          <w:sz w:val="24"/>
        </w:rPr>
        <w:t>断层破碎带胶结情况分类特</w:t>
      </w:r>
      <w:r>
        <w:rPr>
          <w:rFonts w:ascii="黑体" w:eastAsia="黑体" w:hAnsi="黑体"/>
          <w:bCs/>
          <w:sz w:val="24"/>
        </w:rPr>
        <w:t>征</w:t>
      </w:r>
    </w:p>
    <w:tbl>
      <w:tblPr>
        <w:tblStyle w:val="af1"/>
        <w:tblW w:w="0" w:type="auto"/>
        <w:tblLook w:val="04A0" w:firstRow="1" w:lastRow="0" w:firstColumn="1" w:lastColumn="0" w:noHBand="0" w:noVBand="1"/>
      </w:tblPr>
      <w:tblGrid>
        <w:gridCol w:w="1838"/>
        <w:gridCol w:w="6458"/>
      </w:tblGrid>
      <w:tr w:rsidR="0073700B">
        <w:tc>
          <w:tcPr>
            <w:tcW w:w="1838" w:type="dxa"/>
            <w:tcBorders>
              <w:top w:val="single" w:sz="8" w:space="0" w:color="auto"/>
              <w:left w:val="single" w:sz="8" w:space="0" w:color="auto"/>
              <w:bottom w:val="single" w:sz="8" w:space="0" w:color="auto"/>
            </w:tcBorders>
            <w:vAlign w:val="center"/>
          </w:tcPr>
          <w:p w:rsidR="0073700B" w:rsidRDefault="001A2FFC">
            <w:pPr>
              <w:jc w:val="center"/>
              <w:rPr>
                <w:bCs/>
                <w:szCs w:val="21"/>
              </w:rPr>
            </w:pPr>
            <w:r>
              <w:rPr>
                <w:bCs/>
                <w:szCs w:val="21"/>
              </w:rPr>
              <w:t>结构类型</w:t>
            </w:r>
          </w:p>
        </w:tc>
        <w:tc>
          <w:tcPr>
            <w:tcW w:w="6458" w:type="dxa"/>
            <w:tcBorders>
              <w:top w:val="single" w:sz="8" w:space="0" w:color="auto"/>
              <w:bottom w:val="single" w:sz="8" w:space="0" w:color="auto"/>
              <w:right w:val="single" w:sz="8" w:space="0" w:color="auto"/>
            </w:tcBorders>
            <w:vAlign w:val="center"/>
          </w:tcPr>
          <w:p w:rsidR="0073700B" w:rsidRDefault="001A2FFC">
            <w:pPr>
              <w:jc w:val="center"/>
              <w:rPr>
                <w:bCs/>
                <w:szCs w:val="21"/>
              </w:rPr>
            </w:pPr>
            <w:r>
              <w:rPr>
                <w:bCs/>
                <w:szCs w:val="21"/>
              </w:rPr>
              <w:t>基本特征</w:t>
            </w:r>
          </w:p>
        </w:tc>
      </w:tr>
      <w:tr w:rsidR="0073700B">
        <w:tc>
          <w:tcPr>
            <w:tcW w:w="1838" w:type="dxa"/>
            <w:tcBorders>
              <w:top w:val="single" w:sz="8" w:space="0" w:color="auto"/>
              <w:left w:val="single" w:sz="8" w:space="0" w:color="auto"/>
            </w:tcBorders>
            <w:vAlign w:val="center"/>
          </w:tcPr>
          <w:p w:rsidR="0073700B" w:rsidRDefault="001A2FFC">
            <w:pPr>
              <w:jc w:val="center"/>
              <w:rPr>
                <w:bCs/>
                <w:szCs w:val="21"/>
              </w:rPr>
            </w:pPr>
            <w:r>
              <w:rPr>
                <w:bCs/>
                <w:szCs w:val="21"/>
              </w:rPr>
              <w:t>严重松弛的胶结碎裂结构</w:t>
            </w:r>
          </w:p>
        </w:tc>
        <w:tc>
          <w:tcPr>
            <w:tcW w:w="6458" w:type="dxa"/>
            <w:tcBorders>
              <w:top w:val="single" w:sz="8" w:space="0" w:color="auto"/>
              <w:right w:val="single" w:sz="8" w:space="0" w:color="auto"/>
            </w:tcBorders>
            <w:vAlign w:val="center"/>
          </w:tcPr>
          <w:p w:rsidR="0073700B" w:rsidRDefault="001A2FFC">
            <w:pPr>
              <w:jc w:val="center"/>
              <w:rPr>
                <w:bCs/>
                <w:szCs w:val="21"/>
              </w:rPr>
            </w:pPr>
            <w:r>
              <w:rPr>
                <w:bCs/>
                <w:szCs w:val="21"/>
              </w:rPr>
              <w:t>裂隙间距小于</w:t>
            </w:r>
            <w:r>
              <w:rPr>
                <w:bCs/>
                <w:szCs w:val="21"/>
              </w:rPr>
              <w:t>0.1m</w:t>
            </w:r>
            <w:r>
              <w:rPr>
                <w:bCs/>
                <w:szCs w:val="21"/>
              </w:rPr>
              <w:t>，延伸短，一般小于</w:t>
            </w:r>
            <w:r>
              <w:rPr>
                <w:bCs/>
                <w:szCs w:val="21"/>
              </w:rPr>
              <w:t>0.5m</w:t>
            </w:r>
            <w:r>
              <w:rPr>
                <w:bCs/>
                <w:szCs w:val="21"/>
              </w:rPr>
              <w:t>，结构严重松弛，岩体内发育较多的表生结构面，并且有些结构面充填次生泥。</w:t>
            </w:r>
          </w:p>
        </w:tc>
      </w:tr>
      <w:tr w:rsidR="0073700B">
        <w:tc>
          <w:tcPr>
            <w:tcW w:w="1838" w:type="dxa"/>
            <w:tcBorders>
              <w:left w:val="single" w:sz="8" w:space="0" w:color="auto"/>
            </w:tcBorders>
            <w:vAlign w:val="center"/>
          </w:tcPr>
          <w:p w:rsidR="0073700B" w:rsidRDefault="001A2FFC">
            <w:pPr>
              <w:jc w:val="center"/>
              <w:rPr>
                <w:bCs/>
                <w:szCs w:val="21"/>
              </w:rPr>
            </w:pPr>
            <w:r>
              <w:rPr>
                <w:bCs/>
                <w:szCs w:val="21"/>
              </w:rPr>
              <w:t>松弛的胶结碎裂结构</w:t>
            </w:r>
          </w:p>
        </w:tc>
        <w:tc>
          <w:tcPr>
            <w:tcW w:w="6458" w:type="dxa"/>
            <w:tcBorders>
              <w:right w:val="single" w:sz="8" w:space="0" w:color="auto"/>
            </w:tcBorders>
            <w:vAlign w:val="center"/>
          </w:tcPr>
          <w:p w:rsidR="0073700B" w:rsidRDefault="001A2FFC">
            <w:pPr>
              <w:jc w:val="center"/>
              <w:rPr>
                <w:bCs/>
                <w:szCs w:val="21"/>
              </w:rPr>
            </w:pPr>
            <w:r>
              <w:rPr>
                <w:bCs/>
                <w:szCs w:val="21"/>
              </w:rPr>
              <w:t>裂隙间距小于</w:t>
            </w:r>
            <w:r>
              <w:rPr>
                <w:bCs/>
                <w:szCs w:val="21"/>
              </w:rPr>
              <w:t>0.1m</w:t>
            </w:r>
            <w:r>
              <w:rPr>
                <w:bCs/>
                <w:szCs w:val="21"/>
              </w:rPr>
              <w:t>，延伸短，一般小于</w:t>
            </w:r>
            <w:r>
              <w:rPr>
                <w:bCs/>
                <w:szCs w:val="21"/>
              </w:rPr>
              <w:t>0.5m</w:t>
            </w:r>
            <w:r>
              <w:rPr>
                <w:bCs/>
                <w:szCs w:val="21"/>
              </w:rPr>
              <w:t>，结构松弛明显，岩体完整性变差，岩体透水性较强，变形模量较低。</w:t>
            </w:r>
          </w:p>
        </w:tc>
      </w:tr>
      <w:tr w:rsidR="0073700B">
        <w:tc>
          <w:tcPr>
            <w:tcW w:w="1838" w:type="dxa"/>
            <w:tcBorders>
              <w:left w:val="single" w:sz="8" w:space="0" w:color="auto"/>
            </w:tcBorders>
            <w:vAlign w:val="center"/>
          </w:tcPr>
          <w:p w:rsidR="0073700B" w:rsidRDefault="001A2FFC">
            <w:pPr>
              <w:jc w:val="center"/>
              <w:rPr>
                <w:bCs/>
                <w:szCs w:val="21"/>
              </w:rPr>
            </w:pPr>
            <w:r>
              <w:rPr>
                <w:bCs/>
                <w:szCs w:val="21"/>
              </w:rPr>
              <w:t>有轻度松弛的胶</w:t>
            </w:r>
            <w:r>
              <w:rPr>
                <w:bCs/>
                <w:szCs w:val="21"/>
              </w:rPr>
              <w:lastRenderedPageBreak/>
              <w:t>结碎裂结构</w:t>
            </w:r>
          </w:p>
        </w:tc>
        <w:tc>
          <w:tcPr>
            <w:tcW w:w="6458" w:type="dxa"/>
            <w:tcBorders>
              <w:right w:val="single" w:sz="8" w:space="0" w:color="auto"/>
            </w:tcBorders>
            <w:vAlign w:val="center"/>
          </w:tcPr>
          <w:p w:rsidR="0073700B" w:rsidRDefault="001A2FFC">
            <w:pPr>
              <w:jc w:val="center"/>
              <w:rPr>
                <w:bCs/>
                <w:szCs w:val="21"/>
              </w:rPr>
            </w:pPr>
            <w:r>
              <w:rPr>
                <w:bCs/>
                <w:szCs w:val="21"/>
              </w:rPr>
              <w:lastRenderedPageBreak/>
              <w:t>裂隙间距小于</w:t>
            </w:r>
            <w:r>
              <w:rPr>
                <w:bCs/>
                <w:szCs w:val="21"/>
              </w:rPr>
              <w:t>0.1m</w:t>
            </w:r>
            <w:r>
              <w:rPr>
                <w:bCs/>
                <w:szCs w:val="21"/>
              </w:rPr>
              <w:t>，延伸短，一般小于</w:t>
            </w:r>
            <w:r>
              <w:rPr>
                <w:bCs/>
                <w:szCs w:val="21"/>
              </w:rPr>
              <w:t>0.5m</w:t>
            </w:r>
            <w:r>
              <w:rPr>
                <w:bCs/>
                <w:szCs w:val="21"/>
              </w:rPr>
              <w:t>，受河谷风化、应力场</w:t>
            </w:r>
            <w:r>
              <w:rPr>
                <w:bCs/>
                <w:szCs w:val="21"/>
              </w:rPr>
              <w:lastRenderedPageBreak/>
              <w:t>变化虽有轻度松弛，但胶结的碎裂结构仍保持较紧密的结构，大部分岩体完整性较好，少量较差，岩体透水性弱，抗变形能力较强。</w:t>
            </w:r>
          </w:p>
        </w:tc>
      </w:tr>
      <w:tr w:rsidR="0073700B">
        <w:tc>
          <w:tcPr>
            <w:tcW w:w="1838" w:type="dxa"/>
            <w:tcBorders>
              <w:left w:val="single" w:sz="8" w:space="0" w:color="auto"/>
              <w:bottom w:val="single" w:sz="8" w:space="0" w:color="auto"/>
            </w:tcBorders>
            <w:vAlign w:val="center"/>
          </w:tcPr>
          <w:p w:rsidR="0073700B" w:rsidRDefault="001A2FFC">
            <w:pPr>
              <w:jc w:val="center"/>
              <w:rPr>
                <w:bCs/>
                <w:szCs w:val="21"/>
              </w:rPr>
            </w:pPr>
            <w:r>
              <w:rPr>
                <w:bCs/>
                <w:szCs w:val="21"/>
              </w:rPr>
              <w:lastRenderedPageBreak/>
              <w:t>紧密的胶结碎裂结构</w:t>
            </w:r>
          </w:p>
        </w:tc>
        <w:tc>
          <w:tcPr>
            <w:tcW w:w="6458" w:type="dxa"/>
            <w:tcBorders>
              <w:bottom w:val="single" w:sz="8" w:space="0" w:color="auto"/>
              <w:right w:val="single" w:sz="8" w:space="0" w:color="auto"/>
            </w:tcBorders>
            <w:vAlign w:val="center"/>
          </w:tcPr>
          <w:p w:rsidR="0073700B" w:rsidRDefault="001A2FFC">
            <w:pPr>
              <w:jc w:val="center"/>
              <w:rPr>
                <w:bCs/>
                <w:szCs w:val="21"/>
              </w:rPr>
            </w:pPr>
            <w:r>
              <w:rPr>
                <w:bCs/>
                <w:szCs w:val="21"/>
              </w:rPr>
              <w:t>裂隙间距小于</w:t>
            </w:r>
            <w:r>
              <w:rPr>
                <w:bCs/>
                <w:szCs w:val="21"/>
              </w:rPr>
              <w:t>0.1m</w:t>
            </w:r>
            <w:r>
              <w:rPr>
                <w:bCs/>
                <w:szCs w:val="21"/>
              </w:rPr>
              <w:t>，延伸短，一般小于</w:t>
            </w:r>
            <w:r>
              <w:rPr>
                <w:bCs/>
                <w:szCs w:val="21"/>
              </w:rPr>
              <w:t>0.5m</w:t>
            </w:r>
            <w:r>
              <w:rPr>
                <w:bCs/>
                <w:szCs w:val="21"/>
              </w:rPr>
              <w:t>，结构面被后期的钙质充填胶结良好，岩块之间的胶结呈紧密状，岩体完整性为完整</w:t>
            </w:r>
            <w:r>
              <w:rPr>
                <w:bCs/>
                <w:szCs w:val="21"/>
              </w:rPr>
              <w:t>~</w:t>
            </w:r>
            <w:r>
              <w:rPr>
                <w:bCs/>
                <w:szCs w:val="21"/>
              </w:rPr>
              <w:t>较完整，岩体透水性弱，抗变形能力强。</w:t>
            </w:r>
          </w:p>
        </w:tc>
      </w:tr>
    </w:tbl>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7</w:t>
      </w:r>
      <w:r>
        <w:rPr>
          <w:rFonts w:hint="eastAsia"/>
          <w:bCs/>
          <w:sz w:val="24"/>
          <w:szCs w:val="24"/>
        </w:rPr>
        <w:t>）</w:t>
      </w:r>
      <w:r>
        <w:rPr>
          <w:bCs/>
          <w:sz w:val="24"/>
        </w:rPr>
        <w:t>优势结构面倾角</w:t>
      </w:r>
      <w:r>
        <w:rPr>
          <w:bCs/>
          <w:i/>
          <w:iCs/>
          <w:sz w:val="24"/>
        </w:rPr>
        <w:t>X</w:t>
      </w:r>
      <w:r>
        <w:rPr>
          <w:bCs/>
          <w:sz w:val="24"/>
          <w:vertAlign w:val="subscript"/>
        </w:rPr>
        <w:t>34</w:t>
      </w:r>
      <w:r>
        <w:rPr>
          <w:bCs/>
          <w:sz w:val="24"/>
        </w:rPr>
        <w:t>，其概念来源于岩体结构控制理论。该理论认为岩石并非完整的，</w:t>
      </w:r>
      <w:r>
        <w:rPr>
          <w:bCs/>
          <w:sz w:val="24"/>
          <w:szCs w:val="24"/>
        </w:rPr>
        <w:t>它被各种各样的结构面切割，这些结构面包括节理面、断层面、劈理面、软弱层等。优势结构面就是在上述各种结构面按一定的优势指标找出对区域稳定性起控制作用的结构面，优势指标可以是时间、性质、数量、规模和分形等。参考《铁路隧道设计规范》（</w:t>
      </w:r>
      <w:r>
        <w:rPr>
          <w:bCs/>
          <w:sz w:val="24"/>
          <w:szCs w:val="24"/>
        </w:rPr>
        <w:t xml:space="preserve">TB </w:t>
      </w:r>
      <w:r>
        <w:rPr>
          <w:bCs/>
          <w:sz w:val="24"/>
          <w:szCs w:val="24"/>
        </w:rPr>
        <w:t>10003-2016</w:t>
      </w:r>
      <w:r>
        <w:rPr>
          <w:bCs/>
          <w:sz w:val="24"/>
          <w:szCs w:val="24"/>
        </w:rPr>
        <w:t>）</w:t>
      </w:r>
      <w:r>
        <w:rPr>
          <w:bCs/>
          <w:sz w:val="24"/>
          <w:szCs w:val="24"/>
        </w:rPr>
        <w:fldChar w:fldCharType="begin"/>
      </w:r>
      <w:r>
        <w:rPr>
          <w:bCs/>
          <w:sz w:val="24"/>
          <w:szCs w:val="24"/>
        </w:rPr>
        <w:instrText xml:space="preserve"> ADDIN NE.Ref.{DAAE30BC-369B-4BED-9AC0-2A320A333C0D}</w:instrText>
      </w:r>
      <w:r>
        <w:rPr>
          <w:bCs/>
          <w:sz w:val="24"/>
          <w:szCs w:val="24"/>
        </w:rPr>
        <w:fldChar w:fldCharType="separate"/>
      </w:r>
      <w:r>
        <w:rPr>
          <w:color w:val="080000"/>
          <w:kern w:val="0"/>
          <w:sz w:val="24"/>
          <w:szCs w:val="24"/>
          <w:vertAlign w:val="superscript"/>
        </w:rPr>
        <w:t>[15]</w:t>
      </w:r>
      <w:r>
        <w:rPr>
          <w:bCs/>
          <w:sz w:val="24"/>
          <w:szCs w:val="24"/>
        </w:rPr>
        <w:fldChar w:fldCharType="end"/>
      </w:r>
      <w:r>
        <w:rPr>
          <w:bCs/>
          <w:sz w:val="24"/>
          <w:szCs w:val="24"/>
        </w:rPr>
        <w:t>，优势结构面的产状对隧道围岩稳定性影响较大，本标准以优势结构面倾角描述结构面对围岩稳定性的影响程度，优势结构面倾角越小，则潜在的风险越大。</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8</w:t>
      </w:r>
      <w:r>
        <w:rPr>
          <w:rFonts w:hint="eastAsia"/>
          <w:bCs/>
          <w:sz w:val="24"/>
          <w:szCs w:val="24"/>
        </w:rPr>
        <w:t>）</w:t>
      </w:r>
      <w:r>
        <w:rPr>
          <w:bCs/>
          <w:sz w:val="24"/>
        </w:rPr>
        <w:t>地下涌水情况</w:t>
      </w:r>
      <w:r>
        <w:rPr>
          <w:bCs/>
          <w:i/>
          <w:iCs/>
          <w:sz w:val="24"/>
        </w:rPr>
        <w:t>X</w:t>
      </w:r>
      <w:r>
        <w:rPr>
          <w:bCs/>
          <w:sz w:val="24"/>
          <w:vertAlign w:val="subscript"/>
        </w:rPr>
        <w:t>41</w:t>
      </w:r>
      <w:r>
        <w:rPr>
          <w:bCs/>
          <w:sz w:val="24"/>
        </w:rPr>
        <w:t>，参考表</w:t>
      </w:r>
      <w:r>
        <w:rPr>
          <w:bCs/>
          <w:sz w:val="24"/>
        </w:rPr>
        <w:t>A-4</w:t>
      </w:r>
      <w:r>
        <w:rPr>
          <w:bCs/>
          <w:sz w:val="24"/>
        </w:rPr>
        <w:t>中的相关规范，采用</w:t>
      </w:r>
      <w:r>
        <w:rPr>
          <w:bCs/>
          <w:sz w:val="24"/>
        </w:rPr>
        <w:t>10m</w:t>
      </w:r>
      <w:r>
        <w:rPr>
          <w:bCs/>
          <w:sz w:val="24"/>
        </w:rPr>
        <w:t>洞长渗水量定量描述隧道围岩出水状况，可分为干燥或潮湿状态、点滴状出水、线状流水及涌水三种状态，隧道中每</w:t>
      </w:r>
      <w:r>
        <w:rPr>
          <w:bCs/>
          <w:sz w:val="24"/>
        </w:rPr>
        <w:t>10m</w:t>
      </w:r>
      <w:r>
        <w:rPr>
          <w:bCs/>
          <w:sz w:val="24"/>
        </w:rPr>
        <w:t>长段涌水量</w:t>
      </w:r>
      <w:r>
        <w:rPr>
          <w:bCs/>
          <w:sz w:val="24"/>
        </w:rPr>
        <w:t>=</w:t>
      </w:r>
      <w:r>
        <w:rPr>
          <w:bCs/>
          <w:sz w:val="24"/>
        </w:rPr>
        <w:t>隧道二衬至掌子面总出水量</w:t>
      </w:r>
      <w:r>
        <w:rPr>
          <w:bCs/>
          <w:sz w:val="24"/>
        </w:rPr>
        <w:sym w:font="Symbol" w:char="F0B8"/>
      </w:r>
      <w:r>
        <w:rPr>
          <w:bCs/>
          <w:sz w:val="24"/>
        </w:rPr>
        <w:t>掌子面距二衬距离的长度</w:t>
      </w:r>
      <w:r>
        <w:rPr>
          <w:bCs/>
          <w:sz w:val="24"/>
        </w:rPr>
        <w:sym w:font="Symbol" w:char="F0B4"/>
      </w:r>
      <w:r>
        <w:rPr>
          <w:bCs/>
          <w:sz w:val="24"/>
        </w:rPr>
        <w:t>10</w:t>
      </w:r>
      <w:r>
        <w:rPr>
          <w:bCs/>
          <w:sz w:val="24"/>
        </w:rPr>
        <w:t>。</w:t>
      </w:r>
    </w:p>
    <w:p w:rsidR="0073700B" w:rsidRDefault="001A2FFC">
      <w:pPr>
        <w:spacing w:line="312" w:lineRule="auto"/>
        <w:jc w:val="center"/>
        <w:rPr>
          <w:rFonts w:ascii="黑体" w:eastAsia="黑体" w:hAnsi="黑体"/>
          <w:bCs/>
          <w:sz w:val="24"/>
        </w:rPr>
      </w:pPr>
      <w:r>
        <w:rPr>
          <w:rFonts w:ascii="黑体" w:eastAsia="黑体" w:hAnsi="黑体"/>
          <w:bCs/>
          <w:sz w:val="24"/>
        </w:rPr>
        <w:t>表</w:t>
      </w:r>
      <w:r>
        <w:rPr>
          <w:rFonts w:ascii="黑体" w:eastAsia="黑体" w:hAnsi="黑体"/>
          <w:bCs/>
          <w:sz w:val="24"/>
        </w:rPr>
        <w:t xml:space="preserve">A-4  </w:t>
      </w:r>
      <w:r>
        <w:rPr>
          <w:rFonts w:ascii="黑体" w:eastAsia="黑体" w:hAnsi="黑体"/>
          <w:bCs/>
          <w:sz w:val="24"/>
        </w:rPr>
        <w:t>国内有关地下涌水情况规范汇总</w:t>
      </w:r>
    </w:p>
    <w:tbl>
      <w:tblPr>
        <w:tblW w:w="94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31"/>
        <w:gridCol w:w="2164"/>
        <w:gridCol w:w="1744"/>
        <w:gridCol w:w="1941"/>
        <w:gridCol w:w="1418"/>
      </w:tblGrid>
      <w:tr w:rsidR="0073700B">
        <w:trPr>
          <w:jc w:val="center"/>
        </w:trPr>
        <w:tc>
          <w:tcPr>
            <w:tcW w:w="2231" w:type="dxa"/>
            <w:vMerge w:val="restart"/>
            <w:tcBorders>
              <w:top w:val="single" w:sz="8" w:space="0" w:color="auto"/>
              <w:bottom w:val="single" w:sz="4" w:space="0" w:color="auto"/>
            </w:tcBorders>
            <w:shd w:val="clear" w:color="auto" w:fill="auto"/>
            <w:vAlign w:val="center"/>
          </w:tcPr>
          <w:p w:rsidR="0073700B" w:rsidRDefault="001A2FFC">
            <w:pPr>
              <w:jc w:val="center"/>
              <w:rPr>
                <w:bCs/>
                <w:szCs w:val="21"/>
              </w:rPr>
            </w:pPr>
            <w:r>
              <w:rPr>
                <w:bCs/>
                <w:szCs w:val="21"/>
              </w:rPr>
              <w:t>资料来源</w:t>
            </w:r>
          </w:p>
        </w:tc>
        <w:tc>
          <w:tcPr>
            <w:tcW w:w="2164" w:type="dxa"/>
            <w:vMerge w:val="restart"/>
            <w:tcBorders>
              <w:top w:val="single" w:sz="8" w:space="0" w:color="auto"/>
              <w:bottom w:val="single" w:sz="4" w:space="0" w:color="auto"/>
            </w:tcBorders>
            <w:shd w:val="clear" w:color="auto" w:fill="auto"/>
            <w:vAlign w:val="center"/>
          </w:tcPr>
          <w:p w:rsidR="0073700B" w:rsidRDefault="001A2FFC">
            <w:pPr>
              <w:jc w:val="center"/>
              <w:rPr>
                <w:bCs/>
                <w:szCs w:val="21"/>
              </w:rPr>
            </w:pPr>
            <w:r>
              <w:rPr>
                <w:bCs/>
                <w:szCs w:val="21"/>
              </w:rPr>
              <w:t>地下水出水状态</w:t>
            </w:r>
          </w:p>
        </w:tc>
        <w:tc>
          <w:tcPr>
            <w:tcW w:w="5103" w:type="dxa"/>
            <w:gridSpan w:val="3"/>
            <w:tcBorders>
              <w:top w:val="single" w:sz="8" w:space="0" w:color="auto"/>
              <w:bottom w:val="single" w:sz="4" w:space="0" w:color="auto"/>
            </w:tcBorders>
            <w:shd w:val="clear" w:color="auto" w:fill="auto"/>
            <w:vAlign w:val="center"/>
          </w:tcPr>
          <w:p w:rsidR="0073700B" w:rsidRDefault="001A2FFC">
            <w:pPr>
              <w:jc w:val="center"/>
              <w:rPr>
                <w:bCs/>
                <w:szCs w:val="21"/>
              </w:rPr>
            </w:pPr>
            <w:r>
              <w:rPr>
                <w:bCs/>
                <w:szCs w:val="21"/>
              </w:rPr>
              <w:t>状态名称与定量描述</w:t>
            </w:r>
          </w:p>
        </w:tc>
      </w:tr>
      <w:tr w:rsidR="0073700B">
        <w:trPr>
          <w:jc w:val="center"/>
        </w:trPr>
        <w:tc>
          <w:tcPr>
            <w:tcW w:w="2231" w:type="dxa"/>
            <w:vMerge/>
            <w:tcBorders>
              <w:top w:val="single" w:sz="4" w:space="0" w:color="auto"/>
              <w:bottom w:val="single" w:sz="8" w:space="0" w:color="auto"/>
            </w:tcBorders>
            <w:shd w:val="clear" w:color="auto" w:fill="auto"/>
            <w:vAlign w:val="center"/>
          </w:tcPr>
          <w:p w:rsidR="0073700B" w:rsidRDefault="0073700B">
            <w:pPr>
              <w:widowControl/>
              <w:jc w:val="left"/>
              <w:rPr>
                <w:bCs/>
                <w:szCs w:val="21"/>
              </w:rPr>
            </w:pPr>
          </w:p>
        </w:tc>
        <w:tc>
          <w:tcPr>
            <w:tcW w:w="2164" w:type="dxa"/>
            <w:vMerge/>
            <w:tcBorders>
              <w:top w:val="single" w:sz="4" w:space="0" w:color="auto"/>
              <w:bottom w:val="single" w:sz="8" w:space="0" w:color="auto"/>
            </w:tcBorders>
            <w:shd w:val="clear" w:color="auto" w:fill="auto"/>
            <w:vAlign w:val="center"/>
          </w:tcPr>
          <w:p w:rsidR="0073700B" w:rsidRDefault="0073700B">
            <w:pPr>
              <w:widowControl/>
              <w:jc w:val="left"/>
              <w:rPr>
                <w:bCs/>
                <w:szCs w:val="21"/>
              </w:rPr>
            </w:pPr>
          </w:p>
        </w:tc>
        <w:tc>
          <w:tcPr>
            <w:tcW w:w="1744" w:type="dxa"/>
            <w:tcBorders>
              <w:top w:val="single" w:sz="4" w:space="0" w:color="auto"/>
              <w:bottom w:val="single" w:sz="8" w:space="0" w:color="auto"/>
            </w:tcBorders>
            <w:shd w:val="clear" w:color="auto" w:fill="auto"/>
            <w:vAlign w:val="center"/>
          </w:tcPr>
          <w:p w:rsidR="0073700B" w:rsidRDefault="001A2FFC">
            <w:pPr>
              <w:jc w:val="center"/>
              <w:rPr>
                <w:bCs/>
                <w:szCs w:val="21"/>
              </w:rPr>
            </w:pPr>
            <w:r>
              <w:rPr>
                <w:bCs/>
                <w:szCs w:val="21"/>
              </w:rPr>
              <w:t>状态</w:t>
            </w:r>
            <w:r>
              <w:rPr>
                <w:bCs/>
                <w:szCs w:val="21"/>
              </w:rPr>
              <w:t>1</w:t>
            </w:r>
          </w:p>
        </w:tc>
        <w:tc>
          <w:tcPr>
            <w:tcW w:w="1941" w:type="dxa"/>
            <w:tcBorders>
              <w:top w:val="single" w:sz="4" w:space="0" w:color="auto"/>
              <w:bottom w:val="single" w:sz="8" w:space="0" w:color="auto"/>
            </w:tcBorders>
            <w:shd w:val="clear" w:color="auto" w:fill="auto"/>
            <w:vAlign w:val="center"/>
          </w:tcPr>
          <w:p w:rsidR="0073700B" w:rsidRDefault="001A2FFC">
            <w:pPr>
              <w:jc w:val="center"/>
              <w:rPr>
                <w:bCs/>
                <w:szCs w:val="21"/>
              </w:rPr>
            </w:pPr>
            <w:r>
              <w:rPr>
                <w:bCs/>
                <w:szCs w:val="21"/>
              </w:rPr>
              <w:t>状态</w:t>
            </w:r>
            <w:r>
              <w:rPr>
                <w:bCs/>
                <w:szCs w:val="21"/>
              </w:rPr>
              <w:t>2</w:t>
            </w:r>
          </w:p>
        </w:tc>
        <w:tc>
          <w:tcPr>
            <w:tcW w:w="1418" w:type="dxa"/>
            <w:tcBorders>
              <w:top w:val="single" w:sz="4" w:space="0" w:color="auto"/>
              <w:bottom w:val="single" w:sz="8" w:space="0" w:color="auto"/>
            </w:tcBorders>
            <w:shd w:val="clear" w:color="auto" w:fill="auto"/>
            <w:vAlign w:val="center"/>
          </w:tcPr>
          <w:p w:rsidR="0073700B" w:rsidRDefault="001A2FFC">
            <w:pPr>
              <w:jc w:val="center"/>
              <w:rPr>
                <w:bCs/>
                <w:szCs w:val="21"/>
              </w:rPr>
            </w:pPr>
            <w:r>
              <w:rPr>
                <w:bCs/>
                <w:szCs w:val="21"/>
              </w:rPr>
              <w:t>状态</w:t>
            </w:r>
            <w:r>
              <w:rPr>
                <w:bCs/>
                <w:szCs w:val="21"/>
              </w:rPr>
              <w:t>3</w:t>
            </w:r>
          </w:p>
        </w:tc>
      </w:tr>
      <w:tr w:rsidR="0073700B">
        <w:trPr>
          <w:jc w:val="center"/>
        </w:trPr>
        <w:tc>
          <w:tcPr>
            <w:tcW w:w="2231" w:type="dxa"/>
            <w:tcBorders>
              <w:top w:val="single" w:sz="8" w:space="0" w:color="auto"/>
            </w:tcBorders>
            <w:shd w:val="clear" w:color="auto" w:fill="auto"/>
            <w:vAlign w:val="center"/>
          </w:tcPr>
          <w:p w:rsidR="0073700B" w:rsidRDefault="001A2FFC">
            <w:pPr>
              <w:jc w:val="center"/>
              <w:rPr>
                <w:bCs/>
                <w:szCs w:val="21"/>
              </w:rPr>
            </w:pPr>
            <w:r>
              <w:rPr>
                <w:bCs/>
                <w:szCs w:val="21"/>
              </w:rPr>
              <w:t>《水工隧洞设计规范》</w:t>
            </w:r>
            <w:r>
              <w:rPr>
                <w:bCs/>
                <w:szCs w:val="21"/>
              </w:rPr>
              <w:t>(DL/T 5195-2004)</w:t>
            </w:r>
            <w:r>
              <w:rPr>
                <w:bCs/>
                <w:szCs w:val="21"/>
              </w:rPr>
              <w:fldChar w:fldCharType="begin"/>
            </w:r>
            <w:r>
              <w:rPr>
                <w:bCs/>
                <w:szCs w:val="21"/>
              </w:rPr>
              <w:instrText xml:space="preserve"> ADDIN NE.Ref.{55B1C787-FB9E-47A3-9E4E-0F830B6CF173}</w:instrText>
            </w:r>
            <w:r>
              <w:rPr>
                <w:bCs/>
                <w:szCs w:val="21"/>
              </w:rPr>
              <w:fldChar w:fldCharType="separate"/>
            </w:r>
            <w:r>
              <w:rPr>
                <w:color w:val="080000"/>
                <w:kern w:val="0"/>
                <w:szCs w:val="21"/>
                <w:vertAlign w:val="superscript"/>
              </w:rPr>
              <w:t>[53]</w:t>
            </w:r>
            <w:r>
              <w:rPr>
                <w:bCs/>
                <w:szCs w:val="21"/>
              </w:rPr>
              <w:fldChar w:fldCharType="end"/>
            </w:r>
          </w:p>
        </w:tc>
        <w:tc>
          <w:tcPr>
            <w:tcW w:w="2164" w:type="dxa"/>
            <w:tcBorders>
              <w:top w:val="single" w:sz="8" w:space="0" w:color="auto"/>
            </w:tcBorders>
            <w:shd w:val="clear" w:color="auto" w:fill="auto"/>
            <w:vAlign w:val="center"/>
          </w:tcPr>
          <w:p w:rsidR="0073700B" w:rsidRDefault="001A2FFC">
            <w:pPr>
              <w:jc w:val="center"/>
              <w:rPr>
                <w:bCs/>
                <w:szCs w:val="21"/>
              </w:rPr>
            </w:pPr>
            <w:r>
              <w:rPr>
                <w:bCs/>
                <w:szCs w:val="21"/>
              </w:rPr>
              <w:t>10m</w:t>
            </w:r>
            <w:r>
              <w:rPr>
                <w:bCs/>
                <w:szCs w:val="21"/>
              </w:rPr>
              <w:t>洞长水量</w:t>
            </w:r>
            <w:r>
              <w:rPr>
                <w:bCs/>
                <w:i/>
                <w:iCs/>
                <w:szCs w:val="21"/>
              </w:rPr>
              <w:t>Q</w:t>
            </w:r>
            <w:r>
              <w:rPr>
                <w:bCs/>
                <w:szCs w:val="21"/>
              </w:rPr>
              <w:t>(L/min·10m)</w:t>
            </w:r>
          </w:p>
          <w:p w:rsidR="0073700B" w:rsidRDefault="001A2FFC">
            <w:pPr>
              <w:jc w:val="center"/>
              <w:rPr>
                <w:bCs/>
                <w:szCs w:val="21"/>
              </w:rPr>
            </w:pPr>
            <w:r>
              <w:rPr>
                <w:bCs/>
                <w:szCs w:val="21"/>
              </w:rPr>
              <w:t>或压力水头</w:t>
            </w:r>
            <w:r>
              <w:rPr>
                <w:bCs/>
                <w:szCs w:val="21"/>
              </w:rPr>
              <w:t>H(MPa)</w:t>
            </w:r>
          </w:p>
        </w:tc>
        <w:tc>
          <w:tcPr>
            <w:tcW w:w="1744" w:type="dxa"/>
            <w:tcBorders>
              <w:top w:val="single" w:sz="8" w:space="0" w:color="auto"/>
            </w:tcBorders>
            <w:shd w:val="clear" w:color="auto" w:fill="auto"/>
            <w:vAlign w:val="center"/>
          </w:tcPr>
          <w:p w:rsidR="0073700B" w:rsidRDefault="001A2FFC">
            <w:pPr>
              <w:jc w:val="center"/>
              <w:rPr>
                <w:bCs/>
                <w:szCs w:val="21"/>
              </w:rPr>
            </w:pPr>
            <w:r>
              <w:rPr>
                <w:bCs/>
                <w:szCs w:val="21"/>
              </w:rPr>
              <w:t>干燥到渗水滴，</w:t>
            </w:r>
            <w:r>
              <w:rPr>
                <w:bCs/>
                <w:i/>
                <w:iCs/>
                <w:szCs w:val="21"/>
              </w:rPr>
              <w:t>Q</w:t>
            </w:r>
            <w:r>
              <w:rPr>
                <w:bCs/>
                <w:szCs w:val="21"/>
              </w:rPr>
              <w:t>≤25</w:t>
            </w:r>
            <w:r>
              <w:rPr>
                <w:bCs/>
                <w:szCs w:val="21"/>
              </w:rPr>
              <w:t>或</w:t>
            </w:r>
            <w:r>
              <w:rPr>
                <w:bCs/>
                <w:i/>
                <w:iCs/>
                <w:szCs w:val="21"/>
              </w:rPr>
              <w:t>H</w:t>
            </w:r>
            <w:r>
              <w:rPr>
                <w:bCs/>
                <w:szCs w:val="21"/>
              </w:rPr>
              <w:t>≤0.1</w:t>
            </w:r>
          </w:p>
        </w:tc>
        <w:tc>
          <w:tcPr>
            <w:tcW w:w="1941" w:type="dxa"/>
            <w:tcBorders>
              <w:top w:val="single" w:sz="8" w:space="0" w:color="auto"/>
            </w:tcBorders>
            <w:shd w:val="clear" w:color="auto" w:fill="auto"/>
            <w:vAlign w:val="center"/>
          </w:tcPr>
          <w:p w:rsidR="0073700B" w:rsidRDefault="001A2FFC">
            <w:pPr>
              <w:jc w:val="center"/>
              <w:rPr>
                <w:bCs/>
                <w:szCs w:val="21"/>
              </w:rPr>
            </w:pPr>
            <w:r>
              <w:rPr>
                <w:bCs/>
                <w:szCs w:val="21"/>
              </w:rPr>
              <w:t>线状流水，</w:t>
            </w:r>
          </w:p>
          <w:p w:rsidR="0073700B" w:rsidRDefault="001A2FFC">
            <w:pPr>
              <w:jc w:val="center"/>
              <w:rPr>
                <w:bCs/>
                <w:szCs w:val="21"/>
              </w:rPr>
            </w:pPr>
            <w:r>
              <w:rPr>
                <w:bCs/>
                <w:szCs w:val="21"/>
              </w:rPr>
              <w:t>25</w:t>
            </w:r>
            <w:r>
              <w:rPr>
                <w:bCs/>
                <w:szCs w:val="21"/>
              </w:rPr>
              <w:t>＜</w:t>
            </w:r>
            <w:r>
              <w:rPr>
                <w:bCs/>
                <w:i/>
                <w:iCs/>
                <w:szCs w:val="21"/>
              </w:rPr>
              <w:t>Q</w:t>
            </w:r>
            <w:r>
              <w:rPr>
                <w:bCs/>
                <w:szCs w:val="21"/>
              </w:rPr>
              <w:t>≤125</w:t>
            </w:r>
          </w:p>
          <w:p w:rsidR="0073700B" w:rsidRDefault="001A2FFC">
            <w:pPr>
              <w:jc w:val="center"/>
              <w:rPr>
                <w:bCs/>
                <w:szCs w:val="21"/>
              </w:rPr>
            </w:pPr>
            <w:r>
              <w:rPr>
                <w:bCs/>
                <w:szCs w:val="21"/>
              </w:rPr>
              <w:t>0.1</w:t>
            </w:r>
            <w:r>
              <w:rPr>
                <w:bCs/>
                <w:szCs w:val="21"/>
              </w:rPr>
              <w:t>＜</w:t>
            </w:r>
            <w:r>
              <w:rPr>
                <w:bCs/>
                <w:i/>
                <w:iCs/>
                <w:szCs w:val="21"/>
              </w:rPr>
              <w:t>H</w:t>
            </w:r>
            <w:r>
              <w:rPr>
                <w:bCs/>
                <w:szCs w:val="21"/>
              </w:rPr>
              <w:t>≤1.0</w:t>
            </w:r>
          </w:p>
        </w:tc>
        <w:tc>
          <w:tcPr>
            <w:tcW w:w="1418" w:type="dxa"/>
            <w:tcBorders>
              <w:top w:val="single" w:sz="8" w:space="0" w:color="auto"/>
            </w:tcBorders>
            <w:shd w:val="clear" w:color="auto" w:fill="auto"/>
            <w:vAlign w:val="center"/>
          </w:tcPr>
          <w:p w:rsidR="0073700B" w:rsidRDefault="001A2FFC">
            <w:pPr>
              <w:jc w:val="center"/>
              <w:rPr>
                <w:bCs/>
                <w:szCs w:val="21"/>
              </w:rPr>
            </w:pPr>
            <w:r>
              <w:rPr>
                <w:bCs/>
                <w:szCs w:val="21"/>
              </w:rPr>
              <w:t>涌水，</w:t>
            </w:r>
          </w:p>
          <w:p w:rsidR="0073700B" w:rsidRDefault="001A2FFC">
            <w:pPr>
              <w:jc w:val="center"/>
              <w:rPr>
                <w:bCs/>
                <w:szCs w:val="21"/>
              </w:rPr>
            </w:pPr>
            <w:r>
              <w:rPr>
                <w:bCs/>
                <w:i/>
                <w:iCs/>
                <w:szCs w:val="21"/>
              </w:rPr>
              <w:t>Q</w:t>
            </w:r>
            <w:r>
              <w:rPr>
                <w:bCs/>
                <w:szCs w:val="21"/>
              </w:rPr>
              <w:t>＞</w:t>
            </w:r>
            <w:r>
              <w:rPr>
                <w:bCs/>
                <w:szCs w:val="21"/>
              </w:rPr>
              <w:t>125</w:t>
            </w:r>
          </w:p>
          <w:p w:rsidR="0073700B" w:rsidRDefault="001A2FFC">
            <w:pPr>
              <w:jc w:val="center"/>
              <w:rPr>
                <w:bCs/>
                <w:szCs w:val="21"/>
              </w:rPr>
            </w:pPr>
            <w:r>
              <w:rPr>
                <w:bCs/>
                <w:i/>
                <w:iCs/>
                <w:szCs w:val="21"/>
              </w:rPr>
              <w:t>H</w:t>
            </w:r>
            <w:r>
              <w:rPr>
                <w:bCs/>
                <w:szCs w:val="21"/>
              </w:rPr>
              <w:t>＞</w:t>
            </w:r>
            <w:r>
              <w:rPr>
                <w:bCs/>
                <w:szCs w:val="21"/>
              </w:rPr>
              <w:t>1.0</w:t>
            </w:r>
          </w:p>
        </w:tc>
      </w:tr>
      <w:tr w:rsidR="0073700B">
        <w:trPr>
          <w:jc w:val="center"/>
        </w:trPr>
        <w:tc>
          <w:tcPr>
            <w:tcW w:w="2231" w:type="dxa"/>
            <w:shd w:val="clear" w:color="auto" w:fill="auto"/>
            <w:vAlign w:val="center"/>
          </w:tcPr>
          <w:p w:rsidR="0073700B" w:rsidRDefault="001A2FFC">
            <w:pPr>
              <w:jc w:val="center"/>
              <w:rPr>
                <w:bCs/>
                <w:szCs w:val="21"/>
              </w:rPr>
            </w:pPr>
            <w:r>
              <w:rPr>
                <w:bCs/>
                <w:szCs w:val="21"/>
              </w:rPr>
              <w:t>《水利水电工程地质勘察规程》</w:t>
            </w:r>
            <w:r>
              <w:rPr>
                <w:bCs/>
                <w:szCs w:val="21"/>
              </w:rPr>
              <w:t>(GB 50487-2008)</w:t>
            </w:r>
            <w:r>
              <w:rPr>
                <w:bCs/>
                <w:szCs w:val="21"/>
              </w:rPr>
              <w:fldChar w:fldCharType="begin"/>
            </w:r>
            <w:r>
              <w:rPr>
                <w:bCs/>
                <w:szCs w:val="21"/>
              </w:rPr>
              <w:instrText xml:space="preserve"> ADDIN NE.Ref.{CCE9231F-914B-4301-B3D5-59A9DACC67F7}</w:instrText>
            </w:r>
            <w:r>
              <w:rPr>
                <w:bCs/>
                <w:szCs w:val="21"/>
              </w:rPr>
              <w:fldChar w:fldCharType="separate"/>
            </w:r>
            <w:r>
              <w:rPr>
                <w:color w:val="080000"/>
                <w:kern w:val="0"/>
                <w:szCs w:val="21"/>
                <w:vertAlign w:val="superscript"/>
              </w:rPr>
              <w:t>[49]</w:t>
            </w:r>
            <w:r>
              <w:rPr>
                <w:bCs/>
                <w:szCs w:val="21"/>
              </w:rPr>
              <w:fldChar w:fldCharType="end"/>
            </w:r>
          </w:p>
        </w:tc>
        <w:tc>
          <w:tcPr>
            <w:tcW w:w="2164" w:type="dxa"/>
            <w:shd w:val="clear" w:color="auto" w:fill="auto"/>
            <w:vAlign w:val="center"/>
          </w:tcPr>
          <w:p w:rsidR="0073700B" w:rsidRDefault="001A2FFC">
            <w:pPr>
              <w:jc w:val="center"/>
              <w:rPr>
                <w:bCs/>
                <w:szCs w:val="21"/>
              </w:rPr>
            </w:pPr>
            <w:r>
              <w:rPr>
                <w:bCs/>
                <w:szCs w:val="21"/>
              </w:rPr>
              <w:t>10m</w:t>
            </w:r>
            <w:r>
              <w:rPr>
                <w:bCs/>
                <w:szCs w:val="21"/>
              </w:rPr>
              <w:t>洞长水量</w:t>
            </w:r>
            <w:r>
              <w:rPr>
                <w:bCs/>
                <w:i/>
                <w:iCs/>
                <w:szCs w:val="21"/>
              </w:rPr>
              <w:t>Q</w:t>
            </w:r>
            <w:r>
              <w:rPr>
                <w:bCs/>
                <w:szCs w:val="21"/>
              </w:rPr>
              <w:t>(L/min·10m)</w:t>
            </w:r>
          </w:p>
          <w:p w:rsidR="0073700B" w:rsidRDefault="001A2FFC">
            <w:pPr>
              <w:jc w:val="center"/>
              <w:rPr>
                <w:bCs/>
                <w:szCs w:val="21"/>
              </w:rPr>
            </w:pPr>
            <w:r>
              <w:rPr>
                <w:bCs/>
                <w:szCs w:val="21"/>
              </w:rPr>
              <w:t>或压力水头</w:t>
            </w:r>
            <w:r>
              <w:rPr>
                <w:bCs/>
                <w:szCs w:val="21"/>
              </w:rPr>
              <w:t>H(MPa)</w:t>
            </w:r>
          </w:p>
        </w:tc>
        <w:tc>
          <w:tcPr>
            <w:tcW w:w="1744" w:type="dxa"/>
            <w:shd w:val="clear" w:color="auto" w:fill="auto"/>
            <w:vAlign w:val="center"/>
          </w:tcPr>
          <w:p w:rsidR="0073700B" w:rsidRDefault="001A2FFC">
            <w:pPr>
              <w:jc w:val="center"/>
              <w:rPr>
                <w:bCs/>
                <w:szCs w:val="21"/>
              </w:rPr>
            </w:pPr>
            <w:r>
              <w:rPr>
                <w:bCs/>
                <w:szCs w:val="21"/>
              </w:rPr>
              <w:t>渗水到滴水，</w:t>
            </w:r>
            <w:r>
              <w:rPr>
                <w:bCs/>
                <w:i/>
                <w:iCs/>
                <w:szCs w:val="21"/>
              </w:rPr>
              <w:t>Q</w:t>
            </w:r>
            <w:r>
              <w:rPr>
                <w:bCs/>
                <w:szCs w:val="21"/>
              </w:rPr>
              <w:t>≤25</w:t>
            </w:r>
            <w:r>
              <w:rPr>
                <w:bCs/>
                <w:szCs w:val="21"/>
              </w:rPr>
              <w:t>或</w:t>
            </w:r>
            <w:r>
              <w:rPr>
                <w:bCs/>
                <w:i/>
                <w:iCs/>
                <w:szCs w:val="21"/>
              </w:rPr>
              <w:t>H</w:t>
            </w:r>
            <w:r>
              <w:rPr>
                <w:bCs/>
                <w:szCs w:val="21"/>
              </w:rPr>
              <w:t>≤0.1</w:t>
            </w:r>
          </w:p>
        </w:tc>
        <w:tc>
          <w:tcPr>
            <w:tcW w:w="1941" w:type="dxa"/>
            <w:shd w:val="clear" w:color="auto" w:fill="auto"/>
            <w:vAlign w:val="center"/>
          </w:tcPr>
          <w:p w:rsidR="0073700B" w:rsidRDefault="001A2FFC">
            <w:pPr>
              <w:jc w:val="center"/>
              <w:rPr>
                <w:bCs/>
                <w:szCs w:val="21"/>
              </w:rPr>
            </w:pPr>
            <w:r>
              <w:rPr>
                <w:bCs/>
                <w:szCs w:val="21"/>
              </w:rPr>
              <w:t>线状流水，</w:t>
            </w:r>
          </w:p>
          <w:p w:rsidR="0073700B" w:rsidRDefault="001A2FFC">
            <w:pPr>
              <w:jc w:val="center"/>
              <w:rPr>
                <w:bCs/>
                <w:szCs w:val="21"/>
              </w:rPr>
            </w:pPr>
            <w:r>
              <w:rPr>
                <w:bCs/>
                <w:szCs w:val="21"/>
              </w:rPr>
              <w:t>25</w:t>
            </w:r>
            <w:r>
              <w:rPr>
                <w:bCs/>
                <w:szCs w:val="21"/>
              </w:rPr>
              <w:t>＜</w:t>
            </w:r>
            <w:r>
              <w:rPr>
                <w:bCs/>
                <w:i/>
                <w:iCs/>
                <w:szCs w:val="21"/>
              </w:rPr>
              <w:t>Q</w:t>
            </w:r>
            <w:r>
              <w:rPr>
                <w:bCs/>
                <w:szCs w:val="21"/>
              </w:rPr>
              <w:t>≤125</w:t>
            </w:r>
          </w:p>
          <w:p w:rsidR="0073700B" w:rsidRDefault="001A2FFC">
            <w:pPr>
              <w:jc w:val="center"/>
              <w:rPr>
                <w:bCs/>
                <w:szCs w:val="21"/>
              </w:rPr>
            </w:pPr>
            <w:r>
              <w:rPr>
                <w:bCs/>
                <w:szCs w:val="21"/>
              </w:rPr>
              <w:t>0.1</w:t>
            </w:r>
            <w:r>
              <w:rPr>
                <w:bCs/>
                <w:szCs w:val="21"/>
              </w:rPr>
              <w:t>＜</w:t>
            </w:r>
            <w:r>
              <w:rPr>
                <w:bCs/>
                <w:i/>
                <w:iCs/>
                <w:szCs w:val="21"/>
              </w:rPr>
              <w:t>H</w:t>
            </w:r>
            <w:r>
              <w:rPr>
                <w:bCs/>
                <w:szCs w:val="21"/>
              </w:rPr>
              <w:t>≤1.0</w:t>
            </w:r>
          </w:p>
        </w:tc>
        <w:tc>
          <w:tcPr>
            <w:tcW w:w="1418" w:type="dxa"/>
            <w:shd w:val="clear" w:color="auto" w:fill="auto"/>
            <w:vAlign w:val="center"/>
          </w:tcPr>
          <w:p w:rsidR="0073700B" w:rsidRDefault="001A2FFC">
            <w:pPr>
              <w:jc w:val="center"/>
              <w:rPr>
                <w:bCs/>
                <w:szCs w:val="21"/>
              </w:rPr>
            </w:pPr>
            <w:r>
              <w:rPr>
                <w:bCs/>
                <w:szCs w:val="21"/>
              </w:rPr>
              <w:t>涌水，</w:t>
            </w:r>
          </w:p>
          <w:p w:rsidR="0073700B" w:rsidRDefault="001A2FFC">
            <w:pPr>
              <w:jc w:val="center"/>
              <w:rPr>
                <w:bCs/>
                <w:szCs w:val="21"/>
              </w:rPr>
            </w:pPr>
            <w:r>
              <w:rPr>
                <w:bCs/>
                <w:i/>
                <w:iCs/>
                <w:szCs w:val="21"/>
              </w:rPr>
              <w:t>Q</w:t>
            </w:r>
            <w:r>
              <w:rPr>
                <w:bCs/>
                <w:szCs w:val="21"/>
              </w:rPr>
              <w:t>＞</w:t>
            </w:r>
            <w:r>
              <w:rPr>
                <w:bCs/>
                <w:szCs w:val="21"/>
              </w:rPr>
              <w:t>125</w:t>
            </w:r>
          </w:p>
          <w:p w:rsidR="0073700B" w:rsidRDefault="001A2FFC">
            <w:pPr>
              <w:jc w:val="center"/>
              <w:rPr>
                <w:bCs/>
                <w:szCs w:val="21"/>
              </w:rPr>
            </w:pPr>
            <w:r>
              <w:rPr>
                <w:bCs/>
                <w:i/>
                <w:iCs/>
                <w:szCs w:val="21"/>
              </w:rPr>
              <w:t>H</w:t>
            </w:r>
            <w:r>
              <w:rPr>
                <w:bCs/>
                <w:szCs w:val="21"/>
              </w:rPr>
              <w:t>＞</w:t>
            </w:r>
            <w:r>
              <w:rPr>
                <w:bCs/>
                <w:szCs w:val="21"/>
              </w:rPr>
              <w:t>1.0</w:t>
            </w:r>
          </w:p>
        </w:tc>
      </w:tr>
      <w:tr w:rsidR="0073700B">
        <w:trPr>
          <w:jc w:val="center"/>
        </w:trPr>
        <w:tc>
          <w:tcPr>
            <w:tcW w:w="2231" w:type="dxa"/>
            <w:shd w:val="clear" w:color="auto" w:fill="auto"/>
            <w:vAlign w:val="center"/>
          </w:tcPr>
          <w:p w:rsidR="0073700B" w:rsidRDefault="001A2FFC">
            <w:pPr>
              <w:jc w:val="center"/>
              <w:rPr>
                <w:bCs/>
                <w:szCs w:val="21"/>
              </w:rPr>
            </w:pPr>
            <w:r>
              <w:rPr>
                <w:bCs/>
                <w:szCs w:val="21"/>
              </w:rPr>
              <w:t>原《铁路隧道设计规范》</w:t>
            </w:r>
            <w:r>
              <w:rPr>
                <w:bCs/>
                <w:szCs w:val="21"/>
              </w:rPr>
              <w:t>(TB 10003-2004)</w:t>
            </w:r>
            <w:r>
              <w:rPr>
                <w:bCs/>
                <w:szCs w:val="21"/>
              </w:rPr>
              <w:fldChar w:fldCharType="begin"/>
            </w:r>
            <w:r>
              <w:rPr>
                <w:bCs/>
                <w:szCs w:val="21"/>
              </w:rPr>
              <w:instrText xml:space="preserve"> ADDIN NE.Ref.{F8B003A4-5E0E-4976-91D7-0EB27AFFB693}</w:instrText>
            </w:r>
            <w:r>
              <w:rPr>
                <w:bCs/>
                <w:szCs w:val="21"/>
              </w:rPr>
              <w:fldChar w:fldCharType="separate"/>
            </w:r>
            <w:r>
              <w:rPr>
                <w:color w:val="080000"/>
                <w:kern w:val="0"/>
                <w:szCs w:val="21"/>
                <w:vertAlign w:val="superscript"/>
              </w:rPr>
              <w:t>[62]</w:t>
            </w:r>
            <w:r>
              <w:rPr>
                <w:bCs/>
                <w:szCs w:val="21"/>
              </w:rPr>
              <w:fldChar w:fldCharType="end"/>
            </w:r>
          </w:p>
        </w:tc>
        <w:tc>
          <w:tcPr>
            <w:tcW w:w="2164" w:type="dxa"/>
            <w:shd w:val="clear" w:color="auto" w:fill="auto"/>
            <w:vAlign w:val="center"/>
          </w:tcPr>
          <w:p w:rsidR="0073700B" w:rsidRDefault="001A2FFC">
            <w:pPr>
              <w:jc w:val="center"/>
              <w:rPr>
                <w:bCs/>
                <w:szCs w:val="21"/>
              </w:rPr>
            </w:pPr>
            <w:r>
              <w:rPr>
                <w:bCs/>
                <w:szCs w:val="21"/>
              </w:rPr>
              <w:t>10m</w:t>
            </w:r>
            <w:r>
              <w:rPr>
                <w:bCs/>
                <w:szCs w:val="21"/>
              </w:rPr>
              <w:t>洞长渗水量</w:t>
            </w:r>
            <w:r>
              <w:rPr>
                <w:bCs/>
                <w:i/>
                <w:iCs/>
                <w:szCs w:val="21"/>
              </w:rPr>
              <w:t>Q</w:t>
            </w:r>
            <w:r>
              <w:rPr>
                <w:bCs/>
                <w:szCs w:val="21"/>
              </w:rPr>
              <w:t>(L/min·10m)</w:t>
            </w:r>
          </w:p>
        </w:tc>
        <w:tc>
          <w:tcPr>
            <w:tcW w:w="1744" w:type="dxa"/>
            <w:shd w:val="clear" w:color="auto" w:fill="auto"/>
            <w:vAlign w:val="center"/>
          </w:tcPr>
          <w:p w:rsidR="0073700B" w:rsidRDefault="001A2FFC">
            <w:pPr>
              <w:rPr>
                <w:bCs/>
                <w:szCs w:val="21"/>
              </w:rPr>
            </w:pPr>
            <w:r>
              <w:rPr>
                <w:bCs/>
                <w:szCs w:val="21"/>
              </w:rPr>
              <w:t>干燥或湿润，</w:t>
            </w:r>
          </w:p>
          <w:p w:rsidR="0073700B" w:rsidRDefault="001A2FFC">
            <w:pPr>
              <w:rPr>
                <w:bCs/>
                <w:szCs w:val="21"/>
              </w:rPr>
            </w:pPr>
            <w:r>
              <w:rPr>
                <w:bCs/>
                <w:szCs w:val="21"/>
              </w:rPr>
              <w:t>＜</w:t>
            </w:r>
            <w:r>
              <w:rPr>
                <w:bCs/>
                <w:szCs w:val="21"/>
              </w:rPr>
              <w:t>10</w:t>
            </w:r>
          </w:p>
        </w:tc>
        <w:tc>
          <w:tcPr>
            <w:tcW w:w="1941" w:type="dxa"/>
            <w:shd w:val="clear" w:color="auto" w:fill="auto"/>
            <w:vAlign w:val="center"/>
          </w:tcPr>
          <w:p w:rsidR="0073700B" w:rsidRDefault="001A2FFC">
            <w:pPr>
              <w:jc w:val="center"/>
              <w:rPr>
                <w:bCs/>
                <w:szCs w:val="21"/>
              </w:rPr>
            </w:pPr>
            <w:r>
              <w:rPr>
                <w:bCs/>
                <w:szCs w:val="21"/>
              </w:rPr>
              <w:t>偶有渗水，</w:t>
            </w:r>
            <w:r>
              <w:rPr>
                <w:bCs/>
                <w:szCs w:val="21"/>
              </w:rPr>
              <w:t>10~25</w:t>
            </w:r>
          </w:p>
        </w:tc>
        <w:tc>
          <w:tcPr>
            <w:tcW w:w="1418" w:type="dxa"/>
            <w:shd w:val="clear" w:color="auto" w:fill="auto"/>
            <w:vAlign w:val="center"/>
          </w:tcPr>
          <w:p w:rsidR="0073700B" w:rsidRDefault="001A2FFC">
            <w:pPr>
              <w:jc w:val="center"/>
              <w:rPr>
                <w:bCs/>
                <w:szCs w:val="21"/>
              </w:rPr>
            </w:pPr>
            <w:r>
              <w:rPr>
                <w:bCs/>
                <w:szCs w:val="21"/>
              </w:rPr>
              <w:t xml:space="preserve">  </w:t>
            </w:r>
            <w:r>
              <w:rPr>
                <w:bCs/>
                <w:szCs w:val="21"/>
              </w:rPr>
              <w:t>经常渗水，</w:t>
            </w:r>
            <w:r>
              <w:rPr>
                <w:bCs/>
                <w:szCs w:val="21"/>
              </w:rPr>
              <w:t>25~125</w:t>
            </w:r>
          </w:p>
        </w:tc>
      </w:tr>
      <w:tr w:rsidR="0073700B">
        <w:trPr>
          <w:jc w:val="center"/>
        </w:trPr>
        <w:tc>
          <w:tcPr>
            <w:tcW w:w="2231" w:type="dxa"/>
            <w:shd w:val="clear" w:color="auto" w:fill="auto"/>
            <w:vAlign w:val="center"/>
          </w:tcPr>
          <w:p w:rsidR="0073700B" w:rsidRDefault="001A2FFC">
            <w:pPr>
              <w:jc w:val="center"/>
              <w:rPr>
                <w:bCs/>
                <w:szCs w:val="21"/>
              </w:rPr>
            </w:pPr>
            <w:r>
              <w:rPr>
                <w:bCs/>
                <w:szCs w:val="21"/>
              </w:rPr>
              <w:t>《铁路隧道设计规范》</w:t>
            </w:r>
            <w:r>
              <w:rPr>
                <w:bCs/>
                <w:szCs w:val="21"/>
              </w:rPr>
              <w:t>(TB 10003-2016)</w:t>
            </w:r>
            <w:r>
              <w:rPr>
                <w:bCs/>
                <w:szCs w:val="21"/>
              </w:rPr>
              <w:fldChar w:fldCharType="begin"/>
            </w:r>
            <w:r>
              <w:rPr>
                <w:bCs/>
                <w:szCs w:val="21"/>
              </w:rPr>
              <w:instrText xml:space="preserve"> ADDIN NE.Ref.{F074C893-4D46-4147-B12B-5CF7CDC49CA9}</w:instrText>
            </w:r>
            <w:r>
              <w:rPr>
                <w:bCs/>
                <w:szCs w:val="21"/>
              </w:rPr>
              <w:fldChar w:fldCharType="separate"/>
            </w:r>
            <w:r>
              <w:rPr>
                <w:color w:val="080000"/>
                <w:kern w:val="0"/>
                <w:szCs w:val="21"/>
                <w:vertAlign w:val="superscript"/>
              </w:rPr>
              <w:t>[15]</w:t>
            </w:r>
            <w:r>
              <w:rPr>
                <w:bCs/>
                <w:szCs w:val="21"/>
              </w:rPr>
              <w:fldChar w:fldCharType="end"/>
            </w:r>
          </w:p>
        </w:tc>
        <w:tc>
          <w:tcPr>
            <w:tcW w:w="2164" w:type="dxa"/>
            <w:shd w:val="clear" w:color="auto" w:fill="auto"/>
            <w:vAlign w:val="center"/>
          </w:tcPr>
          <w:p w:rsidR="0073700B" w:rsidRDefault="001A2FFC">
            <w:pPr>
              <w:jc w:val="center"/>
              <w:rPr>
                <w:bCs/>
                <w:szCs w:val="21"/>
              </w:rPr>
            </w:pPr>
            <w:r>
              <w:rPr>
                <w:bCs/>
                <w:szCs w:val="21"/>
              </w:rPr>
              <w:t>10m</w:t>
            </w:r>
            <w:r>
              <w:rPr>
                <w:bCs/>
                <w:szCs w:val="21"/>
              </w:rPr>
              <w:t>洞长渗水量</w:t>
            </w:r>
            <w:r>
              <w:rPr>
                <w:bCs/>
                <w:i/>
                <w:iCs/>
                <w:szCs w:val="21"/>
              </w:rPr>
              <w:t>Q</w:t>
            </w:r>
            <w:r>
              <w:rPr>
                <w:bCs/>
                <w:szCs w:val="21"/>
              </w:rPr>
              <w:t>(L/min·10m)</w:t>
            </w:r>
          </w:p>
        </w:tc>
        <w:tc>
          <w:tcPr>
            <w:tcW w:w="1744" w:type="dxa"/>
            <w:shd w:val="clear" w:color="auto" w:fill="auto"/>
            <w:vAlign w:val="center"/>
          </w:tcPr>
          <w:p w:rsidR="0073700B" w:rsidRDefault="001A2FFC">
            <w:pPr>
              <w:jc w:val="center"/>
              <w:rPr>
                <w:bCs/>
                <w:szCs w:val="21"/>
              </w:rPr>
            </w:pPr>
            <w:r>
              <w:rPr>
                <w:bCs/>
                <w:szCs w:val="21"/>
              </w:rPr>
              <w:t>潮湿或点滴装出水，</w:t>
            </w:r>
            <w:r>
              <w:rPr>
                <w:bCs/>
                <w:i/>
                <w:iCs/>
                <w:szCs w:val="21"/>
              </w:rPr>
              <w:t>Q</w:t>
            </w:r>
            <w:r>
              <w:rPr>
                <w:bCs/>
                <w:szCs w:val="21"/>
              </w:rPr>
              <w:t>≤25</w:t>
            </w:r>
          </w:p>
        </w:tc>
        <w:tc>
          <w:tcPr>
            <w:tcW w:w="1941" w:type="dxa"/>
            <w:shd w:val="clear" w:color="auto" w:fill="auto"/>
            <w:vAlign w:val="center"/>
          </w:tcPr>
          <w:p w:rsidR="0073700B" w:rsidRDefault="001A2FFC">
            <w:pPr>
              <w:jc w:val="center"/>
              <w:rPr>
                <w:bCs/>
                <w:szCs w:val="21"/>
              </w:rPr>
            </w:pPr>
            <w:r>
              <w:rPr>
                <w:bCs/>
                <w:szCs w:val="21"/>
              </w:rPr>
              <w:t>淋雨状或线状出水，</w:t>
            </w:r>
          </w:p>
          <w:p w:rsidR="0073700B" w:rsidRDefault="001A2FFC">
            <w:pPr>
              <w:jc w:val="center"/>
              <w:rPr>
                <w:bCs/>
                <w:szCs w:val="21"/>
              </w:rPr>
            </w:pPr>
            <w:r>
              <w:rPr>
                <w:bCs/>
                <w:szCs w:val="21"/>
              </w:rPr>
              <w:t>25~125</w:t>
            </w:r>
          </w:p>
        </w:tc>
        <w:tc>
          <w:tcPr>
            <w:tcW w:w="1418" w:type="dxa"/>
            <w:shd w:val="clear" w:color="auto" w:fill="auto"/>
            <w:vAlign w:val="center"/>
          </w:tcPr>
          <w:p w:rsidR="0073700B" w:rsidRDefault="001A2FFC">
            <w:pPr>
              <w:jc w:val="center"/>
              <w:rPr>
                <w:bCs/>
                <w:szCs w:val="21"/>
              </w:rPr>
            </w:pPr>
            <w:r>
              <w:rPr>
                <w:bCs/>
                <w:szCs w:val="21"/>
              </w:rPr>
              <w:t>涌流状出水，</w:t>
            </w:r>
          </w:p>
          <w:p w:rsidR="0073700B" w:rsidRDefault="001A2FFC">
            <w:pPr>
              <w:jc w:val="center"/>
              <w:rPr>
                <w:bCs/>
                <w:szCs w:val="21"/>
              </w:rPr>
            </w:pPr>
            <w:r>
              <w:rPr>
                <w:bCs/>
                <w:szCs w:val="21"/>
              </w:rPr>
              <w:t>＞</w:t>
            </w:r>
            <w:r>
              <w:rPr>
                <w:bCs/>
                <w:szCs w:val="21"/>
              </w:rPr>
              <w:t>125</w:t>
            </w:r>
          </w:p>
        </w:tc>
      </w:tr>
      <w:tr w:rsidR="0073700B">
        <w:trPr>
          <w:jc w:val="center"/>
        </w:trPr>
        <w:tc>
          <w:tcPr>
            <w:tcW w:w="2231" w:type="dxa"/>
            <w:shd w:val="clear" w:color="auto" w:fill="auto"/>
            <w:vAlign w:val="center"/>
          </w:tcPr>
          <w:p w:rsidR="0073700B" w:rsidRDefault="001A2FFC">
            <w:pPr>
              <w:jc w:val="center"/>
              <w:rPr>
                <w:bCs/>
                <w:szCs w:val="21"/>
              </w:rPr>
            </w:pPr>
            <w:r>
              <w:rPr>
                <w:bCs/>
                <w:szCs w:val="21"/>
              </w:rPr>
              <w:t>节理岩体地质力学分级</w:t>
            </w:r>
            <w:r>
              <w:rPr>
                <w:bCs/>
                <w:szCs w:val="21"/>
              </w:rPr>
              <w:t>(RMR</w:t>
            </w:r>
            <w:r>
              <w:rPr>
                <w:bCs/>
                <w:szCs w:val="21"/>
              </w:rPr>
              <w:t>法</w:t>
            </w:r>
            <w:r>
              <w:rPr>
                <w:bCs/>
                <w:szCs w:val="21"/>
              </w:rPr>
              <w:t>)</w:t>
            </w:r>
            <w:r>
              <w:rPr>
                <w:bCs/>
                <w:szCs w:val="21"/>
              </w:rPr>
              <w:fldChar w:fldCharType="begin"/>
            </w:r>
            <w:r>
              <w:rPr>
                <w:bCs/>
                <w:szCs w:val="21"/>
              </w:rPr>
              <w:instrText xml:space="preserve"> ADDIN NE.Ref.{43D120C3-8071-46E3-AA12-BC54CF7D5840}</w:instrText>
            </w:r>
            <w:r>
              <w:rPr>
                <w:bCs/>
                <w:szCs w:val="21"/>
              </w:rPr>
              <w:fldChar w:fldCharType="separate"/>
            </w:r>
            <w:r>
              <w:rPr>
                <w:color w:val="080000"/>
                <w:kern w:val="0"/>
                <w:szCs w:val="21"/>
                <w:vertAlign w:val="superscript"/>
              </w:rPr>
              <w:t>[50]</w:t>
            </w:r>
            <w:r>
              <w:rPr>
                <w:bCs/>
                <w:szCs w:val="21"/>
              </w:rPr>
              <w:fldChar w:fldCharType="end"/>
            </w:r>
          </w:p>
        </w:tc>
        <w:tc>
          <w:tcPr>
            <w:tcW w:w="2164" w:type="dxa"/>
            <w:shd w:val="clear" w:color="auto" w:fill="auto"/>
            <w:vAlign w:val="center"/>
          </w:tcPr>
          <w:p w:rsidR="0073700B" w:rsidRDefault="001A2FFC">
            <w:pPr>
              <w:jc w:val="center"/>
              <w:rPr>
                <w:bCs/>
                <w:szCs w:val="21"/>
              </w:rPr>
            </w:pPr>
            <w:r>
              <w:rPr>
                <w:bCs/>
                <w:szCs w:val="21"/>
              </w:rPr>
              <w:t>10m</w:t>
            </w:r>
            <w:r>
              <w:rPr>
                <w:bCs/>
                <w:szCs w:val="21"/>
              </w:rPr>
              <w:t>洞长水量</w:t>
            </w:r>
            <w:r>
              <w:rPr>
                <w:bCs/>
                <w:i/>
                <w:iCs/>
                <w:szCs w:val="21"/>
              </w:rPr>
              <w:t>Q</w:t>
            </w:r>
            <w:r>
              <w:rPr>
                <w:bCs/>
                <w:szCs w:val="21"/>
              </w:rPr>
              <w:t>(L/min·10m)</w:t>
            </w:r>
            <w:r>
              <w:rPr>
                <w:bCs/>
                <w:szCs w:val="21"/>
              </w:rPr>
              <w:t>或裂隙水压与最大主应力比值</w:t>
            </w:r>
            <w:r>
              <w:rPr>
                <w:bCs/>
                <w:i/>
                <w:iCs/>
                <w:szCs w:val="21"/>
              </w:rPr>
              <w:t>ζ</w:t>
            </w:r>
          </w:p>
        </w:tc>
        <w:tc>
          <w:tcPr>
            <w:tcW w:w="1744" w:type="dxa"/>
            <w:shd w:val="clear" w:color="auto" w:fill="auto"/>
            <w:vAlign w:val="center"/>
          </w:tcPr>
          <w:p w:rsidR="0073700B" w:rsidRDefault="001A2FFC">
            <w:pPr>
              <w:jc w:val="center"/>
              <w:rPr>
                <w:bCs/>
                <w:szCs w:val="21"/>
              </w:rPr>
            </w:pPr>
            <w:r>
              <w:rPr>
                <w:bCs/>
                <w:szCs w:val="21"/>
              </w:rPr>
              <w:t>干燥，湿润，滴水，</w:t>
            </w:r>
            <w:r>
              <w:rPr>
                <w:bCs/>
                <w:i/>
                <w:iCs/>
                <w:szCs w:val="21"/>
              </w:rPr>
              <w:t>Q</w:t>
            </w:r>
            <w:r>
              <w:rPr>
                <w:bCs/>
                <w:szCs w:val="21"/>
              </w:rPr>
              <w:t>≤25</w:t>
            </w:r>
            <w:r>
              <w:rPr>
                <w:bCs/>
                <w:szCs w:val="21"/>
              </w:rPr>
              <w:t>或</w:t>
            </w:r>
            <w:r>
              <w:rPr>
                <w:bCs/>
                <w:i/>
                <w:iCs/>
                <w:szCs w:val="21"/>
              </w:rPr>
              <w:t>ζ</w:t>
            </w:r>
            <w:r>
              <w:rPr>
                <w:bCs/>
                <w:szCs w:val="21"/>
              </w:rPr>
              <w:t>≤0.2</w:t>
            </w:r>
          </w:p>
        </w:tc>
        <w:tc>
          <w:tcPr>
            <w:tcW w:w="1941" w:type="dxa"/>
            <w:shd w:val="clear" w:color="auto" w:fill="auto"/>
            <w:vAlign w:val="center"/>
          </w:tcPr>
          <w:p w:rsidR="0073700B" w:rsidRDefault="001A2FFC">
            <w:pPr>
              <w:jc w:val="center"/>
              <w:rPr>
                <w:bCs/>
                <w:szCs w:val="21"/>
              </w:rPr>
            </w:pPr>
            <w:r>
              <w:rPr>
                <w:bCs/>
                <w:szCs w:val="21"/>
              </w:rPr>
              <w:t>线状流水</w:t>
            </w:r>
          </w:p>
          <w:p w:rsidR="0073700B" w:rsidRDefault="001A2FFC">
            <w:pPr>
              <w:jc w:val="center"/>
              <w:rPr>
                <w:bCs/>
                <w:szCs w:val="21"/>
              </w:rPr>
            </w:pPr>
            <w:r>
              <w:rPr>
                <w:bCs/>
                <w:szCs w:val="21"/>
              </w:rPr>
              <w:t>25</w:t>
            </w:r>
            <w:r>
              <w:rPr>
                <w:bCs/>
                <w:szCs w:val="21"/>
              </w:rPr>
              <w:t>＜</w:t>
            </w:r>
            <w:r>
              <w:rPr>
                <w:bCs/>
                <w:i/>
                <w:iCs/>
                <w:szCs w:val="21"/>
              </w:rPr>
              <w:t>Q</w:t>
            </w:r>
            <w:r>
              <w:rPr>
                <w:bCs/>
                <w:szCs w:val="21"/>
              </w:rPr>
              <w:t>≤125</w:t>
            </w:r>
          </w:p>
          <w:p w:rsidR="0073700B" w:rsidRDefault="001A2FFC">
            <w:pPr>
              <w:jc w:val="center"/>
              <w:rPr>
                <w:bCs/>
                <w:szCs w:val="21"/>
              </w:rPr>
            </w:pPr>
            <w:r>
              <w:rPr>
                <w:bCs/>
                <w:szCs w:val="21"/>
              </w:rPr>
              <w:t>0.2</w:t>
            </w:r>
            <w:r>
              <w:rPr>
                <w:bCs/>
                <w:szCs w:val="21"/>
              </w:rPr>
              <w:t>＜</w:t>
            </w:r>
            <w:r>
              <w:rPr>
                <w:bCs/>
                <w:i/>
                <w:iCs/>
                <w:szCs w:val="21"/>
              </w:rPr>
              <w:t>ζ</w:t>
            </w:r>
            <w:r>
              <w:rPr>
                <w:bCs/>
                <w:szCs w:val="21"/>
              </w:rPr>
              <w:t>≤0.5</w:t>
            </w:r>
          </w:p>
        </w:tc>
        <w:tc>
          <w:tcPr>
            <w:tcW w:w="1418" w:type="dxa"/>
            <w:shd w:val="clear" w:color="auto" w:fill="auto"/>
            <w:vAlign w:val="center"/>
          </w:tcPr>
          <w:p w:rsidR="0073700B" w:rsidRDefault="001A2FFC">
            <w:pPr>
              <w:jc w:val="center"/>
              <w:rPr>
                <w:bCs/>
                <w:szCs w:val="21"/>
              </w:rPr>
            </w:pPr>
            <w:r>
              <w:rPr>
                <w:bCs/>
                <w:szCs w:val="21"/>
              </w:rPr>
              <w:t>涌水，</w:t>
            </w:r>
          </w:p>
          <w:p w:rsidR="0073700B" w:rsidRDefault="001A2FFC">
            <w:pPr>
              <w:jc w:val="center"/>
              <w:rPr>
                <w:bCs/>
                <w:szCs w:val="21"/>
              </w:rPr>
            </w:pPr>
            <w:r>
              <w:rPr>
                <w:bCs/>
                <w:i/>
                <w:iCs/>
                <w:szCs w:val="21"/>
              </w:rPr>
              <w:t>Q</w:t>
            </w:r>
            <w:r>
              <w:rPr>
                <w:bCs/>
                <w:szCs w:val="21"/>
              </w:rPr>
              <w:t>＞</w:t>
            </w:r>
            <w:r>
              <w:rPr>
                <w:bCs/>
                <w:szCs w:val="21"/>
              </w:rPr>
              <w:t>125</w:t>
            </w:r>
          </w:p>
          <w:p w:rsidR="0073700B" w:rsidRDefault="001A2FFC">
            <w:pPr>
              <w:jc w:val="center"/>
              <w:rPr>
                <w:bCs/>
                <w:szCs w:val="21"/>
              </w:rPr>
            </w:pPr>
            <w:r>
              <w:rPr>
                <w:bCs/>
                <w:i/>
                <w:iCs/>
                <w:szCs w:val="21"/>
              </w:rPr>
              <w:t>ζ</w:t>
            </w:r>
            <w:r>
              <w:rPr>
                <w:bCs/>
                <w:szCs w:val="21"/>
              </w:rPr>
              <w:t>＞</w:t>
            </w:r>
            <w:r>
              <w:rPr>
                <w:bCs/>
                <w:szCs w:val="21"/>
              </w:rPr>
              <w:t>0.5</w:t>
            </w:r>
          </w:p>
        </w:tc>
      </w:tr>
      <w:tr w:rsidR="0073700B">
        <w:trPr>
          <w:jc w:val="center"/>
        </w:trPr>
        <w:tc>
          <w:tcPr>
            <w:tcW w:w="2231" w:type="dxa"/>
            <w:shd w:val="clear" w:color="auto" w:fill="auto"/>
            <w:vAlign w:val="center"/>
          </w:tcPr>
          <w:p w:rsidR="0073700B" w:rsidRDefault="001A2FFC">
            <w:pPr>
              <w:jc w:val="center"/>
              <w:rPr>
                <w:bCs/>
                <w:szCs w:val="21"/>
              </w:rPr>
            </w:pPr>
            <w:r>
              <w:rPr>
                <w:bCs/>
                <w:szCs w:val="21"/>
              </w:rPr>
              <w:t>《工程岩体分级标准》</w:t>
            </w:r>
            <w:r>
              <w:rPr>
                <w:bCs/>
                <w:szCs w:val="21"/>
              </w:rPr>
              <w:lastRenderedPageBreak/>
              <w:t>(GB 50218-2014)</w:t>
            </w:r>
            <w:r>
              <w:rPr>
                <w:bCs/>
                <w:szCs w:val="21"/>
              </w:rPr>
              <w:fldChar w:fldCharType="begin"/>
            </w:r>
            <w:r>
              <w:rPr>
                <w:bCs/>
                <w:szCs w:val="21"/>
              </w:rPr>
              <w:instrText xml:space="preserve"> ADDIN NE.Ref.{B6D04B4C-26ED-4701-80E1-7C9D6AC7</w:instrText>
            </w:r>
            <w:r>
              <w:rPr>
                <w:bCs/>
                <w:szCs w:val="21"/>
              </w:rPr>
              <w:instrText>900E}</w:instrText>
            </w:r>
            <w:r>
              <w:rPr>
                <w:bCs/>
                <w:szCs w:val="21"/>
              </w:rPr>
              <w:fldChar w:fldCharType="separate"/>
            </w:r>
            <w:r>
              <w:rPr>
                <w:color w:val="080000"/>
                <w:kern w:val="0"/>
                <w:szCs w:val="21"/>
                <w:vertAlign w:val="superscript"/>
              </w:rPr>
              <w:t>[11]</w:t>
            </w:r>
            <w:r>
              <w:rPr>
                <w:bCs/>
                <w:szCs w:val="21"/>
              </w:rPr>
              <w:fldChar w:fldCharType="end"/>
            </w:r>
          </w:p>
        </w:tc>
        <w:tc>
          <w:tcPr>
            <w:tcW w:w="2164" w:type="dxa"/>
            <w:shd w:val="clear" w:color="auto" w:fill="auto"/>
            <w:vAlign w:val="center"/>
          </w:tcPr>
          <w:p w:rsidR="0073700B" w:rsidRDefault="001A2FFC">
            <w:pPr>
              <w:jc w:val="center"/>
              <w:rPr>
                <w:bCs/>
                <w:szCs w:val="21"/>
              </w:rPr>
            </w:pPr>
            <w:r>
              <w:rPr>
                <w:bCs/>
                <w:szCs w:val="21"/>
              </w:rPr>
              <w:lastRenderedPageBreak/>
              <w:t>水压</w:t>
            </w:r>
            <w:r>
              <w:rPr>
                <w:bCs/>
                <w:i/>
                <w:iCs/>
                <w:szCs w:val="21"/>
              </w:rPr>
              <w:t>p</w:t>
            </w:r>
            <w:r>
              <w:rPr>
                <w:bCs/>
                <w:szCs w:val="21"/>
              </w:rPr>
              <w:t>(MPa)</w:t>
            </w:r>
            <w:r>
              <w:rPr>
                <w:bCs/>
                <w:szCs w:val="21"/>
              </w:rPr>
              <w:t>，或</w:t>
            </w:r>
            <w:r>
              <w:rPr>
                <w:bCs/>
                <w:szCs w:val="21"/>
              </w:rPr>
              <w:t>10m</w:t>
            </w:r>
            <w:r>
              <w:rPr>
                <w:bCs/>
                <w:szCs w:val="21"/>
              </w:rPr>
              <w:lastRenderedPageBreak/>
              <w:t>洞长水量</w:t>
            </w:r>
            <w:r>
              <w:rPr>
                <w:bCs/>
                <w:i/>
                <w:iCs/>
                <w:szCs w:val="21"/>
              </w:rPr>
              <w:t>Q</w:t>
            </w:r>
            <w:r>
              <w:rPr>
                <w:bCs/>
                <w:szCs w:val="21"/>
              </w:rPr>
              <w:t>(L/min·10m)</w:t>
            </w:r>
          </w:p>
        </w:tc>
        <w:tc>
          <w:tcPr>
            <w:tcW w:w="1744" w:type="dxa"/>
            <w:shd w:val="clear" w:color="auto" w:fill="auto"/>
            <w:vAlign w:val="center"/>
          </w:tcPr>
          <w:p w:rsidR="0073700B" w:rsidRDefault="001A2FFC">
            <w:pPr>
              <w:jc w:val="center"/>
              <w:rPr>
                <w:bCs/>
                <w:szCs w:val="21"/>
              </w:rPr>
            </w:pPr>
            <w:r>
              <w:rPr>
                <w:bCs/>
                <w:szCs w:val="21"/>
              </w:rPr>
              <w:lastRenderedPageBreak/>
              <w:t>潮湿或点状滴</w:t>
            </w:r>
            <w:r>
              <w:rPr>
                <w:bCs/>
                <w:szCs w:val="21"/>
              </w:rPr>
              <w:lastRenderedPageBreak/>
              <w:t>水，</w:t>
            </w:r>
            <w:r>
              <w:rPr>
                <w:bCs/>
                <w:i/>
                <w:iCs/>
                <w:szCs w:val="21"/>
              </w:rPr>
              <w:t>p</w:t>
            </w:r>
            <w:r>
              <w:rPr>
                <w:bCs/>
                <w:szCs w:val="21"/>
              </w:rPr>
              <w:t>≤0.1</w:t>
            </w:r>
            <w:r>
              <w:rPr>
                <w:bCs/>
                <w:szCs w:val="21"/>
              </w:rPr>
              <w:t>或</w:t>
            </w:r>
            <w:r>
              <w:rPr>
                <w:bCs/>
                <w:i/>
                <w:iCs/>
                <w:szCs w:val="21"/>
              </w:rPr>
              <w:t>Q</w:t>
            </w:r>
            <w:r>
              <w:rPr>
                <w:bCs/>
                <w:szCs w:val="21"/>
              </w:rPr>
              <w:t>≤25</w:t>
            </w:r>
          </w:p>
        </w:tc>
        <w:tc>
          <w:tcPr>
            <w:tcW w:w="1941" w:type="dxa"/>
            <w:shd w:val="clear" w:color="auto" w:fill="auto"/>
            <w:vAlign w:val="center"/>
          </w:tcPr>
          <w:p w:rsidR="0073700B" w:rsidRDefault="001A2FFC">
            <w:pPr>
              <w:jc w:val="center"/>
              <w:rPr>
                <w:bCs/>
                <w:szCs w:val="21"/>
              </w:rPr>
            </w:pPr>
            <w:r>
              <w:rPr>
                <w:bCs/>
                <w:szCs w:val="21"/>
              </w:rPr>
              <w:lastRenderedPageBreak/>
              <w:t>淋雨状或线状出</w:t>
            </w:r>
            <w:r>
              <w:rPr>
                <w:bCs/>
                <w:szCs w:val="21"/>
              </w:rPr>
              <w:lastRenderedPageBreak/>
              <w:t>水，</w:t>
            </w:r>
          </w:p>
          <w:p w:rsidR="0073700B" w:rsidRDefault="001A2FFC">
            <w:pPr>
              <w:jc w:val="center"/>
              <w:rPr>
                <w:bCs/>
                <w:szCs w:val="21"/>
              </w:rPr>
            </w:pPr>
            <w:r>
              <w:rPr>
                <w:bCs/>
                <w:szCs w:val="21"/>
              </w:rPr>
              <w:t>0.1</w:t>
            </w:r>
            <w:r>
              <w:rPr>
                <w:bCs/>
                <w:szCs w:val="21"/>
              </w:rPr>
              <w:t>＜</w:t>
            </w:r>
            <w:r>
              <w:rPr>
                <w:bCs/>
                <w:i/>
                <w:iCs/>
                <w:szCs w:val="21"/>
              </w:rPr>
              <w:t>p</w:t>
            </w:r>
            <w:r>
              <w:rPr>
                <w:bCs/>
                <w:szCs w:val="21"/>
              </w:rPr>
              <w:t>≤0.5</w:t>
            </w:r>
          </w:p>
          <w:p w:rsidR="0073700B" w:rsidRDefault="001A2FFC">
            <w:pPr>
              <w:jc w:val="center"/>
              <w:rPr>
                <w:bCs/>
                <w:szCs w:val="21"/>
              </w:rPr>
            </w:pPr>
            <w:r>
              <w:rPr>
                <w:bCs/>
                <w:szCs w:val="21"/>
              </w:rPr>
              <w:t>25</w:t>
            </w:r>
            <w:r>
              <w:rPr>
                <w:bCs/>
                <w:szCs w:val="21"/>
              </w:rPr>
              <w:t>＜</w:t>
            </w:r>
            <w:r>
              <w:rPr>
                <w:bCs/>
                <w:i/>
                <w:iCs/>
                <w:szCs w:val="21"/>
              </w:rPr>
              <w:t>Q</w:t>
            </w:r>
            <w:r>
              <w:rPr>
                <w:bCs/>
                <w:szCs w:val="21"/>
              </w:rPr>
              <w:t>≤125</w:t>
            </w:r>
          </w:p>
        </w:tc>
        <w:tc>
          <w:tcPr>
            <w:tcW w:w="1418" w:type="dxa"/>
            <w:shd w:val="clear" w:color="auto" w:fill="auto"/>
            <w:vAlign w:val="center"/>
          </w:tcPr>
          <w:p w:rsidR="0073700B" w:rsidRDefault="001A2FFC">
            <w:pPr>
              <w:jc w:val="center"/>
              <w:rPr>
                <w:bCs/>
                <w:szCs w:val="21"/>
              </w:rPr>
            </w:pPr>
            <w:r>
              <w:rPr>
                <w:bCs/>
                <w:szCs w:val="21"/>
              </w:rPr>
              <w:lastRenderedPageBreak/>
              <w:t>涌流状出水，</w:t>
            </w:r>
          </w:p>
          <w:p w:rsidR="0073700B" w:rsidRDefault="001A2FFC">
            <w:pPr>
              <w:jc w:val="center"/>
              <w:rPr>
                <w:bCs/>
                <w:szCs w:val="21"/>
              </w:rPr>
            </w:pPr>
            <w:r>
              <w:rPr>
                <w:bCs/>
                <w:i/>
                <w:iCs/>
                <w:szCs w:val="21"/>
              </w:rPr>
              <w:lastRenderedPageBreak/>
              <w:t>p</w:t>
            </w:r>
            <w:r>
              <w:rPr>
                <w:bCs/>
                <w:szCs w:val="21"/>
              </w:rPr>
              <w:t>＞</w:t>
            </w:r>
            <w:r>
              <w:rPr>
                <w:bCs/>
                <w:szCs w:val="21"/>
              </w:rPr>
              <w:t>0.5</w:t>
            </w:r>
            <w:r>
              <w:rPr>
                <w:bCs/>
                <w:szCs w:val="21"/>
              </w:rPr>
              <w:t>或</w:t>
            </w:r>
            <w:r>
              <w:rPr>
                <w:bCs/>
                <w:i/>
                <w:iCs/>
                <w:szCs w:val="21"/>
              </w:rPr>
              <w:t>Q</w:t>
            </w:r>
            <w:r>
              <w:rPr>
                <w:bCs/>
                <w:szCs w:val="21"/>
              </w:rPr>
              <w:t>＞</w:t>
            </w:r>
            <w:r>
              <w:rPr>
                <w:bCs/>
                <w:szCs w:val="21"/>
              </w:rPr>
              <w:t>125</w:t>
            </w:r>
          </w:p>
        </w:tc>
      </w:tr>
    </w:tbl>
    <w:p w:rsidR="0073700B" w:rsidRDefault="001A2FFC" w:rsidP="00F80BAC">
      <w:pPr>
        <w:spacing w:beforeLines="50" w:before="156" w:line="360" w:lineRule="auto"/>
        <w:ind w:firstLineChars="200" w:firstLine="480"/>
        <w:rPr>
          <w:bCs/>
          <w:sz w:val="24"/>
        </w:rPr>
      </w:pPr>
      <w:r>
        <w:rPr>
          <w:rFonts w:hint="eastAsia"/>
          <w:bCs/>
          <w:sz w:val="24"/>
          <w:szCs w:val="24"/>
        </w:rPr>
        <w:lastRenderedPageBreak/>
        <w:t>（</w:t>
      </w:r>
      <w:r>
        <w:rPr>
          <w:rFonts w:hint="eastAsia"/>
          <w:bCs/>
          <w:sz w:val="24"/>
          <w:szCs w:val="24"/>
        </w:rPr>
        <w:t>9</w:t>
      </w:r>
      <w:r>
        <w:rPr>
          <w:rFonts w:hint="eastAsia"/>
          <w:bCs/>
          <w:sz w:val="24"/>
          <w:szCs w:val="24"/>
        </w:rPr>
        <w:t>）</w:t>
      </w:r>
      <w:r>
        <w:rPr>
          <w:bCs/>
          <w:sz w:val="24"/>
        </w:rPr>
        <w:t>衬砌安全距离</w:t>
      </w:r>
      <w:r>
        <w:rPr>
          <w:bCs/>
          <w:i/>
          <w:iCs/>
          <w:sz w:val="24"/>
        </w:rPr>
        <w:t>X</w:t>
      </w:r>
      <w:r>
        <w:rPr>
          <w:bCs/>
          <w:sz w:val="24"/>
          <w:vertAlign w:val="subscript"/>
        </w:rPr>
        <w:t>51</w:t>
      </w:r>
      <w:r>
        <w:rPr>
          <w:bCs/>
          <w:sz w:val="24"/>
        </w:rPr>
        <w:t>，参考《公路工程施工安全技术规范》（</w:t>
      </w:r>
      <w:r>
        <w:rPr>
          <w:bCs/>
          <w:sz w:val="24"/>
        </w:rPr>
        <w:t>JTG F90-2015</w:t>
      </w:r>
      <w:r>
        <w:rPr>
          <w:bCs/>
          <w:sz w:val="24"/>
        </w:rPr>
        <w:t>）</w:t>
      </w:r>
      <w:r>
        <w:rPr>
          <w:bCs/>
          <w:sz w:val="24"/>
        </w:rPr>
        <w:fldChar w:fldCharType="begin"/>
      </w:r>
      <w:r>
        <w:rPr>
          <w:bCs/>
          <w:sz w:val="24"/>
        </w:rPr>
        <w:instrText xml:space="preserve"> ADDIN NE.Ref.{4EEDA3F2-0CCE-4B0E-A01E-171AEC7ACF0E}</w:instrText>
      </w:r>
      <w:r>
        <w:rPr>
          <w:bCs/>
          <w:sz w:val="24"/>
        </w:rPr>
        <w:fldChar w:fldCharType="separate"/>
      </w:r>
      <w:r>
        <w:rPr>
          <w:color w:val="080000"/>
          <w:kern w:val="0"/>
          <w:sz w:val="24"/>
          <w:szCs w:val="24"/>
          <w:vertAlign w:val="superscript"/>
        </w:rPr>
        <w:t>[57]</w:t>
      </w:r>
      <w:r>
        <w:rPr>
          <w:bCs/>
          <w:sz w:val="24"/>
        </w:rPr>
        <w:fldChar w:fldCharType="end"/>
      </w:r>
      <w:r>
        <w:rPr>
          <w:bCs/>
          <w:sz w:val="24"/>
        </w:rPr>
        <w:t>，</w:t>
      </w:r>
      <w:r>
        <w:rPr>
          <w:rFonts w:ascii="宋体" w:hAnsi="宋体" w:cs="宋体" w:hint="eastAsia"/>
          <w:bCs/>
          <w:sz w:val="24"/>
        </w:rPr>
        <w:t>Ⅳ</w:t>
      </w:r>
      <w:r>
        <w:rPr>
          <w:bCs/>
          <w:sz w:val="24"/>
        </w:rPr>
        <w:t>级围岩二次衬砌距掌子面的距离不得大于</w:t>
      </w:r>
      <w:r>
        <w:rPr>
          <w:bCs/>
          <w:sz w:val="24"/>
        </w:rPr>
        <w:t>90m</w:t>
      </w:r>
      <w:r>
        <w:rPr>
          <w:bCs/>
          <w:sz w:val="24"/>
        </w:rPr>
        <w:t>，</w:t>
      </w:r>
      <w:r>
        <w:rPr>
          <w:rFonts w:ascii="宋体" w:hAnsi="宋体" w:cs="宋体" w:hint="eastAsia"/>
          <w:bCs/>
          <w:sz w:val="24"/>
        </w:rPr>
        <w:t>Ⅴ</w:t>
      </w:r>
      <w:r>
        <w:rPr>
          <w:bCs/>
          <w:sz w:val="24"/>
        </w:rPr>
        <w:t>级及以上围岩不得大于</w:t>
      </w:r>
      <w:r>
        <w:rPr>
          <w:bCs/>
          <w:sz w:val="24"/>
        </w:rPr>
        <w:t>70m</w:t>
      </w:r>
      <w:r>
        <w:rPr>
          <w:bCs/>
          <w:sz w:val="24"/>
        </w:rPr>
        <w:t>，软弱围岩及不良地质隧道的二衬衬砌应及时施作。</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10</w:t>
      </w:r>
      <w:r>
        <w:rPr>
          <w:rFonts w:hint="eastAsia"/>
          <w:bCs/>
          <w:sz w:val="24"/>
          <w:szCs w:val="24"/>
        </w:rPr>
        <w:t>）</w:t>
      </w:r>
      <w:r>
        <w:rPr>
          <w:bCs/>
          <w:sz w:val="24"/>
        </w:rPr>
        <w:t>仰拱安全距离</w:t>
      </w:r>
      <w:r>
        <w:rPr>
          <w:bCs/>
          <w:i/>
          <w:iCs/>
          <w:sz w:val="24"/>
        </w:rPr>
        <w:t>X</w:t>
      </w:r>
      <w:r>
        <w:rPr>
          <w:bCs/>
          <w:sz w:val="24"/>
          <w:vertAlign w:val="subscript"/>
        </w:rPr>
        <w:t>52</w:t>
      </w:r>
      <w:r>
        <w:rPr>
          <w:bCs/>
          <w:sz w:val="24"/>
        </w:rPr>
        <w:t>，参考《公路工程施工安全技术规范》（</w:t>
      </w:r>
      <w:r>
        <w:rPr>
          <w:bCs/>
          <w:sz w:val="24"/>
        </w:rPr>
        <w:t>JTG F90-2015</w:t>
      </w:r>
      <w:r>
        <w:rPr>
          <w:bCs/>
          <w:sz w:val="24"/>
        </w:rPr>
        <w:t>）</w:t>
      </w:r>
      <w:r>
        <w:rPr>
          <w:bCs/>
          <w:sz w:val="24"/>
        </w:rPr>
        <w:fldChar w:fldCharType="begin"/>
      </w:r>
      <w:r>
        <w:rPr>
          <w:bCs/>
          <w:sz w:val="24"/>
        </w:rPr>
        <w:instrText xml:space="preserve"> ADDIN NE.Ref.{24A03069-A46E-400C-9432-ACAC8491C2F4}</w:instrText>
      </w:r>
      <w:r>
        <w:rPr>
          <w:bCs/>
          <w:sz w:val="24"/>
        </w:rPr>
        <w:fldChar w:fldCharType="separate"/>
      </w:r>
      <w:r>
        <w:rPr>
          <w:color w:val="080000"/>
          <w:kern w:val="0"/>
          <w:sz w:val="24"/>
          <w:szCs w:val="24"/>
          <w:vertAlign w:val="superscript"/>
        </w:rPr>
        <w:t>[57]</w:t>
      </w:r>
      <w:r>
        <w:rPr>
          <w:bCs/>
          <w:sz w:val="24"/>
        </w:rPr>
        <w:fldChar w:fldCharType="end"/>
      </w:r>
      <w:r>
        <w:rPr>
          <w:bCs/>
          <w:sz w:val="24"/>
        </w:rPr>
        <w:t>，仰拱开挖施工应符合相关规定：</w:t>
      </w:r>
      <w:r>
        <w:rPr>
          <w:rFonts w:ascii="宋体" w:hAnsi="宋体" w:cs="宋体" w:hint="eastAsia"/>
          <w:bCs/>
          <w:sz w:val="24"/>
        </w:rPr>
        <w:t>Ⅳ</w:t>
      </w:r>
      <w:r>
        <w:rPr>
          <w:bCs/>
          <w:sz w:val="24"/>
        </w:rPr>
        <w:t>级及以上围岩仰拱每循环开挖长度不得大于</w:t>
      </w:r>
      <w:r>
        <w:rPr>
          <w:bCs/>
          <w:sz w:val="24"/>
        </w:rPr>
        <w:t>3m</w:t>
      </w:r>
      <w:r>
        <w:rPr>
          <w:bCs/>
          <w:sz w:val="24"/>
        </w:rPr>
        <w:t>，不得分幅施作，仰拱与掌子面的距离，</w:t>
      </w:r>
      <w:r>
        <w:rPr>
          <w:rFonts w:ascii="宋体" w:hAnsi="宋体" w:cs="宋体" w:hint="eastAsia"/>
          <w:bCs/>
          <w:sz w:val="24"/>
        </w:rPr>
        <w:t>Ⅲ</w:t>
      </w:r>
      <w:r>
        <w:rPr>
          <w:bCs/>
          <w:sz w:val="24"/>
        </w:rPr>
        <w:t>级围岩不得超过</w:t>
      </w:r>
      <w:r>
        <w:rPr>
          <w:bCs/>
          <w:sz w:val="24"/>
        </w:rPr>
        <w:t>90m</w:t>
      </w:r>
      <w:r>
        <w:rPr>
          <w:bCs/>
          <w:sz w:val="24"/>
        </w:rPr>
        <w:t>，</w:t>
      </w:r>
      <w:r>
        <w:rPr>
          <w:rFonts w:ascii="宋体" w:hAnsi="宋体" w:cs="宋体" w:hint="eastAsia"/>
          <w:bCs/>
          <w:sz w:val="24"/>
        </w:rPr>
        <w:t>Ⅳ</w:t>
      </w:r>
      <w:r>
        <w:rPr>
          <w:bCs/>
          <w:sz w:val="24"/>
        </w:rPr>
        <w:t>级围岩不得超过</w:t>
      </w:r>
      <w:r>
        <w:rPr>
          <w:bCs/>
          <w:sz w:val="24"/>
        </w:rPr>
        <w:t>50m</w:t>
      </w:r>
      <w:r>
        <w:rPr>
          <w:bCs/>
          <w:sz w:val="24"/>
        </w:rPr>
        <w:t>，</w:t>
      </w:r>
      <w:r>
        <w:rPr>
          <w:rFonts w:ascii="宋体" w:hAnsi="宋体" w:cs="宋体" w:hint="eastAsia"/>
          <w:bCs/>
          <w:sz w:val="24"/>
        </w:rPr>
        <w:t>Ⅴ</w:t>
      </w:r>
      <w:r>
        <w:rPr>
          <w:bCs/>
          <w:sz w:val="24"/>
        </w:rPr>
        <w:t>级及以上围岩不得超过</w:t>
      </w:r>
      <w:r>
        <w:rPr>
          <w:bCs/>
          <w:sz w:val="24"/>
        </w:rPr>
        <w:t>40m</w:t>
      </w:r>
      <w:r>
        <w:rPr>
          <w:bCs/>
          <w:sz w:val="24"/>
        </w:rPr>
        <w:t>。</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11</w:t>
      </w:r>
      <w:r>
        <w:rPr>
          <w:rFonts w:hint="eastAsia"/>
          <w:bCs/>
          <w:sz w:val="24"/>
          <w:szCs w:val="24"/>
        </w:rPr>
        <w:t>）</w:t>
      </w:r>
      <w:r>
        <w:rPr>
          <w:bCs/>
          <w:sz w:val="24"/>
        </w:rPr>
        <w:t>超前地质预报</w:t>
      </w:r>
      <w:r>
        <w:rPr>
          <w:bCs/>
          <w:i/>
          <w:iCs/>
          <w:sz w:val="24"/>
        </w:rPr>
        <w:t>X</w:t>
      </w:r>
      <w:r>
        <w:rPr>
          <w:bCs/>
          <w:sz w:val="24"/>
          <w:vertAlign w:val="subscript"/>
        </w:rPr>
        <w:t>61</w:t>
      </w:r>
      <w:r>
        <w:rPr>
          <w:bCs/>
          <w:sz w:val="24"/>
        </w:rPr>
        <w:t>，参考《公路工程</w:t>
      </w:r>
      <w:r>
        <w:rPr>
          <w:bCs/>
          <w:sz w:val="24"/>
        </w:rPr>
        <w:t>质量检验评定标准》（</w:t>
      </w:r>
      <w:r>
        <w:rPr>
          <w:bCs/>
          <w:sz w:val="24"/>
        </w:rPr>
        <w:t>JTG F80/1-2017</w:t>
      </w:r>
      <w:r>
        <w:rPr>
          <w:bCs/>
          <w:sz w:val="24"/>
        </w:rPr>
        <w:t>）</w:t>
      </w:r>
      <w:r>
        <w:rPr>
          <w:bCs/>
          <w:sz w:val="24"/>
        </w:rPr>
        <w:fldChar w:fldCharType="begin"/>
      </w:r>
      <w:r>
        <w:rPr>
          <w:bCs/>
          <w:sz w:val="24"/>
        </w:rPr>
        <w:instrText xml:space="preserve"> ADDIN NE.Ref.{79CC3391-011E-446C-91E7-5E0E2ACBD0AE}</w:instrText>
      </w:r>
      <w:r>
        <w:rPr>
          <w:bCs/>
          <w:sz w:val="24"/>
        </w:rPr>
        <w:fldChar w:fldCharType="separate"/>
      </w:r>
      <w:r>
        <w:rPr>
          <w:color w:val="080000"/>
          <w:kern w:val="0"/>
          <w:sz w:val="24"/>
          <w:szCs w:val="24"/>
          <w:vertAlign w:val="superscript"/>
        </w:rPr>
        <w:t>[2]</w:t>
      </w:r>
      <w:r>
        <w:rPr>
          <w:bCs/>
          <w:sz w:val="24"/>
        </w:rPr>
        <w:fldChar w:fldCharType="end"/>
      </w:r>
      <w:r>
        <w:rPr>
          <w:bCs/>
          <w:sz w:val="24"/>
        </w:rPr>
        <w:t>及《铁路超前地质预报技术指南》（铁建设</w:t>
      </w:r>
      <w:r>
        <w:rPr>
          <w:bCs/>
          <w:sz w:val="24"/>
        </w:rPr>
        <w:t xml:space="preserve"> [2008] 105</w:t>
      </w:r>
      <w:r>
        <w:rPr>
          <w:bCs/>
          <w:sz w:val="24"/>
        </w:rPr>
        <w:t>号）</w:t>
      </w:r>
      <w:r>
        <w:rPr>
          <w:bCs/>
          <w:sz w:val="24"/>
        </w:rPr>
        <w:fldChar w:fldCharType="begin"/>
      </w:r>
      <w:r>
        <w:rPr>
          <w:bCs/>
          <w:sz w:val="24"/>
        </w:rPr>
        <w:instrText xml:space="preserve"> ADDIN NE.Ref.{E2DC3C5E-8395-4F23-BE73-6BE31FA3EA62}</w:instrText>
      </w:r>
      <w:r>
        <w:rPr>
          <w:bCs/>
          <w:sz w:val="24"/>
        </w:rPr>
        <w:fldChar w:fldCharType="separate"/>
      </w:r>
      <w:r>
        <w:rPr>
          <w:color w:val="080000"/>
          <w:kern w:val="0"/>
          <w:sz w:val="24"/>
          <w:szCs w:val="24"/>
          <w:vertAlign w:val="superscript"/>
        </w:rPr>
        <w:t>[63]</w:t>
      </w:r>
      <w:r>
        <w:rPr>
          <w:bCs/>
          <w:sz w:val="24"/>
        </w:rPr>
        <w:fldChar w:fldCharType="end"/>
      </w:r>
      <w:r>
        <w:rPr>
          <w:bCs/>
          <w:sz w:val="24"/>
        </w:rPr>
        <w:t>，采用地质雷达、超前导坑、超前探孔等超前预报手段，提前探明隧道开挖工作面前方的工程地质和水文地质条件，为隧道开挖、支护等工作提供基础资料，可以有效降低风险发生的可能</w:t>
      </w:r>
      <w:r>
        <w:rPr>
          <w:bCs/>
          <w:sz w:val="24"/>
        </w:rPr>
        <w:t>性。</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12</w:t>
      </w:r>
      <w:r>
        <w:rPr>
          <w:rFonts w:hint="eastAsia"/>
          <w:bCs/>
          <w:sz w:val="24"/>
          <w:szCs w:val="24"/>
        </w:rPr>
        <w:t>）</w:t>
      </w:r>
      <w:r>
        <w:rPr>
          <w:bCs/>
          <w:sz w:val="24"/>
        </w:rPr>
        <w:t>相对变形值</w:t>
      </w:r>
      <w:r>
        <w:rPr>
          <w:szCs w:val="21"/>
        </w:rPr>
        <w:t>(</w:t>
      </w:r>
      <w:r>
        <w:rPr>
          <w:i/>
          <w:iCs/>
          <w:szCs w:val="21"/>
        </w:rPr>
        <w:t>u</w:t>
      </w:r>
      <w:r>
        <w:rPr>
          <w:szCs w:val="21"/>
        </w:rPr>
        <w:t>/</w:t>
      </w:r>
      <w:r>
        <w:rPr>
          <w:i/>
          <w:iCs/>
          <w:szCs w:val="21"/>
        </w:rPr>
        <w:t>B</w:t>
      </w:r>
      <w:r>
        <w:rPr>
          <w:szCs w:val="21"/>
        </w:rPr>
        <w:t>)</w:t>
      </w:r>
      <w:r>
        <w:rPr>
          <w:bCs/>
          <w:i/>
          <w:iCs/>
          <w:sz w:val="24"/>
        </w:rPr>
        <w:t>X</w:t>
      </w:r>
      <w:r>
        <w:rPr>
          <w:bCs/>
          <w:sz w:val="24"/>
          <w:vertAlign w:val="subscript"/>
        </w:rPr>
        <w:t>62</w:t>
      </w:r>
      <w:r>
        <w:rPr>
          <w:bCs/>
          <w:sz w:val="24"/>
        </w:rPr>
        <w:t>，</w:t>
      </w:r>
      <w:r>
        <w:rPr>
          <w:bCs/>
          <w:sz w:val="24"/>
          <w:szCs w:val="24"/>
        </w:rPr>
        <w:t>参考《铁路隧道设计规范》（</w:t>
      </w:r>
      <w:r>
        <w:rPr>
          <w:bCs/>
          <w:sz w:val="24"/>
          <w:szCs w:val="24"/>
        </w:rPr>
        <w:t>TB 10003-2016</w:t>
      </w:r>
      <w:r>
        <w:rPr>
          <w:bCs/>
          <w:sz w:val="24"/>
          <w:szCs w:val="24"/>
        </w:rPr>
        <w:t>）</w:t>
      </w:r>
      <w:r>
        <w:rPr>
          <w:bCs/>
          <w:sz w:val="24"/>
          <w:szCs w:val="24"/>
        </w:rPr>
        <w:fldChar w:fldCharType="begin"/>
      </w:r>
      <w:r>
        <w:rPr>
          <w:bCs/>
          <w:sz w:val="24"/>
          <w:szCs w:val="24"/>
        </w:rPr>
        <w:instrText xml:space="preserve"> ADDIN NE.Ref.{257B7FB2-56E4-4507-9D7A-3FEF16563D4D}</w:instrText>
      </w:r>
      <w:r>
        <w:rPr>
          <w:bCs/>
          <w:sz w:val="24"/>
          <w:szCs w:val="24"/>
        </w:rPr>
        <w:fldChar w:fldCharType="separate"/>
      </w:r>
      <w:r>
        <w:rPr>
          <w:color w:val="080000"/>
          <w:kern w:val="0"/>
          <w:sz w:val="24"/>
          <w:szCs w:val="24"/>
          <w:vertAlign w:val="superscript"/>
        </w:rPr>
        <w:t>[15]</w:t>
      </w:r>
      <w:r>
        <w:rPr>
          <w:bCs/>
          <w:sz w:val="24"/>
          <w:szCs w:val="24"/>
        </w:rPr>
        <w:fldChar w:fldCharType="end"/>
      </w:r>
      <w:r>
        <w:rPr>
          <w:bCs/>
          <w:sz w:val="24"/>
          <w:szCs w:val="24"/>
        </w:rPr>
        <w:t>，隧道开挖后，围岩表面因开挖扰动作用会产生部分变形，相对变形值即为变形量</w:t>
      </w:r>
      <w:r>
        <w:rPr>
          <w:bCs/>
          <w:i/>
          <w:iCs/>
          <w:sz w:val="24"/>
          <w:szCs w:val="24"/>
        </w:rPr>
        <w:t>u</w:t>
      </w:r>
      <w:r>
        <w:rPr>
          <w:bCs/>
          <w:sz w:val="24"/>
          <w:szCs w:val="24"/>
        </w:rPr>
        <w:t>与隧道等效半径</w:t>
      </w:r>
      <w:r>
        <w:rPr>
          <w:bCs/>
          <w:i/>
          <w:iCs/>
          <w:sz w:val="24"/>
          <w:szCs w:val="24"/>
        </w:rPr>
        <w:t>B</w:t>
      </w:r>
      <w:r>
        <w:rPr>
          <w:bCs/>
          <w:sz w:val="24"/>
          <w:szCs w:val="24"/>
        </w:rPr>
        <w:t>之比，评估时按照就高原则，选取评估区段内变形量最大的断面，相对变形值越大，则风险越大。</w:t>
      </w:r>
    </w:p>
    <w:p w:rsidR="0073700B" w:rsidRDefault="001A2FFC" w:rsidP="00F80BAC">
      <w:pPr>
        <w:spacing w:beforeLines="50" w:before="156" w:line="360" w:lineRule="auto"/>
        <w:ind w:firstLineChars="200" w:firstLine="480"/>
        <w:rPr>
          <w:bCs/>
          <w:sz w:val="24"/>
          <w:szCs w:val="24"/>
        </w:rPr>
      </w:pPr>
      <w:bookmarkStart w:id="113" w:name="_Hlk13081638"/>
      <w:r>
        <w:rPr>
          <w:rFonts w:hint="eastAsia"/>
          <w:bCs/>
          <w:sz w:val="24"/>
          <w:szCs w:val="24"/>
        </w:rPr>
        <w:t>（</w:t>
      </w:r>
      <w:r>
        <w:rPr>
          <w:rFonts w:hint="eastAsia"/>
          <w:bCs/>
          <w:sz w:val="24"/>
          <w:szCs w:val="24"/>
        </w:rPr>
        <w:t>13</w:t>
      </w:r>
      <w:r>
        <w:rPr>
          <w:rFonts w:hint="eastAsia"/>
          <w:bCs/>
          <w:sz w:val="24"/>
          <w:szCs w:val="24"/>
        </w:rPr>
        <w:t>）</w:t>
      </w:r>
      <w:r>
        <w:rPr>
          <w:bCs/>
          <w:sz w:val="24"/>
        </w:rPr>
        <w:t>监控量测方案</w:t>
      </w:r>
      <w:r>
        <w:rPr>
          <w:bCs/>
          <w:i/>
          <w:iCs/>
          <w:sz w:val="24"/>
        </w:rPr>
        <w:t>X</w:t>
      </w:r>
      <w:r>
        <w:rPr>
          <w:bCs/>
          <w:sz w:val="24"/>
          <w:vertAlign w:val="subscript"/>
        </w:rPr>
        <w:t>63</w:t>
      </w:r>
      <w:r>
        <w:rPr>
          <w:bCs/>
          <w:sz w:val="24"/>
        </w:rPr>
        <w:t>，</w:t>
      </w:r>
      <w:bookmarkEnd w:id="113"/>
      <w:r>
        <w:rPr>
          <w:bCs/>
          <w:sz w:val="24"/>
          <w:szCs w:val="24"/>
        </w:rPr>
        <w:t>参考《公路工程施工安全技术规范》（</w:t>
      </w:r>
      <w:r>
        <w:rPr>
          <w:bCs/>
          <w:sz w:val="24"/>
          <w:szCs w:val="24"/>
        </w:rPr>
        <w:t>JTG F90-2015</w:t>
      </w:r>
      <w:r>
        <w:rPr>
          <w:bCs/>
          <w:sz w:val="24"/>
          <w:szCs w:val="24"/>
        </w:rPr>
        <w:t>）</w:t>
      </w:r>
      <w:r>
        <w:rPr>
          <w:bCs/>
          <w:sz w:val="24"/>
          <w:szCs w:val="24"/>
        </w:rPr>
        <w:fldChar w:fldCharType="begin"/>
      </w:r>
      <w:r>
        <w:rPr>
          <w:bCs/>
          <w:sz w:val="24"/>
          <w:szCs w:val="24"/>
        </w:rPr>
        <w:instrText xml:space="preserve"> ADDIN NE.Ref.{76FC3C92-F95A-445B-9798-6515750329B7}</w:instrText>
      </w:r>
      <w:r>
        <w:rPr>
          <w:bCs/>
          <w:sz w:val="24"/>
          <w:szCs w:val="24"/>
        </w:rPr>
        <w:fldChar w:fldCharType="separate"/>
      </w:r>
      <w:r>
        <w:rPr>
          <w:color w:val="080000"/>
          <w:kern w:val="0"/>
          <w:sz w:val="24"/>
          <w:szCs w:val="24"/>
          <w:vertAlign w:val="superscript"/>
        </w:rPr>
        <w:t>[57]</w:t>
      </w:r>
      <w:r>
        <w:rPr>
          <w:bCs/>
          <w:sz w:val="24"/>
          <w:szCs w:val="24"/>
        </w:rPr>
        <w:fldChar w:fldCharType="end"/>
      </w:r>
      <w:r>
        <w:rPr>
          <w:bCs/>
          <w:sz w:val="24"/>
          <w:szCs w:val="24"/>
        </w:rPr>
        <w:t>，监控量测包括量测频率、监测项目、信息反馈等内容。合理的监控量测频率、全面的必测项目与及时的信息反馈可以有效降低风险事件发生的可能性</w:t>
      </w:r>
      <w:r>
        <w:rPr>
          <w:bCs/>
          <w:sz w:val="24"/>
          <w:szCs w:val="24"/>
        </w:rPr>
        <w:fldChar w:fldCharType="begin"/>
      </w:r>
      <w:r>
        <w:rPr>
          <w:bCs/>
          <w:sz w:val="24"/>
          <w:szCs w:val="24"/>
        </w:rPr>
        <w:instrText xml:space="preserve"> ADDIN NE.Ref.{EEAD2639-362B-4397-A0C2-4077FE443BBC}</w:instrText>
      </w:r>
      <w:r>
        <w:rPr>
          <w:bCs/>
          <w:sz w:val="24"/>
          <w:szCs w:val="24"/>
        </w:rPr>
        <w:fldChar w:fldCharType="separate"/>
      </w:r>
      <w:r>
        <w:rPr>
          <w:color w:val="080000"/>
          <w:kern w:val="0"/>
          <w:sz w:val="24"/>
          <w:szCs w:val="24"/>
          <w:vertAlign w:val="superscript"/>
        </w:rPr>
        <w:t>[56]</w:t>
      </w:r>
      <w:r>
        <w:rPr>
          <w:bCs/>
          <w:sz w:val="24"/>
          <w:szCs w:val="24"/>
        </w:rPr>
        <w:fldChar w:fldCharType="end"/>
      </w:r>
      <w:r>
        <w:rPr>
          <w:bCs/>
          <w:sz w:val="24"/>
          <w:szCs w:val="24"/>
        </w:rPr>
        <w:t>。</w:t>
      </w:r>
    </w:p>
    <w:p w:rsidR="0073700B" w:rsidRDefault="0073700B">
      <w:pPr>
        <w:spacing w:before="50" w:line="360" w:lineRule="auto"/>
        <w:ind w:firstLineChars="200" w:firstLine="420"/>
        <w:rPr>
          <w:bCs/>
        </w:rPr>
      </w:pPr>
    </w:p>
    <w:p w:rsidR="0073700B" w:rsidRDefault="001A2FFC">
      <w:pPr>
        <w:pStyle w:val="3"/>
        <w:numPr>
          <w:ilvl w:val="0"/>
          <w:numId w:val="0"/>
        </w:numPr>
        <w:ind w:left="426"/>
        <w:rPr>
          <w:b/>
          <w:bCs w:val="0"/>
        </w:rPr>
      </w:pPr>
      <w:r>
        <w:rPr>
          <w:b/>
          <w:bCs w:val="0"/>
        </w:rPr>
        <w:t xml:space="preserve">17. </w:t>
      </w:r>
      <w:r>
        <w:rPr>
          <w:b/>
          <w:bCs w:val="0"/>
        </w:rPr>
        <w:t>附录</w:t>
      </w:r>
      <w:r>
        <w:rPr>
          <w:b/>
          <w:bCs w:val="0"/>
        </w:rPr>
        <w:t>A.9</w:t>
      </w:r>
      <w:r>
        <w:rPr>
          <w:b/>
          <w:bCs w:val="0"/>
        </w:rPr>
        <w:t>（资料性附录）隧道施工过程涌水突泥风险事件可能性评估指标体系</w:t>
      </w:r>
    </w:p>
    <w:p w:rsidR="0073700B" w:rsidRDefault="001A2FFC" w:rsidP="00F80BAC">
      <w:pPr>
        <w:pStyle w:val="af7"/>
        <w:spacing w:beforeLines="50" w:before="156" w:line="360" w:lineRule="auto"/>
        <w:ind w:firstLine="480"/>
        <w:rPr>
          <w:rFonts w:ascii="Times New Roman"/>
          <w:bCs/>
          <w:sz w:val="24"/>
          <w:szCs w:val="24"/>
        </w:rPr>
      </w:pPr>
      <w:r>
        <w:rPr>
          <w:rFonts w:ascii="Times New Roman"/>
          <w:bCs/>
          <w:sz w:val="24"/>
          <w:szCs w:val="24"/>
        </w:rPr>
        <w:t>根据前期对现行指南的研究成果和专家意见，从隧道地质条件、水文地质条件、环境条件、</w:t>
      </w:r>
      <w:bookmarkStart w:id="114" w:name="_Hlk536128490"/>
      <w:r>
        <w:rPr>
          <w:rFonts w:ascii="Times New Roman"/>
          <w:bCs/>
          <w:sz w:val="24"/>
          <w:szCs w:val="24"/>
        </w:rPr>
        <w:t>施工因素</w:t>
      </w:r>
      <w:bookmarkEnd w:id="114"/>
      <w:r>
        <w:rPr>
          <w:rFonts w:ascii="Times New Roman"/>
          <w:bCs/>
          <w:sz w:val="24"/>
          <w:szCs w:val="24"/>
        </w:rPr>
        <w:t>、</w:t>
      </w:r>
      <w:bookmarkStart w:id="115" w:name="_Hlk536128520"/>
      <w:r>
        <w:rPr>
          <w:rFonts w:ascii="Times New Roman"/>
          <w:bCs/>
          <w:sz w:val="24"/>
          <w:szCs w:val="24"/>
        </w:rPr>
        <w:t>超前预报与监测</w:t>
      </w:r>
      <w:bookmarkEnd w:id="115"/>
      <w:r>
        <w:rPr>
          <w:rFonts w:ascii="Times New Roman"/>
          <w:bCs/>
          <w:sz w:val="24"/>
          <w:szCs w:val="24"/>
        </w:rPr>
        <w:t>等五个方面建立施工前涌水突泥</w:t>
      </w:r>
      <w:r>
        <w:rPr>
          <w:rFonts w:ascii="Times New Roman"/>
          <w:bCs/>
          <w:sz w:val="24"/>
        </w:rPr>
        <w:t>风险事件</w:t>
      </w:r>
      <w:r>
        <w:rPr>
          <w:rFonts w:ascii="Times New Roman"/>
          <w:bCs/>
          <w:sz w:val="24"/>
          <w:szCs w:val="24"/>
        </w:rPr>
        <w:t>可能性评估指标体系。其中地质条件包含了不良地质、岩溶发育程度</w:t>
      </w:r>
      <w:r>
        <w:rPr>
          <w:rFonts w:ascii="Times New Roman"/>
          <w:bCs/>
          <w:sz w:val="24"/>
          <w:szCs w:val="24"/>
        </w:rPr>
        <w:lastRenderedPageBreak/>
        <w:t>等指标，水文地质特征包含了地下涌水情况指标，环境条件包含了周围水体情况指标，施工因素包含了防排水措施指标、超前预报与监测包含了超前地质预报、监控量测方案等指标。</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w:t>
      </w:r>
      <w:r>
        <w:rPr>
          <w:rFonts w:ascii="Times New Roman" w:hint="eastAsia"/>
          <w:bCs/>
          <w:sz w:val="24"/>
          <w:szCs w:val="24"/>
        </w:rPr>
        <w:t>）</w:t>
      </w:r>
      <w:r>
        <w:rPr>
          <w:rFonts w:ascii="Times New Roman"/>
          <w:bCs/>
          <w:sz w:val="24"/>
          <w:szCs w:val="24"/>
        </w:rPr>
        <w:t>不良地质</w:t>
      </w:r>
      <w:r>
        <w:rPr>
          <w:rFonts w:ascii="Times New Roman"/>
          <w:bCs/>
          <w:i/>
          <w:iCs/>
          <w:sz w:val="24"/>
          <w:szCs w:val="24"/>
        </w:rPr>
        <w:t>X</w:t>
      </w:r>
      <w:r>
        <w:rPr>
          <w:rFonts w:ascii="Times New Roman"/>
          <w:bCs/>
          <w:sz w:val="24"/>
          <w:szCs w:val="24"/>
          <w:vertAlign w:val="subscript"/>
        </w:rPr>
        <w:t>11</w:t>
      </w:r>
      <w:r>
        <w:rPr>
          <w:rFonts w:ascii="Times New Roman"/>
          <w:bCs/>
          <w:sz w:val="24"/>
          <w:szCs w:val="24"/>
        </w:rPr>
        <w:t>，参考《公路工程地质勘察规范》（</w:t>
      </w:r>
      <w:r>
        <w:rPr>
          <w:rFonts w:ascii="Times New Roman"/>
          <w:bCs/>
          <w:sz w:val="24"/>
          <w:szCs w:val="24"/>
        </w:rPr>
        <w:t>JTG C20-2011</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NE.Ref.{39895844-5F1E-4671-8F</w:instrText>
      </w:r>
      <w:r>
        <w:rPr>
          <w:rFonts w:ascii="Times New Roman"/>
          <w:bCs/>
          <w:sz w:val="24"/>
          <w:szCs w:val="24"/>
        </w:rPr>
        <w:instrText>37-1EEA527904D2}</w:instrText>
      </w:r>
      <w:r>
        <w:rPr>
          <w:rFonts w:ascii="Times New Roman"/>
          <w:bCs/>
          <w:sz w:val="24"/>
          <w:szCs w:val="24"/>
        </w:rPr>
        <w:fldChar w:fldCharType="separate"/>
      </w:r>
      <w:r>
        <w:rPr>
          <w:rFonts w:ascii="Times New Roman"/>
          <w:color w:val="080000"/>
          <w:sz w:val="24"/>
          <w:szCs w:val="24"/>
          <w:vertAlign w:val="superscript"/>
        </w:rPr>
        <w:t>[10]</w:t>
      </w:r>
      <w:r>
        <w:rPr>
          <w:rFonts w:ascii="Times New Roman"/>
          <w:bCs/>
          <w:sz w:val="24"/>
          <w:szCs w:val="24"/>
        </w:rPr>
        <w:fldChar w:fldCharType="end"/>
      </w:r>
      <w:r>
        <w:rPr>
          <w:rFonts w:ascii="Times New Roman"/>
          <w:bCs/>
          <w:sz w:val="24"/>
          <w:szCs w:val="24"/>
        </w:rPr>
        <w:t>，不良地质的发育程度直接影响工程的安全性和处治难度，不良地质构造通常是指隧道附近潜在的突水通道或突水水源，不良地质构造的富水性、导水性及其空间位置关系在很大程度上决定涌水突泥风险的大小</w:t>
      </w:r>
      <w:r>
        <w:rPr>
          <w:rFonts w:ascii="Times New Roman"/>
          <w:bCs/>
          <w:sz w:val="24"/>
          <w:szCs w:val="24"/>
        </w:rPr>
        <w:fldChar w:fldCharType="begin"/>
      </w:r>
      <w:r>
        <w:rPr>
          <w:rFonts w:ascii="Times New Roman"/>
          <w:bCs/>
          <w:sz w:val="24"/>
          <w:szCs w:val="24"/>
        </w:rPr>
        <w:instrText xml:space="preserve"> ADDIN NE.Ref.{C40B45F7-A44B-4FA2-A88A-63B5A4E93E90}</w:instrText>
      </w:r>
      <w:r>
        <w:rPr>
          <w:rFonts w:ascii="Times New Roman"/>
          <w:bCs/>
          <w:sz w:val="24"/>
          <w:szCs w:val="24"/>
        </w:rPr>
        <w:fldChar w:fldCharType="separate"/>
      </w:r>
      <w:r>
        <w:rPr>
          <w:rFonts w:ascii="Times New Roman"/>
          <w:color w:val="080000"/>
          <w:sz w:val="24"/>
          <w:szCs w:val="24"/>
          <w:vertAlign w:val="superscript"/>
        </w:rPr>
        <w:t>[39]</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2</w:t>
      </w:r>
      <w:r>
        <w:rPr>
          <w:rFonts w:ascii="Times New Roman" w:hint="eastAsia"/>
          <w:bCs/>
          <w:sz w:val="24"/>
          <w:szCs w:val="24"/>
        </w:rPr>
        <w:t>）</w:t>
      </w:r>
      <w:r>
        <w:rPr>
          <w:rFonts w:ascii="Times New Roman"/>
          <w:bCs/>
          <w:sz w:val="24"/>
          <w:szCs w:val="24"/>
        </w:rPr>
        <w:t>岩溶发育程度</w:t>
      </w:r>
      <w:r>
        <w:rPr>
          <w:rFonts w:ascii="Times New Roman"/>
          <w:bCs/>
          <w:i/>
          <w:iCs/>
          <w:sz w:val="24"/>
          <w:szCs w:val="24"/>
        </w:rPr>
        <w:t>X</w:t>
      </w:r>
      <w:r>
        <w:rPr>
          <w:rFonts w:ascii="Times New Roman"/>
          <w:bCs/>
          <w:sz w:val="24"/>
          <w:szCs w:val="24"/>
          <w:vertAlign w:val="subscript"/>
        </w:rPr>
        <w:t>12</w:t>
      </w:r>
      <w:r>
        <w:rPr>
          <w:rFonts w:ascii="Times New Roman"/>
          <w:bCs/>
          <w:sz w:val="24"/>
          <w:szCs w:val="24"/>
        </w:rPr>
        <w:t>，参考《公路工程地质勘察规范》（</w:t>
      </w:r>
      <w:r>
        <w:rPr>
          <w:rFonts w:ascii="Times New Roman"/>
          <w:bCs/>
          <w:sz w:val="24"/>
          <w:szCs w:val="24"/>
        </w:rPr>
        <w:t>JTG C20-2011</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NE.Ref.{6FB322D9-2F7A-4890-9D56-8A135DD06FF6}</w:instrText>
      </w:r>
      <w:r>
        <w:rPr>
          <w:rFonts w:ascii="Times New Roman"/>
          <w:bCs/>
          <w:sz w:val="24"/>
          <w:szCs w:val="24"/>
        </w:rPr>
        <w:fldChar w:fldCharType="separate"/>
      </w:r>
      <w:r>
        <w:rPr>
          <w:rFonts w:ascii="Times New Roman"/>
          <w:color w:val="080000"/>
          <w:sz w:val="24"/>
          <w:szCs w:val="24"/>
          <w:vertAlign w:val="superscript"/>
        </w:rPr>
        <w:t>[10]</w:t>
      </w:r>
      <w:r>
        <w:rPr>
          <w:rFonts w:ascii="Times New Roman"/>
          <w:bCs/>
          <w:sz w:val="24"/>
          <w:szCs w:val="24"/>
        </w:rPr>
        <w:fldChar w:fldCharType="end"/>
      </w:r>
      <w:r>
        <w:rPr>
          <w:rFonts w:ascii="Times New Roman"/>
          <w:bCs/>
          <w:sz w:val="24"/>
          <w:szCs w:val="24"/>
        </w:rPr>
        <w:t>，岩溶发育的程度与可溶岩的岩性密切相关，当隧道穿越岩溶发育区时，往往存在安全隐患，在工程地质勘察时不仅应查明岩溶及地质灾害的形态与分布，还应注意岩溶发育规律，岩溶越发育，储存的岩溶水越多，引发涌水突泥事故的风险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3</w:t>
      </w:r>
      <w:r>
        <w:rPr>
          <w:rFonts w:ascii="Times New Roman" w:hint="eastAsia"/>
          <w:bCs/>
          <w:sz w:val="24"/>
          <w:szCs w:val="24"/>
        </w:rPr>
        <w:t>）</w:t>
      </w:r>
      <w:r>
        <w:rPr>
          <w:rFonts w:ascii="Times New Roman"/>
          <w:bCs/>
          <w:sz w:val="24"/>
          <w:szCs w:val="24"/>
        </w:rPr>
        <w:t>地下涌水情况</w:t>
      </w:r>
      <w:r>
        <w:rPr>
          <w:rFonts w:ascii="Times New Roman"/>
          <w:bCs/>
          <w:i/>
          <w:iCs/>
          <w:sz w:val="24"/>
          <w:szCs w:val="24"/>
        </w:rPr>
        <w:t>X</w:t>
      </w:r>
      <w:r>
        <w:rPr>
          <w:rFonts w:ascii="Times New Roman"/>
          <w:bCs/>
          <w:sz w:val="24"/>
          <w:szCs w:val="24"/>
          <w:vertAlign w:val="subscript"/>
        </w:rPr>
        <w:t>21</w:t>
      </w:r>
      <w:r>
        <w:rPr>
          <w:rFonts w:ascii="Times New Roman"/>
          <w:bCs/>
          <w:sz w:val="24"/>
          <w:szCs w:val="24"/>
        </w:rPr>
        <w:t>，参考表</w:t>
      </w:r>
      <w:r>
        <w:rPr>
          <w:rFonts w:ascii="Times New Roman"/>
          <w:bCs/>
          <w:sz w:val="24"/>
          <w:szCs w:val="24"/>
        </w:rPr>
        <w:t>A-3</w:t>
      </w:r>
      <w:r>
        <w:rPr>
          <w:rFonts w:ascii="Times New Roman"/>
          <w:bCs/>
          <w:sz w:val="24"/>
          <w:szCs w:val="24"/>
        </w:rPr>
        <w:t>中规范，采用</w:t>
      </w:r>
      <w:r>
        <w:rPr>
          <w:rFonts w:ascii="Times New Roman"/>
          <w:bCs/>
          <w:sz w:val="24"/>
          <w:szCs w:val="24"/>
        </w:rPr>
        <w:t>10m</w:t>
      </w:r>
      <w:r>
        <w:rPr>
          <w:rFonts w:ascii="Times New Roman"/>
          <w:bCs/>
          <w:sz w:val="24"/>
          <w:szCs w:val="24"/>
        </w:rPr>
        <w:t>洞长渗水量定量描述隧道围岩出水状况，可分为干燥或潮湿状态、点滴状出水、线状流水及涌水状态，隧道中每</w:t>
      </w:r>
      <w:r>
        <w:rPr>
          <w:rFonts w:ascii="Times New Roman"/>
          <w:bCs/>
          <w:sz w:val="24"/>
          <w:szCs w:val="24"/>
        </w:rPr>
        <w:t>10m</w:t>
      </w:r>
      <w:r>
        <w:rPr>
          <w:rFonts w:ascii="Times New Roman"/>
          <w:bCs/>
          <w:sz w:val="24"/>
          <w:szCs w:val="24"/>
        </w:rPr>
        <w:t>长段涌水量</w:t>
      </w:r>
      <w:r>
        <w:rPr>
          <w:rFonts w:ascii="Times New Roman"/>
          <w:bCs/>
          <w:sz w:val="24"/>
          <w:szCs w:val="24"/>
        </w:rPr>
        <w:t>=</w:t>
      </w:r>
      <w:r>
        <w:rPr>
          <w:rFonts w:ascii="Times New Roman"/>
          <w:bCs/>
          <w:sz w:val="24"/>
          <w:szCs w:val="24"/>
        </w:rPr>
        <w:t>隧道</w:t>
      </w:r>
      <w:r>
        <w:rPr>
          <w:rFonts w:ascii="Times New Roman"/>
          <w:bCs/>
          <w:sz w:val="24"/>
          <w:szCs w:val="24"/>
        </w:rPr>
        <w:t>二衬至掌子面总出水量</w:t>
      </w:r>
      <w:r>
        <w:rPr>
          <w:rFonts w:ascii="Times New Roman"/>
          <w:bCs/>
          <w:sz w:val="24"/>
          <w:szCs w:val="24"/>
        </w:rPr>
        <w:sym w:font="Symbol" w:char="F0B8"/>
      </w:r>
      <w:r>
        <w:rPr>
          <w:rFonts w:ascii="Times New Roman"/>
          <w:bCs/>
          <w:sz w:val="24"/>
          <w:szCs w:val="24"/>
        </w:rPr>
        <w:t>掌子面距二衬距离的长度</w:t>
      </w:r>
      <w:r>
        <w:rPr>
          <w:rFonts w:ascii="Times New Roman"/>
          <w:bCs/>
          <w:sz w:val="24"/>
          <w:szCs w:val="24"/>
        </w:rPr>
        <w:sym w:font="Symbol" w:char="F0B4"/>
      </w:r>
      <w:r>
        <w:rPr>
          <w:rFonts w:ascii="Times New Roman"/>
          <w:bCs/>
          <w:sz w:val="24"/>
          <w:szCs w:val="24"/>
        </w:rPr>
        <w:t>10</w:t>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4</w:t>
      </w:r>
      <w:r>
        <w:rPr>
          <w:rFonts w:ascii="Times New Roman" w:hint="eastAsia"/>
          <w:bCs/>
          <w:sz w:val="24"/>
          <w:szCs w:val="24"/>
        </w:rPr>
        <w:t>）</w:t>
      </w:r>
      <w:r>
        <w:rPr>
          <w:rFonts w:ascii="Times New Roman"/>
          <w:bCs/>
          <w:sz w:val="24"/>
          <w:szCs w:val="24"/>
        </w:rPr>
        <w:t>周围水体情况</w:t>
      </w:r>
      <w:r>
        <w:rPr>
          <w:rFonts w:ascii="Times New Roman"/>
          <w:bCs/>
          <w:i/>
          <w:iCs/>
          <w:sz w:val="24"/>
          <w:szCs w:val="24"/>
        </w:rPr>
        <w:t>X</w:t>
      </w:r>
      <w:r>
        <w:rPr>
          <w:rFonts w:ascii="Times New Roman"/>
          <w:bCs/>
          <w:sz w:val="24"/>
          <w:szCs w:val="24"/>
          <w:vertAlign w:val="subscript"/>
        </w:rPr>
        <w:t>31</w:t>
      </w:r>
      <w:r>
        <w:rPr>
          <w:rFonts w:ascii="Times New Roman"/>
          <w:bCs/>
          <w:sz w:val="24"/>
          <w:szCs w:val="24"/>
        </w:rPr>
        <w:t>，参考《公路工程地质勘察规范》（</w:t>
      </w:r>
      <w:r>
        <w:rPr>
          <w:rFonts w:ascii="Times New Roman"/>
          <w:bCs/>
          <w:sz w:val="24"/>
          <w:szCs w:val="24"/>
        </w:rPr>
        <w:t>JTG C20-2011</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NE.Ref.{125B60AA-BB71-4C1E-AD32-15019616EC68}</w:instrText>
      </w:r>
      <w:r>
        <w:rPr>
          <w:rFonts w:ascii="Times New Roman"/>
          <w:bCs/>
          <w:sz w:val="24"/>
          <w:szCs w:val="24"/>
        </w:rPr>
        <w:fldChar w:fldCharType="separate"/>
      </w:r>
      <w:r>
        <w:rPr>
          <w:rFonts w:ascii="Times New Roman"/>
          <w:color w:val="080000"/>
          <w:sz w:val="24"/>
          <w:szCs w:val="24"/>
          <w:vertAlign w:val="superscript"/>
        </w:rPr>
        <w:t>[10]</w:t>
      </w:r>
      <w:r>
        <w:rPr>
          <w:rFonts w:ascii="Times New Roman"/>
          <w:bCs/>
          <w:sz w:val="24"/>
          <w:szCs w:val="24"/>
        </w:rPr>
        <w:fldChar w:fldCharType="end"/>
      </w:r>
      <w:r>
        <w:rPr>
          <w:rFonts w:ascii="Times New Roman"/>
          <w:bCs/>
          <w:sz w:val="24"/>
          <w:szCs w:val="24"/>
        </w:rPr>
        <w:t>，地表水发育地段易产生涌水、突泥及塌方冒顶等事故。隧道上方若存在湖泊、河流、水库等水体等补给性水体，引发隧道涌水突泥的可能性越大。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5</w:t>
      </w:r>
      <w:r>
        <w:rPr>
          <w:rFonts w:ascii="Times New Roman" w:hint="eastAsia"/>
          <w:bCs/>
          <w:sz w:val="24"/>
          <w:szCs w:val="24"/>
        </w:rPr>
        <w:t>）</w:t>
      </w:r>
      <w:r>
        <w:rPr>
          <w:rFonts w:ascii="Times New Roman"/>
          <w:bCs/>
          <w:sz w:val="24"/>
          <w:szCs w:val="24"/>
        </w:rPr>
        <w:t>防排水措施</w:t>
      </w:r>
      <w:r>
        <w:rPr>
          <w:rFonts w:ascii="Times New Roman"/>
          <w:bCs/>
          <w:i/>
          <w:iCs/>
          <w:sz w:val="24"/>
          <w:szCs w:val="24"/>
        </w:rPr>
        <w:t>X</w:t>
      </w:r>
      <w:r>
        <w:rPr>
          <w:rFonts w:ascii="Times New Roman"/>
          <w:bCs/>
          <w:sz w:val="24"/>
          <w:szCs w:val="24"/>
          <w:vertAlign w:val="subscript"/>
        </w:rPr>
        <w:t>41</w:t>
      </w:r>
      <w:r>
        <w:rPr>
          <w:rFonts w:ascii="Times New Roman"/>
          <w:bCs/>
          <w:sz w:val="24"/>
          <w:szCs w:val="24"/>
        </w:rPr>
        <w:t>，参考《铁路隧道设计规范》（</w:t>
      </w:r>
      <w:r>
        <w:rPr>
          <w:rFonts w:ascii="Times New Roman"/>
          <w:bCs/>
          <w:sz w:val="24"/>
          <w:szCs w:val="24"/>
        </w:rPr>
        <w:t>TB 10003-2016</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NE.Ref.{861AB401-</w:instrText>
      </w:r>
      <w:r>
        <w:rPr>
          <w:rFonts w:ascii="Times New Roman"/>
          <w:bCs/>
          <w:sz w:val="24"/>
          <w:szCs w:val="24"/>
        </w:rPr>
        <w:instrText>9E64-4899-991E-4C368288A47B}</w:instrText>
      </w:r>
      <w:r>
        <w:rPr>
          <w:rFonts w:ascii="Times New Roman"/>
          <w:bCs/>
          <w:sz w:val="24"/>
          <w:szCs w:val="24"/>
        </w:rPr>
        <w:fldChar w:fldCharType="separate"/>
      </w:r>
      <w:r>
        <w:rPr>
          <w:rFonts w:ascii="Times New Roman"/>
          <w:color w:val="080000"/>
          <w:sz w:val="24"/>
          <w:szCs w:val="24"/>
          <w:vertAlign w:val="superscript"/>
        </w:rPr>
        <w:t>[15]</w:t>
      </w:r>
      <w:r>
        <w:rPr>
          <w:rFonts w:ascii="Times New Roman"/>
          <w:bCs/>
          <w:sz w:val="24"/>
          <w:szCs w:val="24"/>
        </w:rPr>
        <w:fldChar w:fldCharType="end"/>
      </w:r>
      <w:r>
        <w:rPr>
          <w:rFonts w:ascii="Times New Roman"/>
          <w:bCs/>
          <w:sz w:val="24"/>
          <w:szCs w:val="24"/>
        </w:rPr>
        <w:t>及《地下工程防水技术规范》（</w:t>
      </w:r>
      <w:r>
        <w:rPr>
          <w:rFonts w:ascii="Times New Roman"/>
          <w:bCs/>
          <w:sz w:val="24"/>
          <w:szCs w:val="24"/>
        </w:rPr>
        <w:t>GB 50108</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NE.Ref.{B20EA7CA-B22A-4CA9-80A8-6F8C4FD70DC1}</w:instrText>
      </w:r>
      <w:r>
        <w:rPr>
          <w:rFonts w:ascii="Times New Roman"/>
          <w:bCs/>
          <w:sz w:val="24"/>
          <w:szCs w:val="24"/>
        </w:rPr>
        <w:fldChar w:fldCharType="separate"/>
      </w:r>
      <w:r>
        <w:rPr>
          <w:rFonts w:ascii="Times New Roman"/>
          <w:color w:val="080000"/>
          <w:sz w:val="24"/>
          <w:szCs w:val="24"/>
          <w:vertAlign w:val="superscript"/>
        </w:rPr>
        <w:t>[64]</w:t>
      </w:r>
      <w:r>
        <w:rPr>
          <w:rFonts w:ascii="Times New Roman"/>
          <w:bCs/>
          <w:sz w:val="24"/>
          <w:szCs w:val="24"/>
        </w:rPr>
        <w:fldChar w:fldCharType="end"/>
      </w:r>
      <w:r>
        <w:rPr>
          <w:rFonts w:ascii="Times New Roman"/>
          <w:bCs/>
          <w:sz w:val="24"/>
          <w:szCs w:val="24"/>
        </w:rPr>
        <w:t>，隧道防排水设计根据隧道所处环境和地下水敏感性、地层岩性等条件采取不同的处理策略：浅埋、低水压段，当环境要求较高时，采取</w:t>
      </w:r>
      <w:r>
        <w:rPr>
          <w:rFonts w:ascii="Times New Roman"/>
          <w:bCs/>
          <w:sz w:val="24"/>
          <w:szCs w:val="24"/>
        </w:rPr>
        <w:t>“</w:t>
      </w:r>
      <w:r>
        <w:rPr>
          <w:rFonts w:ascii="Times New Roman"/>
          <w:bCs/>
          <w:sz w:val="24"/>
          <w:szCs w:val="24"/>
        </w:rPr>
        <w:t>完全堵水</w:t>
      </w:r>
      <w:r>
        <w:rPr>
          <w:rFonts w:ascii="Times New Roman"/>
          <w:bCs/>
          <w:sz w:val="24"/>
          <w:szCs w:val="24"/>
        </w:rPr>
        <w:t>”</w:t>
      </w:r>
      <w:r>
        <w:rPr>
          <w:rFonts w:ascii="Times New Roman"/>
          <w:bCs/>
          <w:sz w:val="24"/>
          <w:szCs w:val="24"/>
        </w:rPr>
        <w:t>的原则，必要时进行地表注浆加固、堵水和引排地表水；一般埋深、中等水压段，采用</w:t>
      </w:r>
      <w:r>
        <w:rPr>
          <w:rFonts w:ascii="Times New Roman"/>
          <w:bCs/>
          <w:sz w:val="24"/>
          <w:szCs w:val="24"/>
        </w:rPr>
        <w:t>“</w:t>
      </w:r>
      <w:r>
        <w:rPr>
          <w:rFonts w:ascii="Times New Roman"/>
          <w:bCs/>
          <w:sz w:val="24"/>
          <w:szCs w:val="24"/>
        </w:rPr>
        <w:t>以堵为主，限量排放</w:t>
      </w:r>
      <w:r>
        <w:rPr>
          <w:rFonts w:ascii="Times New Roman"/>
          <w:bCs/>
          <w:sz w:val="24"/>
          <w:szCs w:val="24"/>
        </w:rPr>
        <w:t>”</w:t>
      </w:r>
      <w:r>
        <w:rPr>
          <w:rFonts w:ascii="Times New Roman"/>
          <w:bCs/>
          <w:sz w:val="24"/>
          <w:szCs w:val="24"/>
        </w:rPr>
        <w:t>的原则，加强围岩注浆堵水；深埋、高水压段，在隧道</w:t>
      </w:r>
      <w:r>
        <w:rPr>
          <w:rFonts w:ascii="Times New Roman"/>
          <w:bCs/>
          <w:sz w:val="24"/>
          <w:szCs w:val="24"/>
        </w:rPr>
        <w:t>开挖及衬砌前对周边围岩进行注浆加固，设置排水系统进行泄压，隧道结构设计承载一定的水压力（</w:t>
      </w:r>
      <w:r>
        <w:rPr>
          <w:rFonts w:ascii="Times New Roman"/>
          <w:bCs/>
          <w:sz w:val="24"/>
          <w:szCs w:val="24"/>
        </w:rPr>
        <w:t>0.5MPa</w:t>
      </w:r>
      <w:r>
        <w:rPr>
          <w:rFonts w:ascii="Times New Roman"/>
          <w:bCs/>
          <w:sz w:val="24"/>
          <w:szCs w:val="24"/>
        </w:rPr>
        <w:t>）。</w:t>
      </w:r>
      <w:r>
        <w:rPr>
          <w:rFonts w:ascii="Times New Roman"/>
          <w:bCs/>
          <w:sz w:val="24"/>
          <w:szCs w:val="24"/>
        </w:rPr>
        <w:lastRenderedPageBreak/>
        <w:t>根据上述标准，将防排水措施分为很差、较差、一般、基本合理四挡，防排水措施越差，则涌水突泥风险越大</w:t>
      </w:r>
      <w:r>
        <w:rPr>
          <w:rFonts w:ascii="Times New Roman"/>
          <w:bCs/>
          <w:sz w:val="24"/>
          <w:szCs w:val="24"/>
        </w:rPr>
        <w:fldChar w:fldCharType="begin"/>
      </w:r>
      <w:r>
        <w:rPr>
          <w:rFonts w:ascii="Times New Roman"/>
          <w:bCs/>
          <w:sz w:val="24"/>
          <w:szCs w:val="24"/>
        </w:rPr>
        <w:instrText xml:space="preserve"> ADDIN NE.Ref.{292A86C2-72D2-449C-9536-444692745E6F}</w:instrText>
      </w:r>
      <w:r>
        <w:rPr>
          <w:rFonts w:ascii="Times New Roman"/>
          <w:bCs/>
          <w:sz w:val="24"/>
          <w:szCs w:val="24"/>
        </w:rPr>
        <w:fldChar w:fldCharType="separate"/>
      </w:r>
      <w:r>
        <w:rPr>
          <w:rFonts w:ascii="Times New Roman"/>
          <w:color w:val="080000"/>
          <w:sz w:val="24"/>
          <w:szCs w:val="24"/>
          <w:vertAlign w:val="superscript"/>
        </w:rPr>
        <w:t>[65]</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6</w:t>
      </w:r>
      <w:r>
        <w:rPr>
          <w:rFonts w:ascii="Times New Roman" w:hint="eastAsia"/>
          <w:bCs/>
          <w:sz w:val="24"/>
          <w:szCs w:val="24"/>
        </w:rPr>
        <w:t>）</w:t>
      </w:r>
      <w:r>
        <w:rPr>
          <w:rFonts w:ascii="Times New Roman"/>
          <w:bCs/>
          <w:sz w:val="24"/>
          <w:szCs w:val="24"/>
        </w:rPr>
        <w:t xml:space="preserve"> </w:t>
      </w:r>
      <w:r>
        <w:rPr>
          <w:rFonts w:ascii="Times New Roman"/>
          <w:bCs/>
          <w:sz w:val="24"/>
          <w:szCs w:val="24"/>
        </w:rPr>
        <w:t>超前地质预报</w:t>
      </w:r>
      <w:r>
        <w:rPr>
          <w:rFonts w:ascii="Times New Roman"/>
          <w:bCs/>
          <w:i/>
          <w:iCs/>
          <w:sz w:val="24"/>
          <w:szCs w:val="24"/>
        </w:rPr>
        <w:t>X</w:t>
      </w:r>
      <w:r>
        <w:rPr>
          <w:rFonts w:ascii="Times New Roman"/>
          <w:bCs/>
          <w:sz w:val="24"/>
          <w:szCs w:val="24"/>
          <w:vertAlign w:val="subscript"/>
        </w:rPr>
        <w:t>51</w:t>
      </w:r>
      <w:r>
        <w:rPr>
          <w:rFonts w:ascii="Times New Roman"/>
          <w:bCs/>
          <w:sz w:val="24"/>
          <w:szCs w:val="24"/>
        </w:rPr>
        <w:t>，</w:t>
      </w:r>
      <w:r>
        <w:rPr>
          <w:rFonts w:ascii="Times New Roman"/>
          <w:bCs/>
          <w:sz w:val="24"/>
          <w:szCs w:val="24"/>
        </w:rPr>
        <w:t xml:space="preserve"> </w:t>
      </w:r>
      <w:r>
        <w:rPr>
          <w:rFonts w:ascii="Times New Roman"/>
          <w:bCs/>
          <w:sz w:val="24"/>
          <w:szCs w:val="24"/>
        </w:rPr>
        <w:t>参考《公路工程质量检验评定标准》（</w:t>
      </w:r>
      <w:r>
        <w:rPr>
          <w:rFonts w:ascii="Times New Roman"/>
          <w:bCs/>
          <w:sz w:val="24"/>
          <w:szCs w:val="24"/>
        </w:rPr>
        <w:t>JTG F80/1-2017</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NE.Ref.{0779BB41-CFB0-4E81-8CD1-4303E1C2D</w:instrText>
      </w:r>
      <w:r>
        <w:rPr>
          <w:rFonts w:ascii="Times New Roman"/>
          <w:bCs/>
          <w:sz w:val="24"/>
          <w:szCs w:val="24"/>
        </w:rPr>
        <w:instrText>F8B}</w:instrText>
      </w:r>
      <w:r>
        <w:rPr>
          <w:rFonts w:ascii="Times New Roman"/>
          <w:bCs/>
          <w:sz w:val="24"/>
          <w:szCs w:val="24"/>
        </w:rPr>
        <w:fldChar w:fldCharType="separate"/>
      </w:r>
      <w:r>
        <w:rPr>
          <w:rFonts w:ascii="Times New Roman"/>
          <w:color w:val="080000"/>
          <w:sz w:val="24"/>
          <w:szCs w:val="24"/>
          <w:vertAlign w:val="superscript"/>
        </w:rPr>
        <w:t>[2]</w:t>
      </w:r>
      <w:r>
        <w:rPr>
          <w:rFonts w:ascii="Times New Roman"/>
          <w:bCs/>
          <w:sz w:val="24"/>
          <w:szCs w:val="24"/>
        </w:rPr>
        <w:fldChar w:fldCharType="end"/>
      </w:r>
      <w:r>
        <w:rPr>
          <w:rFonts w:ascii="Times New Roman"/>
          <w:bCs/>
          <w:sz w:val="24"/>
          <w:szCs w:val="24"/>
        </w:rPr>
        <w:t>及《铁路超前地质预报技术指南》（铁建设</w:t>
      </w:r>
      <w:r>
        <w:rPr>
          <w:rFonts w:ascii="Times New Roman"/>
          <w:bCs/>
          <w:sz w:val="24"/>
          <w:szCs w:val="24"/>
        </w:rPr>
        <w:t xml:space="preserve"> [2008] 105</w:t>
      </w:r>
      <w:r>
        <w:rPr>
          <w:rFonts w:ascii="Times New Roman"/>
          <w:bCs/>
          <w:sz w:val="24"/>
          <w:szCs w:val="24"/>
        </w:rPr>
        <w:t>号）</w:t>
      </w:r>
      <w:r>
        <w:rPr>
          <w:rFonts w:ascii="Times New Roman"/>
          <w:bCs/>
          <w:sz w:val="24"/>
          <w:szCs w:val="24"/>
        </w:rPr>
        <w:fldChar w:fldCharType="begin"/>
      </w:r>
      <w:r>
        <w:rPr>
          <w:rFonts w:ascii="Times New Roman"/>
          <w:bCs/>
          <w:sz w:val="24"/>
          <w:szCs w:val="24"/>
        </w:rPr>
        <w:instrText xml:space="preserve"> ADDIN NE.Ref.{B2FC96DA-9262-4679-BB93-D4FFFF07DF9F}</w:instrText>
      </w:r>
      <w:r>
        <w:rPr>
          <w:rFonts w:ascii="Times New Roman"/>
          <w:bCs/>
          <w:sz w:val="24"/>
          <w:szCs w:val="24"/>
        </w:rPr>
        <w:fldChar w:fldCharType="separate"/>
      </w:r>
      <w:r>
        <w:rPr>
          <w:rFonts w:ascii="Times New Roman"/>
          <w:color w:val="080000"/>
          <w:sz w:val="24"/>
          <w:szCs w:val="24"/>
          <w:vertAlign w:val="superscript"/>
        </w:rPr>
        <w:t>[63]</w:t>
      </w:r>
      <w:r>
        <w:rPr>
          <w:rFonts w:ascii="Times New Roman"/>
          <w:bCs/>
          <w:sz w:val="24"/>
          <w:szCs w:val="24"/>
        </w:rPr>
        <w:fldChar w:fldCharType="end"/>
      </w:r>
      <w:r>
        <w:rPr>
          <w:rFonts w:ascii="Times New Roman"/>
          <w:bCs/>
          <w:sz w:val="24"/>
          <w:szCs w:val="24"/>
        </w:rPr>
        <w:t>，采用地质雷达、超前导坑、超前探孔等超前预报手段，提前探明隧道开挖工作面前方的工程地质和水文地质条件，为隧道开挖、支护等工作提供基础资料，可以有效降低风险发生的可能性。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7</w:t>
      </w:r>
      <w:r>
        <w:rPr>
          <w:rFonts w:ascii="Times New Roman" w:hint="eastAsia"/>
          <w:bCs/>
          <w:sz w:val="24"/>
          <w:szCs w:val="24"/>
        </w:rPr>
        <w:t>）</w:t>
      </w:r>
      <w:r>
        <w:rPr>
          <w:rFonts w:ascii="Times New Roman"/>
          <w:bCs/>
          <w:sz w:val="24"/>
          <w:szCs w:val="24"/>
        </w:rPr>
        <w:t>监控量测方案</w:t>
      </w:r>
      <w:r>
        <w:rPr>
          <w:rFonts w:ascii="Times New Roman"/>
          <w:bCs/>
          <w:i/>
          <w:iCs/>
          <w:sz w:val="24"/>
          <w:szCs w:val="24"/>
        </w:rPr>
        <w:t>X</w:t>
      </w:r>
      <w:r>
        <w:rPr>
          <w:rFonts w:ascii="Times New Roman"/>
          <w:bCs/>
          <w:sz w:val="24"/>
          <w:szCs w:val="24"/>
          <w:vertAlign w:val="subscript"/>
        </w:rPr>
        <w:t>52</w:t>
      </w:r>
      <w:r>
        <w:rPr>
          <w:rFonts w:ascii="Times New Roman"/>
          <w:bCs/>
          <w:sz w:val="24"/>
          <w:szCs w:val="24"/>
        </w:rPr>
        <w:t>，参考《公路工程施工安全技术规范》（</w:t>
      </w:r>
      <w:r>
        <w:rPr>
          <w:rFonts w:ascii="Times New Roman"/>
          <w:bCs/>
          <w:sz w:val="24"/>
          <w:szCs w:val="24"/>
        </w:rPr>
        <w:t>JTG F90-2015</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NE.Ref.{85422656-0311-4598-B07A-CB9F48213D2B}</w:instrText>
      </w:r>
      <w:r>
        <w:rPr>
          <w:rFonts w:ascii="Times New Roman"/>
          <w:bCs/>
          <w:sz w:val="24"/>
          <w:szCs w:val="24"/>
        </w:rPr>
        <w:fldChar w:fldCharType="separate"/>
      </w:r>
      <w:r>
        <w:rPr>
          <w:rFonts w:ascii="Times New Roman"/>
          <w:color w:val="080000"/>
          <w:sz w:val="24"/>
          <w:szCs w:val="24"/>
          <w:vertAlign w:val="superscript"/>
        </w:rPr>
        <w:t>[57]</w:t>
      </w:r>
      <w:r>
        <w:rPr>
          <w:rFonts w:ascii="Times New Roman"/>
          <w:bCs/>
          <w:sz w:val="24"/>
          <w:szCs w:val="24"/>
        </w:rPr>
        <w:fldChar w:fldCharType="end"/>
      </w:r>
      <w:r>
        <w:rPr>
          <w:rFonts w:ascii="Times New Roman"/>
          <w:bCs/>
          <w:sz w:val="24"/>
          <w:szCs w:val="24"/>
        </w:rPr>
        <w:t>，监控量测包括量测频率、监测项目、信息反馈等内容。全方位监控量测与及时的信息反馈可以有效降低发生风险事件的可能性，监控量测越合理，监测项目越完善，反馈信息越及时，发生风险的可能性越低</w:t>
      </w:r>
      <w:r>
        <w:rPr>
          <w:rFonts w:ascii="Times New Roman"/>
          <w:bCs/>
          <w:sz w:val="24"/>
          <w:szCs w:val="24"/>
        </w:rPr>
        <w:fldChar w:fldCharType="begin"/>
      </w:r>
      <w:r>
        <w:rPr>
          <w:rFonts w:ascii="Times New Roman"/>
          <w:bCs/>
          <w:sz w:val="24"/>
          <w:szCs w:val="24"/>
        </w:rPr>
        <w:instrText xml:space="preserve"> ADDIN NE.Ref.{EC5A1C47-20E0-4351-9EBF-E5BB026C1156}</w:instrText>
      </w:r>
      <w:r>
        <w:rPr>
          <w:rFonts w:ascii="Times New Roman"/>
          <w:bCs/>
          <w:sz w:val="24"/>
          <w:szCs w:val="24"/>
        </w:rPr>
        <w:fldChar w:fldCharType="separate"/>
      </w:r>
      <w:r>
        <w:rPr>
          <w:rFonts w:ascii="Times New Roman"/>
          <w:color w:val="080000"/>
          <w:sz w:val="24"/>
          <w:szCs w:val="24"/>
          <w:vertAlign w:val="superscript"/>
        </w:rPr>
        <w:t>[56]</w:t>
      </w:r>
      <w:r>
        <w:rPr>
          <w:rFonts w:ascii="Times New Roman"/>
          <w:bCs/>
          <w:sz w:val="24"/>
          <w:szCs w:val="24"/>
        </w:rPr>
        <w:fldChar w:fldCharType="end"/>
      </w:r>
      <w:r>
        <w:rPr>
          <w:rFonts w:ascii="Times New Roman"/>
          <w:bCs/>
          <w:sz w:val="24"/>
          <w:szCs w:val="24"/>
        </w:rPr>
        <w:t>。</w:t>
      </w:r>
    </w:p>
    <w:p w:rsidR="0073700B" w:rsidRDefault="001A2FFC">
      <w:pPr>
        <w:pStyle w:val="3"/>
        <w:numPr>
          <w:ilvl w:val="0"/>
          <w:numId w:val="0"/>
        </w:numPr>
        <w:ind w:left="426"/>
        <w:rPr>
          <w:b/>
          <w:bCs w:val="0"/>
        </w:rPr>
      </w:pPr>
      <w:r>
        <w:rPr>
          <w:b/>
          <w:bCs w:val="0"/>
        </w:rPr>
        <w:t xml:space="preserve">18. </w:t>
      </w:r>
      <w:r>
        <w:rPr>
          <w:b/>
          <w:bCs w:val="0"/>
        </w:rPr>
        <w:t>附录</w:t>
      </w:r>
      <w:r>
        <w:rPr>
          <w:b/>
          <w:bCs w:val="0"/>
        </w:rPr>
        <w:t>A.10</w:t>
      </w:r>
      <w:r>
        <w:rPr>
          <w:b/>
          <w:bCs w:val="0"/>
        </w:rPr>
        <w:t>（资料性附录）隧道施工过程大变形风险事件可能性评估指标体系</w:t>
      </w:r>
    </w:p>
    <w:p w:rsidR="0073700B" w:rsidRDefault="001A2FFC" w:rsidP="00F80BAC">
      <w:pPr>
        <w:pStyle w:val="af7"/>
        <w:spacing w:beforeLines="50" w:before="156" w:line="360" w:lineRule="auto"/>
        <w:ind w:firstLine="480"/>
        <w:rPr>
          <w:rFonts w:ascii="Times New Roman"/>
          <w:bCs/>
          <w:sz w:val="24"/>
          <w:szCs w:val="24"/>
        </w:rPr>
      </w:pPr>
      <w:r>
        <w:rPr>
          <w:rFonts w:ascii="Times New Roman"/>
          <w:bCs/>
          <w:sz w:val="24"/>
          <w:szCs w:val="24"/>
        </w:rPr>
        <w:t>根据前期指</w:t>
      </w:r>
      <w:r>
        <w:rPr>
          <w:rFonts w:ascii="Times New Roman"/>
          <w:bCs/>
          <w:sz w:val="24"/>
          <w:szCs w:val="24"/>
        </w:rPr>
        <w:t>南编制小组对国内外隧道大变形事故案例充分研究的成果和广泛征集的行业专家意见，从建设规模、地形特征、地质条件、水文地质条件、施工因素、超前预报与监测等等六个方面建立施工过程大变形事故可能性评估指标体系。建设规模包含了隧道开挖跨度指标，地形特征包含了浅埋隧道偏压角度指标，地质条件包含了围岩级别、断层破碎带宽度、断层破碎带胶结程度、地应力等指标，水文地质条件包含了地下涌水情况指标，施工因素包含了衬砌安全距离、仰拱安全距离等指标，超前预报与监测包含了超前地质预报、相对变形值、监控量测方案等指标。</w:t>
      </w:r>
    </w:p>
    <w:p w:rsidR="0073700B" w:rsidRDefault="001A2FFC" w:rsidP="00F80BAC">
      <w:pPr>
        <w:pStyle w:val="af7"/>
        <w:spacing w:beforeLines="50" w:before="156" w:line="360" w:lineRule="auto"/>
        <w:ind w:firstLine="480"/>
        <w:rPr>
          <w:rFonts w:ascii="Times New Roman"/>
          <w:bCs/>
          <w:sz w:val="24"/>
          <w:szCs w:val="24"/>
          <w:vertAlign w:val="subscript"/>
        </w:rPr>
      </w:pPr>
      <w:r>
        <w:rPr>
          <w:rFonts w:ascii="Times New Roman" w:hint="eastAsia"/>
          <w:bCs/>
          <w:sz w:val="24"/>
          <w:szCs w:val="24"/>
        </w:rPr>
        <w:t>（</w:t>
      </w:r>
      <w:r>
        <w:rPr>
          <w:rFonts w:ascii="Times New Roman" w:hint="eastAsia"/>
          <w:bCs/>
          <w:sz w:val="24"/>
          <w:szCs w:val="24"/>
        </w:rPr>
        <w:t>1</w:t>
      </w:r>
      <w:r>
        <w:rPr>
          <w:rFonts w:ascii="Times New Roman" w:hint="eastAsia"/>
          <w:bCs/>
          <w:sz w:val="24"/>
          <w:szCs w:val="24"/>
        </w:rPr>
        <w:t>）</w:t>
      </w:r>
      <w:r>
        <w:rPr>
          <w:rFonts w:ascii="Times New Roman"/>
          <w:bCs/>
          <w:sz w:val="24"/>
          <w:szCs w:val="24"/>
        </w:rPr>
        <w:t>隧道开挖跨度</w:t>
      </w:r>
      <w:r>
        <w:rPr>
          <w:rFonts w:ascii="Times New Roman"/>
          <w:bCs/>
          <w:i/>
          <w:iCs/>
          <w:sz w:val="24"/>
          <w:szCs w:val="24"/>
        </w:rPr>
        <w:t>X</w:t>
      </w:r>
      <w:r>
        <w:rPr>
          <w:rFonts w:ascii="Times New Roman"/>
          <w:bCs/>
          <w:sz w:val="24"/>
          <w:szCs w:val="24"/>
          <w:vertAlign w:val="subscript"/>
        </w:rPr>
        <w:t>11</w:t>
      </w:r>
      <w:r>
        <w:rPr>
          <w:rFonts w:ascii="Times New Roman"/>
          <w:bCs/>
          <w:sz w:val="24"/>
          <w:szCs w:val="24"/>
        </w:rPr>
        <w:t>，参考《公路隧道施工技术细则》（</w:t>
      </w:r>
      <w:r>
        <w:rPr>
          <w:rFonts w:ascii="Times New Roman"/>
          <w:bCs/>
          <w:sz w:val="24"/>
          <w:szCs w:val="24"/>
        </w:rPr>
        <w:t>JTG/T F60-2009</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NE.Ref.{B902D0B4-8F5C-446D-9D7F-285567F8E9F4}</w:instrText>
      </w:r>
      <w:r>
        <w:rPr>
          <w:rFonts w:ascii="Times New Roman"/>
          <w:bCs/>
          <w:sz w:val="24"/>
          <w:szCs w:val="24"/>
        </w:rPr>
        <w:fldChar w:fldCharType="separate"/>
      </w:r>
      <w:r>
        <w:rPr>
          <w:rFonts w:ascii="Times New Roman"/>
          <w:color w:val="080000"/>
          <w:sz w:val="24"/>
          <w:szCs w:val="24"/>
          <w:vertAlign w:val="superscript"/>
        </w:rPr>
        <w:t>[14]</w:t>
      </w:r>
      <w:r>
        <w:rPr>
          <w:rFonts w:ascii="Times New Roman"/>
          <w:bCs/>
          <w:sz w:val="24"/>
          <w:szCs w:val="24"/>
        </w:rPr>
        <w:fldChar w:fldCharType="end"/>
      </w:r>
      <w:r>
        <w:rPr>
          <w:rFonts w:ascii="Times New Roman"/>
          <w:bCs/>
          <w:sz w:val="24"/>
          <w:szCs w:val="24"/>
        </w:rPr>
        <w:t>，按开挖宽度可将隧道划分为小跨度隧道、中跨度隧道、大跨度隧道、超大跨度隧道。开挖宽度越大，其支护与开挖方式要求越高，发生围岩大变形的风险越高</w:t>
      </w:r>
      <w:r>
        <w:rPr>
          <w:rFonts w:ascii="Times New Roman"/>
          <w:bCs/>
          <w:sz w:val="24"/>
          <w:szCs w:val="24"/>
        </w:rPr>
        <w:fldChar w:fldCharType="begin"/>
      </w:r>
      <w:r>
        <w:rPr>
          <w:rFonts w:ascii="Times New Roman"/>
          <w:bCs/>
          <w:sz w:val="24"/>
          <w:szCs w:val="24"/>
        </w:rPr>
        <w:instrText xml:space="preserve"> ADDIN NE.Ref.{69C84475-2D35-4F52-818D-7C336455CF6D}</w:instrText>
      </w:r>
      <w:r>
        <w:rPr>
          <w:rFonts w:ascii="Times New Roman"/>
          <w:bCs/>
          <w:sz w:val="24"/>
          <w:szCs w:val="24"/>
        </w:rPr>
        <w:fldChar w:fldCharType="separate"/>
      </w:r>
      <w:r>
        <w:rPr>
          <w:rFonts w:ascii="Times New Roman"/>
          <w:color w:val="080000"/>
          <w:sz w:val="24"/>
          <w:szCs w:val="24"/>
          <w:vertAlign w:val="superscript"/>
        </w:rPr>
        <w:t>[41]</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vertAlign w:val="subscript"/>
        </w:rPr>
      </w:pPr>
      <w:r>
        <w:rPr>
          <w:rFonts w:ascii="Times New Roman" w:hint="eastAsia"/>
          <w:bCs/>
          <w:sz w:val="24"/>
          <w:szCs w:val="24"/>
        </w:rPr>
        <w:t>（</w:t>
      </w:r>
      <w:r>
        <w:rPr>
          <w:rFonts w:ascii="Times New Roman" w:hint="eastAsia"/>
          <w:bCs/>
          <w:sz w:val="24"/>
          <w:szCs w:val="24"/>
        </w:rPr>
        <w:t>2</w:t>
      </w:r>
      <w:r>
        <w:rPr>
          <w:rFonts w:ascii="Times New Roman" w:hint="eastAsia"/>
          <w:bCs/>
          <w:sz w:val="24"/>
          <w:szCs w:val="24"/>
        </w:rPr>
        <w:t>）</w:t>
      </w:r>
      <w:r>
        <w:rPr>
          <w:rFonts w:ascii="Times New Roman"/>
          <w:bCs/>
          <w:sz w:val="24"/>
          <w:szCs w:val="24"/>
        </w:rPr>
        <w:t>浅埋隧道偏压角度</w:t>
      </w:r>
      <w:r>
        <w:rPr>
          <w:rFonts w:ascii="Times New Roman"/>
          <w:bCs/>
          <w:i/>
          <w:iCs/>
          <w:sz w:val="24"/>
          <w:szCs w:val="24"/>
        </w:rPr>
        <w:t>X</w:t>
      </w:r>
      <w:r>
        <w:rPr>
          <w:rFonts w:ascii="Times New Roman"/>
          <w:bCs/>
          <w:sz w:val="24"/>
          <w:szCs w:val="24"/>
          <w:vertAlign w:val="subscript"/>
        </w:rPr>
        <w:t>21</w:t>
      </w:r>
      <w:r>
        <w:rPr>
          <w:rFonts w:ascii="Times New Roman"/>
          <w:bCs/>
          <w:sz w:val="24"/>
          <w:szCs w:val="24"/>
        </w:rPr>
        <w:t>，是指垂直于隧道洞口的横剖面与地面的</w:t>
      </w:r>
      <w:r>
        <w:rPr>
          <w:rFonts w:ascii="Times New Roman"/>
          <w:bCs/>
          <w:sz w:val="24"/>
          <w:szCs w:val="24"/>
        </w:rPr>
        <w:t>交线同水平面的夹角。</w:t>
      </w:r>
      <w:r>
        <w:rPr>
          <w:rFonts w:ascii="Times New Roman"/>
          <w:bCs/>
          <w:sz w:val="24"/>
        </w:rPr>
        <w:t>参考《铁路隧道设计规范》（</w:t>
      </w:r>
      <w:r>
        <w:rPr>
          <w:rFonts w:ascii="Times New Roman"/>
          <w:bCs/>
          <w:sz w:val="24"/>
        </w:rPr>
        <w:t>JB 10003-2016</w:t>
      </w:r>
      <w:r>
        <w:rPr>
          <w:rFonts w:ascii="Times New Roman"/>
          <w:bCs/>
          <w:sz w:val="24"/>
        </w:rPr>
        <w:t>）</w:t>
      </w:r>
      <w:r>
        <w:rPr>
          <w:rFonts w:ascii="Times New Roman"/>
          <w:bCs/>
          <w:sz w:val="24"/>
        </w:rPr>
        <w:fldChar w:fldCharType="begin"/>
      </w:r>
      <w:r>
        <w:rPr>
          <w:rFonts w:ascii="Times New Roman"/>
          <w:bCs/>
          <w:sz w:val="24"/>
        </w:rPr>
        <w:instrText xml:space="preserve"> ADDIN NE.Ref.{55958FD8-D4A8-468C-9C6E-D87B8138849F}</w:instrText>
      </w:r>
      <w:r>
        <w:rPr>
          <w:rFonts w:ascii="Times New Roman"/>
          <w:bCs/>
          <w:sz w:val="24"/>
        </w:rPr>
        <w:fldChar w:fldCharType="separate"/>
      </w:r>
      <w:r>
        <w:rPr>
          <w:rFonts w:ascii="Times New Roman"/>
          <w:color w:val="080000"/>
          <w:sz w:val="24"/>
          <w:szCs w:val="24"/>
          <w:vertAlign w:val="superscript"/>
        </w:rPr>
        <w:t>[15]</w:t>
      </w:r>
      <w:r>
        <w:rPr>
          <w:rFonts w:ascii="Times New Roman"/>
          <w:bCs/>
          <w:sz w:val="24"/>
        </w:rPr>
        <w:fldChar w:fldCharType="end"/>
      </w:r>
      <w:r>
        <w:rPr>
          <w:rFonts w:ascii="Times New Roman"/>
          <w:bCs/>
          <w:sz w:val="24"/>
        </w:rPr>
        <w:t>，大多数偏</w:t>
      </w:r>
      <w:r>
        <w:rPr>
          <w:rFonts w:ascii="Times New Roman"/>
          <w:bCs/>
          <w:sz w:val="24"/>
        </w:rPr>
        <w:lastRenderedPageBreak/>
        <w:t>压隧道处于洞口段与浅埋段，地形因素造成的偏压对隧道洞口浅埋段的稳定性影响特别大</w:t>
      </w:r>
      <w:r>
        <w:rPr>
          <w:rFonts w:ascii="Times New Roman"/>
          <w:bCs/>
          <w:sz w:val="24"/>
          <w:szCs w:val="24"/>
        </w:rPr>
        <w:t>，洞身一侧压力过大，极易导致挤压大变形的发生。偏压角度越大，对应的风险等级越高</w:t>
      </w:r>
      <w:r>
        <w:rPr>
          <w:rFonts w:ascii="Times New Roman"/>
          <w:bCs/>
          <w:sz w:val="24"/>
          <w:szCs w:val="24"/>
        </w:rPr>
        <w:fldChar w:fldCharType="begin"/>
      </w:r>
      <w:r>
        <w:rPr>
          <w:rFonts w:ascii="Times New Roman"/>
          <w:bCs/>
          <w:sz w:val="24"/>
          <w:szCs w:val="24"/>
        </w:rPr>
        <w:instrText xml:space="preserve"> ADDIN NE.Ref.{B219FFFF-1A14-4FC0-B29A-8440352ABC1C}</w:instrText>
      </w:r>
      <w:r>
        <w:rPr>
          <w:rFonts w:ascii="Times New Roman"/>
          <w:bCs/>
          <w:sz w:val="24"/>
          <w:szCs w:val="24"/>
        </w:rPr>
        <w:fldChar w:fldCharType="separate"/>
      </w:r>
      <w:r>
        <w:rPr>
          <w:rFonts w:ascii="Times New Roman"/>
          <w:color w:val="080000"/>
          <w:sz w:val="24"/>
          <w:szCs w:val="24"/>
          <w:vertAlign w:val="superscript"/>
        </w:rPr>
        <w:t>[42]</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vertAlign w:val="subscript"/>
        </w:rPr>
      </w:pPr>
      <w:r>
        <w:rPr>
          <w:rFonts w:ascii="Times New Roman" w:hint="eastAsia"/>
          <w:bCs/>
          <w:sz w:val="24"/>
          <w:szCs w:val="24"/>
        </w:rPr>
        <w:t>（</w:t>
      </w:r>
      <w:r>
        <w:rPr>
          <w:rFonts w:ascii="Times New Roman" w:hint="eastAsia"/>
          <w:bCs/>
          <w:sz w:val="24"/>
          <w:szCs w:val="24"/>
        </w:rPr>
        <w:t>3</w:t>
      </w:r>
      <w:r>
        <w:rPr>
          <w:rFonts w:ascii="Times New Roman" w:hint="eastAsia"/>
          <w:bCs/>
          <w:sz w:val="24"/>
          <w:szCs w:val="24"/>
        </w:rPr>
        <w:t>）</w:t>
      </w:r>
      <w:r>
        <w:rPr>
          <w:rFonts w:ascii="Times New Roman"/>
          <w:bCs/>
          <w:sz w:val="24"/>
          <w:szCs w:val="24"/>
        </w:rPr>
        <w:t>围岩级别</w:t>
      </w:r>
      <w:r>
        <w:rPr>
          <w:rFonts w:ascii="Times New Roman"/>
          <w:bCs/>
          <w:sz w:val="24"/>
          <w:szCs w:val="24"/>
        </w:rPr>
        <w:t>([BQ]</w:t>
      </w:r>
      <w:r>
        <w:rPr>
          <w:rFonts w:ascii="Times New Roman"/>
          <w:bCs/>
          <w:sz w:val="24"/>
          <w:szCs w:val="24"/>
        </w:rPr>
        <w:t>值</w:t>
      </w:r>
      <w:r>
        <w:rPr>
          <w:rFonts w:ascii="Times New Roman"/>
          <w:bCs/>
          <w:sz w:val="24"/>
          <w:szCs w:val="24"/>
        </w:rPr>
        <w:t>)</w:t>
      </w:r>
      <w:r>
        <w:rPr>
          <w:rFonts w:ascii="Times New Roman"/>
          <w:bCs/>
          <w:i/>
          <w:iCs/>
          <w:sz w:val="24"/>
          <w:szCs w:val="24"/>
        </w:rPr>
        <w:t>X</w:t>
      </w:r>
      <w:r>
        <w:rPr>
          <w:rFonts w:ascii="Times New Roman"/>
          <w:bCs/>
          <w:sz w:val="24"/>
          <w:szCs w:val="24"/>
          <w:vertAlign w:val="subscript"/>
        </w:rPr>
        <w:t>3</w:t>
      </w:r>
      <w:r>
        <w:rPr>
          <w:rFonts w:ascii="Times New Roman"/>
          <w:bCs/>
          <w:sz w:val="24"/>
          <w:szCs w:val="24"/>
          <w:vertAlign w:val="subscript"/>
        </w:rPr>
        <w:t>1</w:t>
      </w:r>
      <w:r>
        <w:rPr>
          <w:rFonts w:ascii="Times New Roman"/>
          <w:bCs/>
          <w:sz w:val="24"/>
          <w:szCs w:val="24"/>
        </w:rPr>
        <w:t>，参考《工程岩体分级标准》（</w:t>
      </w:r>
      <w:r>
        <w:rPr>
          <w:rFonts w:ascii="Times New Roman"/>
          <w:bCs/>
          <w:sz w:val="24"/>
          <w:szCs w:val="24"/>
        </w:rPr>
        <w:t>GB/T 50218-2014</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NE.Ref.{1834504D-AF07-4564-99A0-705F4780F2A1}</w:instrText>
      </w:r>
      <w:r>
        <w:rPr>
          <w:rFonts w:ascii="Times New Roman"/>
          <w:bCs/>
          <w:sz w:val="24"/>
          <w:szCs w:val="24"/>
        </w:rPr>
        <w:fldChar w:fldCharType="separate"/>
      </w:r>
      <w:r>
        <w:rPr>
          <w:rFonts w:ascii="Times New Roman"/>
          <w:color w:val="080000"/>
          <w:sz w:val="24"/>
          <w:szCs w:val="24"/>
          <w:vertAlign w:val="superscript"/>
        </w:rPr>
        <w:t>[11]</w:t>
      </w:r>
      <w:r>
        <w:rPr>
          <w:rFonts w:ascii="Times New Roman"/>
          <w:bCs/>
          <w:sz w:val="24"/>
          <w:szCs w:val="24"/>
        </w:rPr>
        <w:fldChar w:fldCharType="end"/>
      </w:r>
      <w:r>
        <w:rPr>
          <w:rFonts w:ascii="Times New Roman"/>
          <w:bCs/>
          <w:sz w:val="24"/>
          <w:szCs w:val="24"/>
        </w:rPr>
        <w:t>，结合隧道设计文件，围岩级别越低，变形模量往往越小，相同的应力条件下发生大变形的风险越大，施工作业条件要求也越高。评估过程中，对于同一施工区段内围岩级别不一致的情况，应取低值。</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4</w:t>
      </w:r>
      <w:r>
        <w:rPr>
          <w:rFonts w:ascii="Times New Roman" w:hint="eastAsia"/>
          <w:bCs/>
          <w:sz w:val="24"/>
          <w:szCs w:val="24"/>
        </w:rPr>
        <w:t>）</w:t>
      </w:r>
      <w:r>
        <w:rPr>
          <w:rFonts w:ascii="Times New Roman"/>
          <w:bCs/>
          <w:sz w:val="24"/>
          <w:szCs w:val="24"/>
        </w:rPr>
        <w:t>断层破碎带宽度</w:t>
      </w:r>
      <w:r>
        <w:rPr>
          <w:rFonts w:ascii="Times New Roman"/>
          <w:bCs/>
          <w:i/>
          <w:iCs/>
          <w:sz w:val="24"/>
          <w:szCs w:val="24"/>
        </w:rPr>
        <w:t>X</w:t>
      </w:r>
      <w:r>
        <w:rPr>
          <w:rFonts w:ascii="Times New Roman"/>
          <w:bCs/>
          <w:sz w:val="24"/>
          <w:szCs w:val="24"/>
          <w:vertAlign w:val="subscript"/>
        </w:rPr>
        <w:t>32</w:t>
      </w:r>
      <w:r>
        <w:rPr>
          <w:rFonts w:ascii="Times New Roman"/>
          <w:bCs/>
          <w:sz w:val="24"/>
          <w:szCs w:val="24"/>
        </w:rPr>
        <w:t>，隧道经过断层破碎带的地段地质条件复杂，围岩岩性陡然变差，支护难以及时跟进变化，导致围岩发生较大范围内的变形。隧道穿越的断层破碎带的宽度越大，发生大变形的风险越高。</w:t>
      </w:r>
    </w:p>
    <w:p w:rsidR="0073700B" w:rsidRDefault="001A2FFC" w:rsidP="00F80BAC">
      <w:pPr>
        <w:spacing w:beforeLines="50" w:before="156" w:line="360" w:lineRule="auto"/>
        <w:ind w:firstLineChars="200" w:firstLine="480"/>
        <w:rPr>
          <w:rFonts w:eastAsia="等线"/>
          <w:bCs/>
          <w:sz w:val="24"/>
        </w:rPr>
      </w:pPr>
      <w:r>
        <w:rPr>
          <w:rFonts w:hint="eastAsia"/>
          <w:bCs/>
          <w:sz w:val="24"/>
          <w:szCs w:val="24"/>
        </w:rPr>
        <w:t>（</w:t>
      </w:r>
      <w:r>
        <w:rPr>
          <w:rFonts w:hint="eastAsia"/>
          <w:bCs/>
          <w:sz w:val="24"/>
          <w:szCs w:val="24"/>
        </w:rPr>
        <w:t>5</w:t>
      </w:r>
      <w:r>
        <w:rPr>
          <w:rFonts w:hint="eastAsia"/>
          <w:bCs/>
          <w:sz w:val="24"/>
          <w:szCs w:val="24"/>
        </w:rPr>
        <w:t>）</w:t>
      </w:r>
      <w:r>
        <w:rPr>
          <w:bCs/>
          <w:sz w:val="24"/>
          <w:szCs w:val="24"/>
        </w:rPr>
        <w:t>断层破碎带胶结程度</w:t>
      </w:r>
      <w:r>
        <w:rPr>
          <w:bCs/>
          <w:i/>
          <w:iCs/>
          <w:sz w:val="24"/>
          <w:szCs w:val="24"/>
        </w:rPr>
        <w:t>X</w:t>
      </w:r>
      <w:r>
        <w:rPr>
          <w:bCs/>
          <w:sz w:val="24"/>
          <w:szCs w:val="24"/>
          <w:vertAlign w:val="subscript"/>
        </w:rPr>
        <w:t>33</w:t>
      </w:r>
      <w:r>
        <w:rPr>
          <w:bCs/>
          <w:sz w:val="24"/>
          <w:szCs w:val="24"/>
        </w:rPr>
        <w:t>，</w:t>
      </w:r>
      <w:r>
        <w:rPr>
          <w:bCs/>
          <w:sz w:val="24"/>
        </w:rPr>
        <w:t>本标准将断层破碎带视为岩体碎裂结构，以该结构的胶结程度作为划分依据，胶结程度越差或越松弛的断层破碎带，其潜在的坍塌风险越大</w:t>
      </w:r>
      <w:r>
        <w:rPr>
          <w:bCs/>
          <w:sz w:val="24"/>
        </w:rPr>
        <w:fldChar w:fldCharType="begin"/>
      </w:r>
      <w:r>
        <w:rPr>
          <w:bCs/>
          <w:sz w:val="24"/>
        </w:rPr>
        <w:instrText xml:space="preserve"> ADDIN NE.Ref.{72B582AE-3087-4A94-85E4-5F81FCDF89FB}</w:instrText>
      </w:r>
      <w:r>
        <w:rPr>
          <w:bCs/>
          <w:sz w:val="24"/>
        </w:rPr>
        <w:fldChar w:fldCharType="separate"/>
      </w:r>
      <w:r>
        <w:rPr>
          <w:color w:val="080000"/>
          <w:kern w:val="0"/>
          <w:sz w:val="24"/>
          <w:szCs w:val="24"/>
          <w:vertAlign w:val="superscript"/>
        </w:rPr>
        <w:t>[61]</w:t>
      </w:r>
      <w:r>
        <w:rPr>
          <w:bCs/>
          <w:sz w:val="24"/>
        </w:rPr>
        <w:fldChar w:fldCharType="end"/>
      </w:r>
      <w:r>
        <w:rPr>
          <w:bCs/>
          <w:sz w:val="24"/>
        </w:rPr>
        <w:t>，详细分级见表</w:t>
      </w:r>
      <w:r>
        <w:rPr>
          <w:bCs/>
          <w:sz w:val="24"/>
        </w:rPr>
        <w:t>A-4</w:t>
      </w:r>
      <w:r>
        <w:rPr>
          <w:bCs/>
          <w:sz w:val="24"/>
        </w:rPr>
        <w:t>。</w:t>
      </w:r>
    </w:p>
    <w:p w:rsidR="0073700B" w:rsidRDefault="001A2FFC" w:rsidP="00F80BAC">
      <w:pPr>
        <w:spacing w:beforeLines="50" w:before="156" w:line="360" w:lineRule="auto"/>
        <w:ind w:firstLineChars="200" w:firstLine="480"/>
        <w:rPr>
          <w:rFonts w:eastAsia="等线"/>
          <w:bCs/>
          <w:sz w:val="24"/>
        </w:rPr>
      </w:pPr>
      <w:r>
        <w:rPr>
          <w:rFonts w:hint="eastAsia"/>
          <w:bCs/>
          <w:sz w:val="24"/>
          <w:szCs w:val="24"/>
        </w:rPr>
        <w:t>（</w:t>
      </w:r>
      <w:r>
        <w:rPr>
          <w:rFonts w:hint="eastAsia"/>
          <w:bCs/>
          <w:sz w:val="24"/>
          <w:szCs w:val="24"/>
        </w:rPr>
        <w:t>6</w:t>
      </w:r>
      <w:r>
        <w:rPr>
          <w:rFonts w:hint="eastAsia"/>
          <w:bCs/>
          <w:sz w:val="24"/>
          <w:szCs w:val="24"/>
        </w:rPr>
        <w:t>）</w:t>
      </w:r>
      <w:r>
        <w:rPr>
          <w:bCs/>
          <w:sz w:val="24"/>
          <w:szCs w:val="24"/>
        </w:rPr>
        <w:t>地应力</w:t>
      </w:r>
      <w:r>
        <w:rPr>
          <w:bCs/>
          <w:i/>
          <w:iCs/>
          <w:sz w:val="24"/>
          <w:szCs w:val="24"/>
        </w:rPr>
        <w:t>X</w:t>
      </w:r>
      <w:r>
        <w:rPr>
          <w:bCs/>
          <w:sz w:val="24"/>
          <w:szCs w:val="24"/>
          <w:vertAlign w:val="subscript"/>
        </w:rPr>
        <w:t>34</w:t>
      </w:r>
      <w:r>
        <w:rPr>
          <w:bCs/>
          <w:sz w:val="24"/>
          <w:szCs w:val="24"/>
        </w:rPr>
        <w:t>，主要考虑到高地应力下软岩大变形</w:t>
      </w:r>
      <w:r>
        <w:rPr>
          <w:bCs/>
          <w:sz w:val="24"/>
          <w:szCs w:val="24"/>
        </w:rPr>
        <w:t>。</w:t>
      </w:r>
      <w:r>
        <w:rPr>
          <w:bCs/>
          <w:sz w:val="24"/>
        </w:rPr>
        <w:t>一般来说，隧道埋深越大，围岩初始地应力越大。高地应力状态下，受开挖扰动影响，围岩在集中应力作用下发生显著变形，且变形时间长，甚至在初次及二次支护后仍未稳定，影响隧道施工安全。这种情况下，地应力越大则更容易发生大变形。</w:t>
      </w:r>
    </w:p>
    <w:p w:rsidR="0073700B" w:rsidRDefault="001A2FFC" w:rsidP="00F80BAC">
      <w:pPr>
        <w:pStyle w:val="af7"/>
        <w:spacing w:beforeLines="50" w:before="156" w:line="360" w:lineRule="auto"/>
        <w:ind w:firstLine="480"/>
        <w:rPr>
          <w:rFonts w:ascii="Times New Roman"/>
          <w:bCs/>
          <w:sz w:val="24"/>
          <w:szCs w:val="24"/>
          <w:vertAlign w:val="subscript"/>
        </w:rPr>
      </w:pPr>
      <w:r>
        <w:rPr>
          <w:rFonts w:ascii="Times New Roman" w:hint="eastAsia"/>
          <w:bCs/>
          <w:sz w:val="24"/>
          <w:szCs w:val="24"/>
        </w:rPr>
        <w:t>（</w:t>
      </w:r>
      <w:r>
        <w:rPr>
          <w:rFonts w:ascii="Times New Roman" w:hint="eastAsia"/>
          <w:bCs/>
          <w:sz w:val="24"/>
          <w:szCs w:val="24"/>
        </w:rPr>
        <w:t>7</w:t>
      </w:r>
      <w:r>
        <w:rPr>
          <w:rFonts w:ascii="Times New Roman" w:hint="eastAsia"/>
          <w:bCs/>
          <w:sz w:val="24"/>
          <w:szCs w:val="24"/>
        </w:rPr>
        <w:t>）</w:t>
      </w:r>
      <w:r>
        <w:rPr>
          <w:rFonts w:ascii="Times New Roman"/>
          <w:bCs/>
          <w:sz w:val="24"/>
          <w:szCs w:val="24"/>
        </w:rPr>
        <w:t>地下涌水情况</w:t>
      </w:r>
      <w:r>
        <w:rPr>
          <w:rFonts w:ascii="Times New Roman"/>
          <w:bCs/>
          <w:i/>
          <w:iCs/>
          <w:sz w:val="24"/>
          <w:szCs w:val="24"/>
        </w:rPr>
        <w:t>X</w:t>
      </w:r>
      <w:r>
        <w:rPr>
          <w:rFonts w:ascii="Times New Roman"/>
          <w:bCs/>
          <w:sz w:val="24"/>
          <w:szCs w:val="24"/>
          <w:vertAlign w:val="subscript"/>
        </w:rPr>
        <w:t>41</w:t>
      </w:r>
      <w:r>
        <w:rPr>
          <w:rFonts w:ascii="Times New Roman"/>
          <w:bCs/>
          <w:sz w:val="24"/>
          <w:szCs w:val="24"/>
        </w:rPr>
        <w:t>，参考表</w:t>
      </w:r>
      <w:r>
        <w:rPr>
          <w:rFonts w:ascii="Times New Roman"/>
          <w:bCs/>
          <w:sz w:val="24"/>
          <w:szCs w:val="24"/>
        </w:rPr>
        <w:t>A-5</w:t>
      </w:r>
      <w:r>
        <w:rPr>
          <w:rFonts w:ascii="Times New Roman"/>
          <w:bCs/>
          <w:sz w:val="24"/>
          <w:szCs w:val="24"/>
        </w:rPr>
        <w:t>中规范，采用</w:t>
      </w:r>
      <w:r>
        <w:rPr>
          <w:rFonts w:ascii="Times New Roman"/>
          <w:bCs/>
          <w:sz w:val="24"/>
          <w:szCs w:val="24"/>
        </w:rPr>
        <w:t>10m</w:t>
      </w:r>
      <w:r>
        <w:rPr>
          <w:rFonts w:ascii="Times New Roman"/>
          <w:bCs/>
          <w:sz w:val="24"/>
          <w:szCs w:val="24"/>
        </w:rPr>
        <w:t>洞长渗水量定量描述隧道围岩出水状况，可分为干燥或潮湿状态、点滴状出水、线状流水及涌水状态，根据现场调查情况确定，隧道中每</w:t>
      </w:r>
      <w:r>
        <w:rPr>
          <w:rFonts w:ascii="Times New Roman"/>
          <w:bCs/>
          <w:sz w:val="24"/>
          <w:szCs w:val="24"/>
        </w:rPr>
        <w:t>10m</w:t>
      </w:r>
      <w:r>
        <w:rPr>
          <w:rFonts w:ascii="Times New Roman"/>
          <w:bCs/>
          <w:sz w:val="24"/>
          <w:szCs w:val="24"/>
        </w:rPr>
        <w:t>长段涌水量</w:t>
      </w:r>
      <w:r>
        <w:rPr>
          <w:rFonts w:ascii="Times New Roman"/>
          <w:bCs/>
          <w:sz w:val="24"/>
          <w:szCs w:val="24"/>
        </w:rPr>
        <w:t>=</w:t>
      </w:r>
      <w:r>
        <w:rPr>
          <w:rFonts w:ascii="Times New Roman"/>
          <w:bCs/>
          <w:sz w:val="24"/>
          <w:szCs w:val="24"/>
        </w:rPr>
        <w:t>隧道二衬至掌子面总出水量</w:t>
      </w:r>
      <w:r>
        <w:rPr>
          <w:rFonts w:ascii="Times New Roman"/>
          <w:bCs/>
          <w:sz w:val="24"/>
          <w:szCs w:val="24"/>
        </w:rPr>
        <w:sym w:font="Symbol" w:char="F0B8"/>
      </w:r>
      <w:r>
        <w:rPr>
          <w:rFonts w:ascii="Times New Roman"/>
          <w:bCs/>
          <w:sz w:val="24"/>
          <w:szCs w:val="24"/>
        </w:rPr>
        <w:t>掌子面距二衬距离的长度</w:t>
      </w:r>
      <w:r>
        <w:rPr>
          <w:rFonts w:ascii="Times New Roman"/>
          <w:bCs/>
          <w:sz w:val="24"/>
          <w:szCs w:val="24"/>
        </w:rPr>
        <w:sym w:font="Symbol" w:char="F0B4"/>
      </w:r>
      <w:r>
        <w:rPr>
          <w:rFonts w:ascii="Times New Roman"/>
          <w:bCs/>
          <w:sz w:val="24"/>
          <w:szCs w:val="24"/>
        </w:rPr>
        <w:t>10</w:t>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8</w:t>
      </w:r>
      <w:r>
        <w:rPr>
          <w:rFonts w:ascii="Times New Roman" w:hint="eastAsia"/>
          <w:bCs/>
          <w:sz w:val="24"/>
          <w:szCs w:val="24"/>
        </w:rPr>
        <w:t>）</w:t>
      </w:r>
      <w:r>
        <w:rPr>
          <w:rFonts w:ascii="Times New Roman"/>
          <w:bCs/>
          <w:sz w:val="24"/>
          <w:szCs w:val="24"/>
        </w:rPr>
        <w:t>衬砌安全距离</w:t>
      </w:r>
      <w:r>
        <w:rPr>
          <w:rFonts w:ascii="Times New Roman"/>
          <w:bCs/>
          <w:i/>
          <w:iCs/>
          <w:sz w:val="24"/>
          <w:szCs w:val="24"/>
        </w:rPr>
        <w:t>X</w:t>
      </w:r>
      <w:r>
        <w:rPr>
          <w:rFonts w:ascii="Times New Roman"/>
          <w:bCs/>
          <w:sz w:val="24"/>
          <w:szCs w:val="24"/>
          <w:vertAlign w:val="subscript"/>
        </w:rPr>
        <w:t>51</w:t>
      </w:r>
      <w:r>
        <w:rPr>
          <w:rFonts w:ascii="Times New Roman"/>
          <w:bCs/>
          <w:sz w:val="24"/>
          <w:szCs w:val="24"/>
        </w:rPr>
        <w:fldChar w:fldCharType="begin"/>
      </w:r>
      <w:r>
        <w:rPr>
          <w:rFonts w:ascii="Times New Roman"/>
          <w:bCs/>
          <w:sz w:val="24"/>
          <w:szCs w:val="24"/>
        </w:rPr>
        <w:instrText xml:space="preserve"> ADDIN N</w:instrText>
      </w:r>
      <w:r>
        <w:rPr>
          <w:rFonts w:ascii="Times New Roman"/>
          <w:bCs/>
          <w:sz w:val="24"/>
          <w:szCs w:val="24"/>
        </w:rPr>
        <w:instrText>E.Ref.{C12F44B6-1CED-4F79-9D9A-F3E6773053D8}</w:instrText>
      </w:r>
      <w:r>
        <w:rPr>
          <w:rFonts w:ascii="Times New Roman"/>
          <w:bCs/>
          <w:sz w:val="24"/>
          <w:szCs w:val="24"/>
        </w:rPr>
        <w:fldChar w:fldCharType="separate"/>
      </w:r>
      <w:r>
        <w:rPr>
          <w:rFonts w:ascii="Times New Roman"/>
          <w:color w:val="080000"/>
          <w:sz w:val="24"/>
          <w:szCs w:val="24"/>
          <w:vertAlign w:val="superscript"/>
        </w:rPr>
        <w:t>[66]</w:t>
      </w:r>
      <w:r>
        <w:rPr>
          <w:rFonts w:ascii="Times New Roman"/>
          <w:bCs/>
          <w:sz w:val="24"/>
          <w:szCs w:val="24"/>
        </w:rPr>
        <w:fldChar w:fldCharType="end"/>
      </w:r>
      <w:r>
        <w:rPr>
          <w:rFonts w:ascii="Times New Roman"/>
          <w:bCs/>
          <w:sz w:val="24"/>
          <w:szCs w:val="24"/>
        </w:rPr>
        <w:t>，参考《公路工程施工安全技术规范》（</w:t>
      </w:r>
      <w:r>
        <w:rPr>
          <w:rFonts w:ascii="Times New Roman"/>
          <w:bCs/>
          <w:sz w:val="24"/>
          <w:szCs w:val="24"/>
        </w:rPr>
        <w:t>JTG F90-2015</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NE.Ref.{1B21D242-0F12-4743-B462-CCF0CB262C47}</w:instrText>
      </w:r>
      <w:r>
        <w:rPr>
          <w:rFonts w:ascii="Times New Roman"/>
          <w:bCs/>
          <w:sz w:val="24"/>
          <w:szCs w:val="24"/>
        </w:rPr>
        <w:fldChar w:fldCharType="separate"/>
      </w:r>
      <w:r>
        <w:rPr>
          <w:rFonts w:ascii="Times New Roman"/>
          <w:color w:val="080000"/>
          <w:sz w:val="24"/>
          <w:szCs w:val="24"/>
          <w:vertAlign w:val="superscript"/>
        </w:rPr>
        <w:t>[57]</w:t>
      </w:r>
      <w:r>
        <w:rPr>
          <w:rFonts w:ascii="Times New Roman"/>
          <w:bCs/>
          <w:sz w:val="24"/>
          <w:szCs w:val="24"/>
        </w:rPr>
        <w:fldChar w:fldCharType="end"/>
      </w:r>
      <w:r>
        <w:rPr>
          <w:rFonts w:ascii="Times New Roman"/>
          <w:bCs/>
          <w:sz w:val="24"/>
          <w:szCs w:val="24"/>
        </w:rPr>
        <w:t>，</w:t>
      </w:r>
      <w:r>
        <w:rPr>
          <w:rFonts w:hAnsi="宋体" w:cs="宋体" w:hint="eastAsia"/>
          <w:bCs/>
          <w:sz w:val="24"/>
          <w:szCs w:val="24"/>
        </w:rPr>
        <w:t>Ⅳ</w:t>
      </w:r>
      <w:r>
        <w:rPr>
          <w:rFonts w:ascii="Times New Roman"/>
          <w:bCs/>
          <w:sz w:val="24"/>
          <w:szCs w:val="24"/>
        </w:rPr>
        <w:t>级围岩二次衬砌距掌子面的距离不得大于</w:t>
      </w:r>
      <w:r>
        <w:rPr>
          <w:rFonts w:ascii="Times New Roman"/>
          <w:bCs/>
          <w:sz w:val="24"/>
          <w:szCs w:val="24"/>
        </w:rPr>
        <w:t>90m</w:t>
      </w:r>
      <w:r>
        <w:rPr>
          <w:rFonts w:ascii="Times New Roman"/>
          <w:bCs/>
          <w:sz w:val="24"/>
          <w:szCs w:val="24"/>
        </w:rPr>
        <w:t>，</w:t>
      </w:r>
      <w:r>
        <w:rPr>
          <w:rFonts w:hAnsi="宋体" w:cs="宋体" w:hint="eastAsia"/>
          <w:bCs/>
          <w:sz w:val="24"/>
          <w:szCs w:val="24"/>
        </w:rPr>
        <w:t>Ⅴ</w:t>
      </w:r>
      <w:r>
        <w:rPr>
          <w:rFonts w:ascii="Times New Roman"/>
          <w:bCs/>
          <w:sz w:val="24"/>
          <w:szCs w:val="24"/>
        </w:rPr>
        <w:t>级及以上围岩不得大于</w:t>
      </w:r>
      <w:r>
        <w:rPr>
          <w:rFonts w:ascii="Times New Roman"/>
          <w:bCs/>
          <w:sz w:val="24"/>
          <w:szCs w:val="24"/>
        </w:rPr>
        <w:t>70m</w:t>
      </w:r>
      <w:r>
        <w:rPr>
          <w:rFonts w:ascii="Times New Roman"/>
          <w:bCs/>
          <w:sz w:val="24"/>
          <w:szCs w:val="24"/>
        </w:rPr>
        <w:t>，软弱围岩及不良地质隧道的二衬衬砌应及时施作。</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9</w:t>
      </w:r>
      <w:r>
        <w:rPr>
          <w:rFonts w:ascii="Times New Roman" w:hint="eastAsia"/>
          <w:bCs/>
          <w:sz w:val="24"/>
          <w:szCs w:val="24"/>
        </w:rPr>
        <w:t>）</w:t>
      </w:r>
      <w:r>
        <w:rPr>
          <w:rFonts w:ascii="Times New Roman"/>
          <w:bCs/>
          <w:sz w:val="24"/>
          <w:szCs w:val="24"/>
        </w:rPr>
        <w:t>仰拱安全距离</w:t>
      </w:r>
      <w:r>
        <w:rPr>
          <w:rFonts w:ascii="Times New Roman"/>
          <w:bCs/>
          <w:i/>
          <w:iCs/>
          <w:sz w:val="24"/>
          <w:szCs w:val="24"/>
        </w:rPr>
        <w:t>X</w:t>
      </w:r>
      <w:r>
        <w:rPr>
          <w:rFonts w:ascii="Times New Roman"/>
          <w:bCs/>
          <w:sz w:val="24"/>
          <w:szCs w:val="24"/>
          <w:vertAlign w:val="subscript"/>
        </w:rPr>
        <w:t>52</w:t>
      </w:r>
      <w:r>
        <w:rPr>
          <w:rFonts w:ascii="Times New Roman"/>
          <w:bCs/>
          <w:sz w:val="24"/>
          <w:szCs w:val="24"/>
        </w:rPr>
        <w:t>，参考《公路工程施工安全技术规范》（</w:t>
      </w:r>
      <w:r>
        <w:rPr>
          <w:rFonts w:ascii="Times New Roman"/>
          <w:bCs/>
          <w:sz w:val="24"/>
          <w:szCs w:val="24"/>
        </w:rPr>
        <w:t>JTG F90-2015</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NE.Ref.{44A0F749-2CCD-471C-BAC6-EFF611F481CE}</w:instrText>
      </w:r>
      <w:r>
        <w:rPr>
          <w:rFonts w:ascii="Times New Roman"/>
          <w:bCs/>
          <w:sz w:val="24"/>
          <w:szCs w:val="24"/>
        </w:rPr>
        <w:fldChar w:fldCharType="separate"/>
      </w:r>
      <w:r>
        <w:rPr>
          <w:rFonts w:ascii="Times New Roman"/>
          <w:color w:val="080000"/>
          <w:sz w:val="24"/>
          <w:szCs w:val="24"/>
          <w:vertAlign w:val="superscript"/>
        </w:rPr>
        <w:t>[57]</w:t>
      </w:r>
      <w:r>
        <w:rPr>
          <w:rFonts w:ascii="Times New Roman"/>
          <w:bCs/>
          <w:sz w:val="24"/>
          <w:szCs w:val="24"/>
        </w:rPr>
        <w:fldChar w:fldCharType="end"/>
      </w:r>
      <w:r>
        <w:rPr>
          <w:rFonts w:ascii="Times New Roman"/>
          <w:bCs/>
          <w:sz w:val="24"/>
          <w:szCs w:val="24"/>
        </w:rPr>
        <w:t>，仰拱开挖施工应符合相关规定：</w:t>
      </w:r>
      <w:r>
        <w:rPr>
          <w:rFonts w:hAnsi="宋体" w:cs="宋体" w:hint="eastAsia"/>
          <w:bCs/>
          <w:sz w:val="24"/>
          <w:szCs w:val="24"/>
        </w:rPr>
        <w:t>Ⅳ</w:t>
      </w:r>
      <w:r>
        <w:rPr>
          <w:rFonts w:ascii="Times New Roman"/>
          <w:bCs/>
          <w:sz w:val="24"/>
          <w:szCs w:val="24"/>
        </w:rPr>
        <w:t>级及以上围岩仰拱每循环开挖长度不得</w:t>
      </w:r>
      <w:r>
        <w:rPr>
          <w:rFonts w:ascii="Times New Roman"/>
          <w:bCs/>
          <w:sz w:val="24"/>
          <w:szCs w:val="24"/>
        </w:rPr>
        <w:lastRenderedPageBreak/>
        <w:t>大于</w:t>
      </w:r>
      <w:r>
        <w:rPr>
          <w:rFonts w:ascii="Times New Roman"/>
          <w:bCs/>
          <w:sz w:val="24"/>
          <w:szCs w:val="24"/>
        </w:rPr>
        <w:t>3m</w:t>
      </w:r>
      <w:r>
        <w:rPr>
          <w:rFonts w:ascii="Times New Roman"/>
          <w:bCs/>
          <w:sz w:val="24"/>
          <w:szCs w:val="24"/>
        </w:rPr>
        <w:t>，不得分幅施作，仰拱与掌子面的距离，</w:t>
      </w:r>
      <w:r>
        <w:rPr>
          <w:rFonts w:hAnsi="宋体" w:cs="宋体" w:hint="eastAsia"/>
          <w:bCs/>
          <w:sz w:val="24"/>
          <w:szCs w:val="24"/>
        </w:rPr>
        <w:t>Ⅲ</w:t>
      </w:r>
      <w:r>
        <w:rPr>
          <w:rFonts w:ascii="Times New Roman"/>
          <w:bCs/>
          <w:sz w:val="24"/>
          <w:szCs w:val="24"/>
        </w:rPr>
        <w:t>级围岩不得超过</w:t>
      </w:r>
      <w:r>
        <w:rPr>
          <w:rFonts w:ascii="Times New Roman"/>
          <w:bCs/>
          <w:sz w:val="24"/>
          <w:szCs w:val="24"/>
        </w:rPr>
        <w:t>90m</w:t>
      </w:r>
      <w:r>
        <w:rPr>
          <w:rFonts w:ascii="Times New Roman"/>
          <w:bCs/>
          <w:sz w:val="24"/>
          <w:szCs w:val="24"/>
        </w:rPr>
        <w:t>，</w:t>
      </w:r>
      <w:r>
        <w:rPr>
          <w:rFonts w:hAnsi="宋体" w:cs="宋体" w:hint="eastAsia"/>
          <w:bCs/>
          <w:sz w:val="24"/>
          <w:szCs w:val="24"/>
        </w:rPr>
        <w:t>Ⅳ</w:t>
      </w:r>
      <w:r>
        <w:rPr>
          <w:rFonts w:ascii="Times New Roman"/>
          <w:bCs/>
          <w:sz w:val="24"/>
          <w:szCs w:val="24"/>
        </w:rPr>
        <w:t>级围岩不得超过</w:t>
      </w:r>
      <w:r>
        <w:rPr>
          <w:rFonts w:ascii="Times New Roman"/>
          <w:bCs/>
          <w:sz w:val="24"/>
          <w:szCs w:val="24"/>
        </w:rPr>
        <w:t>50m</w:t>
      </w:r>
      <w:r>
        <w:rPr>
          <w:rFonts w:ascii="Times New Roman"/>
          <w:bCs/>
          <w:sz w:val="24"/>
          <w:szCs w:val="24"/>
        </w:rPr>
        <w:t>，</w:t>
      </w:r>
      <w:r>
        <w:rPr>
          <w:rFonts w:hAnsi="宋体" w:cs="宋体" w:hint="eastAsia"/>
          <w:bCs/>
          <w:sz w:val="24"/>
          <w:szCs w:val="24"/>
        </w:rPr>
        <w:t>Ⅴ</w:t>
      </w:r>
      <w:r>
        <w:rPr>
          <w:rFonts w:ascii="Times New Roman"/>
          <w:bCs/>
          <w:sz w:val="24"/>
          <w:szCs w:val="24"/>
        </w:rPr>
        <w:t>级及以上围岩不得超过</w:t>
      </w:r>
      <w:r>
        <w:rPr>
          <w:rFonts w:ascii="Times New Roman"/>
          <w:bCs/>
          <w:sz w:val="24"/>
          <w:szCs w:val="24"/>
        </w:rPr>
        <w:t>40m</w:t>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10</w:t>
      </w:r>
      <w:r>
        <w:rPr>
          <w:rFonts w:ascii="Times New Roman" w:hint="eastAsia"/>
          <w:bCs/>
          <w:sz w:val="24"/>
          <w:szCs w:val="24"/>
        </w:rPr>
        <w:t>）</w:t>
      </w:r>
      <w:r>
        <w:rPr>
          <w:rFonts w:ascii="Times New Roman"/>
          <w:bCs/>
          <w:sz w:val="24"/>
          <w:szCs w:val="24"/>
        </w:rPr>
        <w:t>超前地质预报</w:t>
      </w:r>
      <w:r>
        <w:rPr>
          <w:rFonts w:ascii="Times New Roman"/>
          <w:bCs/>
          <w:i/>
          <w:iCs/>
          <w:sz w:val="24"/>
          <w:szCs w:val="24"/>
        </w:rPr>
        <w:t>X</w:t>
      </w:r>
      <w:r>
        <w:rPr>
          <w:rFonts w:ascii="Times New Roman"/>
          <w:bCs/>
          <w:sz w:val="24"/>
          <w:szCs w:val="24"/>
          <w:vertAlign w:val="subscript"/>
        </w:rPr>
        <w:t>61</w:t>
      </w:r>
      <w:r>
        <w:rPr>
          <w:rFonts w:ascii="Times New Roman"/>
          <w:bCs/>
          <w:sz w:val="24"/>
          <w:szCs w:val="24"/>
        </w:rPr>
        <w:t>，参考《铁路超前地质预报技术指南》（铁建设</w:t>
      </w:r>
      <w:r>
        <w:rPr>
          <w:rFonts w:ascii="Times New Roman"/>
          <w:bCs/>
          <w:sz w:val="24"/>
          <w:szCs w:val="24"/>
        </w:rPr>
        <w:t xml:space="preserve"> [2008] 105</w:t>
      </w:r>
      <w:r>
        <w:rPr>
          <w:rFonts w:ascii="Times New Roman"/>
          <w:bCs/>
          <w:sz w:val="24"/>
          <w:szCs w:val="24"/>
        </w:rPr>
        <w:t>号）</w:t>
      </w:r>
      <w:r>
        <w:rPr>
          <w:rFonts w:ascii="Times New Roman"/>
          <w:bCs/>
          <w:sz w:val="24"/>
          <w:szCs w:val="24"/>
        </w:rPr>
        <w:fldChar w:fldCharType="begin"/>
      </w:r>
      <w:r>
        <w:rPr>
          <w:rFonts w:ascii="Times New Roman"/>
          <w:bCs/>
          <w:sz w:val="24"/>
          <w:szCs w:val="24"/>
        </w:rPr>
        <w:instrText xml:space="preserve"> ADDIN NE.Ref.{14BCB053-946D-4CA2-843C-A5CB26FCF9D3}</w:instrText>
      </w:r>
      <w:r>
        <w:rPr>
          <w:rFonts w:ascii="Times New Roman"/>
          <w:bCs/>
          <w:sz w:val="24"/>
          <w:szCs w:val="24"/>
        </w:rPr>
        <w:fldChar w:fldCharType="separate"/>
      </w:r>
      <w:r>
        <w:rPr>
          <w:rFonts w:ascii="Times New Roman"/>
          <w:color w:val="080000"/>
          <w:sz w:val="24"/>
          <w:szCs w:val="24"/>
          <w:vertAlign w:val="superscript"/>
        </w:rPr>
        <w:t>[63</w:t>
      </w:r>
      <w:r>
        <w:rPr>
          <w:rFonts w:ascii="Times New Roman"/>
          <w:color w:val="080000"/>
          <w:sz w:val="24"/>
          <w:szCs w:val="24"/>
          <w:vertAlign w:val="superscript"/>
        </w:rPr>
        <w:t>]</w:t>
      </w:r>
      <w:r>
        <w:rPr>
          <w:rFonts w:ascii="Times New Roman"/>
          <w:bCs/>
          <w:sz w:val="24"/>
          <w:szCs w:val="24"/>
        </w:rPr>
        <w:fldChar w:fldCharType="end"/>
      </w:r>
      <w:r>
        <w:rPr>
          <w:rFonts w:ascii="Times New Roman"/>
          <w:bCs/>
          <w:sz w:val="24"/>
          <w:szCs w:val="24"/>
        </w:rPr>
        <w:t>超前地质预报应根据不同的地质复杂程度分级，针对不同的地质问题，选择不同的方法和手段进行，并贯穿于施工全过程。评估过程中，应根据超前测量反馈情况，合理进行打分。</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11</w:t>
      </w:r>
      <w:r>
        <w:rPr>
          <w:rFonts w:ascii="Times New Roman" w:hint="eastAsia"/>
          <w:bCs/>
          <w:sz w:val="24"/>
          <w:szCs w:val="24"/>
        </w:rPr>
        <w:t>）</w:t>
      </w:r>
      <w:r>
        <w:rPr>
          <w:rFonts w:ascii="Times New Roman"/>
          <w:bCs/>
          <w:sz w:val="24"/>
          <w:szCs w:val="24"/>
        </w:rPr>
        <w:t>相对变形值</w:t>
      </w:r>
      <w:r>
        <w:rPr>
          <w:rFonts w:ascii="Times New Roman"/>
          <w:bCs/>
          <w:sz w:val="24"/>
          <w:szCs w:val="24"/>
        </w:rPr>
        <w:t>(</w:t>
      </w:r>
      <w:r>
        <w:rPr>
          <w:rFonts w:ascii="Times New Roman"/>
          <w:bCs/>
          <w:i/>
          <w:iCs/>
          <w:sz w:val="24"/>
          <w:szCs w:val="24"/>
        </w:rPr>
        <w:t>u/B) X</w:t>
      </w:r>
      <w:r>
        <w:rPr>
          <w:rFonts w:ascii="Times New Roman"/>
          <w:bCs/>
          <w:sz w:val="24"/>
          <w:szCs w:val="24"/>
          <w:vertAlign w:val="subscript"/>
        </w:rPr>
        <w:t>62</w:t>
      </w:r>
      <w:r>
        <w:rPr>
          <w:rFonts w:ascii="Times New Roman"/>
          <w:bCs/>
          <w:sz w:val="24"/>
          <w:szCs w:val="24"/>
        </w:rPr>
        <w:t>，参考《铁路隧道设计规范》（</w:t>
      </w:r>
      <w:r>
        <w:rPr>
          <w:rFonts w:ascii="Times New Roman"/>
          <w:bCs/>
          <w:sz w:val="24"/>
          <w:szCs w:val="24"/>
        </w:rPr>
        <w:t>TB 10003-2016</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NE.Ref.{8EB84455-68A7-4B4E-8705-E5C27122C4D6}</w:instrText>
      </w:r>
      <w:r>
        <w:rPr>
          <w:rFonts w:ascii="Times New Roman"/>
          <w:bCs/>
          <w:sz w:val="24"/>
          <w:szCs w:val="24"/>
        </w:rPr>
        <w:fldChar w:fldCharType="separate"/>
      </w:r>
      <w:r>
        <w:rPr>
          <w:rFonts w:ascii="Times New Roman"/>
          <w:color w:val="080000"/>
          <w:sz w:val="24"/>
          <w:szCs w:val="24"/>
          <w:vertAlign w:val="superscript"/>
        </w:rPr>
        <w:t>[15]</w:t>
      </w:r>
      <w:r>
        <w:rPr>
          <w:rFonts w:ascii="Times New Roman"/>
          <w:bCs/>
          <w:sz w:val="24"/>
          <w:szCs w:val="24"/>
        </w:rPr>
        <w:fldChar w:fldCharType="end"/>
      </w:r>
      <w:r>
        <w:rPr>
          <w:rFonts w:ascii="Times New Roman"/>
          <w:bCs/>
          <w:sz w:val="24"/>
          <w:szCs w:val="24"/>
        </w:rPr>
        <w:t>，隧道开挖后，围岩表面因开挖扰动作用会产生部分变形，相对变形值即为变形量</w:t>
      </w:r>
      <w:r>
        <w:rPr>
          <w:rFonts w:ascii="Times New Roman"/>
          <w:bCs/>
          <w:i/>
          <w:iCs/>
          <w:sz w:val="24"/>
          <w:szCs w:val="24"/>
        </w:rPr>
        <w:t>u</w:t>
      </w:r>
      <w:r>
        <w:rPr>
          <w:rFonts w:ascii="Times New Roman"/>
          <w:bCs/>
          <w:sz w:val="24"/>
          <w:szCs w:val="24"/>
        </w:rPr>
        <w:t>与隧道等效半径</w:t>
      </w:r>
      <w:r>
        <w:rPr>
          <w:rFonts w:ascii="Times New Roman"/>
          <w:bCs/>
          <w:i/>
          <w:iCs/>
          <w:sz w:val="24"/>
          <w:szCs w:val="24"/>
        </w:rPr>
        <w:t>B</w:t>
      </w:r>
      <w:r>
        <w:rPr>
          <w:rFonts w:ascii="Times New Roman"/>
          <w:bCs/>
          <w:sz w:val="24"/>
          <w:szCs w:val="24"/>
        </w:rPr>
        <w:t>之比</w:t>
      </w:r>
      <w:r>
        <w:rPr>
          <w:rFonts w:ascii="Times New Roman"/>
          <w:bCs/>
          <w:sz w:val="24"/>
          <w:szCs w:val="24"/>
        </w:rPr>
        <w:fldChar w:fldCharType="begin"/>
      </w:r>
      <w:r>
        <w:rPr>
          <w:rFonts w:ascii="Times New Roman"/>
          <w:bCs/>
          <w:sz w:val="24"/>
          <w:szCs w:val="24"/>
        </w:rPr>
        <w:instrText xml:space="preserve"> ADDIN NE.Ref.{94C32</w:instrText>
      </w:r>
      <w:r>
        <w:rPr>
          <w:rFonts w:ascii="Times New Roman"/>
          <w:bCs/>
          <w:sz w:val="24"/>
          <w:szCs w:val="24"/>
        </w:rPr>
        <w:instrText>C02-BF35-42F2-82BA-72E1B8939B4D}</w:instrText>
      </w:r>
      <w:r>
        <w:rPr>
          <w:rFonts w:ascii="Times New Roman"/>
          <w:bCs/>
          <w:sz w:val="24"/>
          <w:szCs w:val="24"/>
        </w:rPr>
        <w:fldChar w:fldCharType="separate"/>
      </w:r>
      <w:r>
        <w:rPr>
          <w:rFonts w:ascii="Times New Roman"/>
          <w:color w:val="080000"/>
          <w:sz w:val="24"/>
          <w:szCs w:val="24"/>
          <w:vertAlign w:val="superscript"/>
        </w:rPr>
        <w:t>[67]</w:t>
      </w:r>
      <w:r>
        <w:rPr>
          <w:rFonts w:ascii="Times New Roman"/>
          <w:bCs/>
          <w:sz w:val="24"/>
          <w:szCs w:val="24"/>
        </w:rPr>
        <w:fldChar w:fldCharType="end"/>
      </w:r>
      <w:r>
        <w:rPr>
          <w:rFonts w:ascii="Times New Roman"/>
          <w:bCs/>
          <w:sz w:val="24"/>
          <w:szCs w:val="24"/>
        </w:rPr>
        <w:t>，评估时按照就高原则，选取评估区段内变形量最大的断面，相对变形值越大，则风险越大。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12</w:t>
      </w:r>
      <w:r>
        <w:rPr>
          <w:rFonts w:ascii="Times New Roman" w:hint="eastAsia"/>
          <w:bCs/>
          <w:sz w:val="24"/>
          <w:szCs w:val="24"/>
        </w:rPr>
        <w:t>）</w:t>
      </w:r>
      <w:r>
        <w:rPr>
          <w:rFonts w:ascii="Times New Roman"/>
          <w:bCs/>
          <w:sz w:val="24"/>
          <w:szCs w:val="24"/>
        </w:rPr>
        <w:t>监控量测方案</w:t>
      </w:r>
      <w:r>
        <w:rPr>
          <w:rFonts w:ascii="Times New Roman"/>
          <w:bCs/>
          <w:i/>
          <w:iCs/>
          <w:sz w:val="24"/>
          <w:szCs w:val="24"/>
        </w:rPr>
        <w:t>X</w:t>
      </w:r>
      <w:r>
        <w:rPr>
          <w:rFonts w:ascii="Times New Roman"/>
          <w:bCs/>
          <w:sz w:val="24"/>
          <w:szCs w:val="24"/>
          <w:vertAlign w:val="subscript"/>
        </w:rPr>
        <w:t>63</w:t>
      </w:r>
      <w:r>
        <w:rPr>
          <w:rFonts w:ascii="Times New Roman"/>
          <w:bCs/>
          <w:sz w:val="24"/>
          <w:szCs w:val="24"/>
        </w:rPr>
        <w:t>，参考《公路工程施工安全技术规范》（</w:t>
      </w:r>
      <w:r>
        <w:rPr>
          <w:rFonts w:ascii="Times New Roman"/>
          <w:bCs/>
          <w:sz w:val="24"/>
          <w:szCs w:val="24"/>
        </w:rPr>
        <w:t>JTG F90-2015</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NE.Ref.{5CF480E8-DDFE-4CC5-85D6-46FBA2FE8B5E}</w:instrText>
      </w:r>
      <w:r>
        <w:rPr>
          <w:rFonts w:ascii="Times New Roman"/>
          <w:bCs/>
          <w:sz w:val="24"/>
          <w:szCs w:val="24"/>
        </w:rPr>
        <w:fldChar w:fldCharType="separate"/>
      </w:r>
      <w:r>
        <w:rPr>
          <w:rFonts w:ascii="Times New Roman"/>
          <w:color w:val="080000"/>
          <w:sz w:val="24"/>
          <w:szCs w:val="24"/>
          <w:vertAlign w:val="superscript"/>
        </w:rPr>
        <w:t>[57]</w:t>
      </w:r>
      <w:r>
        <w:rPr>
          <w:rFonts w:ascii="Times New Roman"/>
          <w:bCs/>
          <w:sz w:val="24"/>
          <w:szCs w:val="24"/>
        </w:rPr>
        <w:fldChar w:fldCharType="end"/>
      </w:r>
      <w:r>
        <w:rPr>
          <w:rFonts w:ascii="Times New Roman"/>
          <w:bCs/>
          <w:sz w:val="24"/>
          <w:szCs w:val="24"/>
        </w:rPr>
        <w:t>，监控量测包括量测频率、监测项目、信息反馈等内容。合理的监控量测频率、全面的必测项目与及时的信息反馈可以有效降低风险事件发生的可能性</w:t>
      </w:r>
      <w:r>
        <w:rPr>
          <w:rFonts w:ascii="Times New Roman"/>
          <w:bCs/>
          <w:sz w:val="24"/>
          <w:szCs w:val="24"/>
        </w:rPr>
        <w:fldChar w:fldCharType="begin"/>
      </w:r>
      <w:r>
        <w:rPr>
          <w:rFonts w:ascii="Times New Roman"/>
          <w:bCs/>
          <w:sz w:val="24"/>
          <w:szCs w:val="24"/>
        </w:rPr>
        <w:instrText xml:space="preserve"> ADDIN</w:instrText>
      </w:r>
      <w:r>
        <w:rPr>
          <w:rFonts w:ascii="Times New Roman"/>
          <w:bCs/>
          <w:sz w:val="24"/>
          <w:szCs w:val="24"/>
        </w:rPr>
        <w:instrText xml:space="preserve"> NE.Ref.{B959927F-A288-4FC9-ACE8-D0DE0B387308}</w:instrText>
      </w:r>
      <w:r>
        <w:rPr>
          <w:rFonts w:ascii="Times New Roman"/>
          <w:bCs/>
          <w:sz w:val="24"/>
          <w:szCs w:val="24"/>
        </w:rPr>
        <w:fldChar w:fldCharType="separate"/>
      </w:r>
      <w:r>
        <w:rPr>
          <w:rFonts w:ascii="Times New Roman"/>
          <w:color w:val="080000"/>
          <w:sz w:val="24"/>
          <w:szCs w:val="24"/>
          <w:vertAlign w:val="superscript"/>
        </w:rPr>
        <w:t>[56]</w:t>
      </w:r>
      <w:r>
        <w:rPr>
          <w:rFonts w:ascii="Times New Roman"/>
          <w:bCs/>
          <w:sz w:val="24"/>
          <w:szCs w:val="24"/>
        </w:rPr>
        <w:fldChar w:fldCharType="end"/>
      </w:r>
      <w:r>
        <w:rPr>
          <w:rFonts w:ascii="Times New Roman"/>
          <w:bCs/>
          <w:sz w:val="24"/>
          <w:szCs w:val="24"/>
        </w:rPr>
        <w:t>。</w:t>
      </w:r>
    </w:p>
    <w:p w:rsidR="0073700B" w:rsidRDefault="001A2FFC">
      <w:pPr>
        <w:pStyle w:val="3"/>
        <w:numPr>
          <w:ilvl w:val="0"/>
          <w:numId w:val="0"/>
        </w:numPr>
        <w:ind w:left="426"/>
        <w:rPr>
          <w:b/>
          <w:bCs w:val="0"/>
        </w:rPr>
      </w:pPr>
      <w:r>
        <w:rPr>
          <w:b/>
          <w:bCs w:val="0"/>
        </w:rPr>
        <w:t xml:space="preserve">19. </w:t>
      </w:r>
      <w:r>
        <w:rPr>
          <w:b/>
          <w:bCs w:val="0"/>
        </w:rPr>
        <w:t>附录</w:t>
      </w:r>
      <w:r>
        <w:rPr>
          <w:b/>
          <w:bCs w:val="0"/>
        </w:rPr>
        <w:t>A.11</w:t>
      </w:r>
      <w:r>
        <w:rPr>
          <w:b/>
          <w:bCs w:val="0"/>
        </w:rPr>
        <w:t>（资料性附录）隧道施工过程瓦斯爆炸风险事件可能性评估指标体系</w:t>
      </w:r>
    </w:p>
    <w:p w:rsidR="0073700B" w:rsidRDefault="001A2FFC" w:rsidP="00F80BAC">
      <w:pPr>
        <w:pStyle w:val="af7"/>
        <w:spacing w:beforeLines="50" w:before="156" w:line="360" w:lineRule="auto"/>
        <w:ind w:firstLine="480"/>
        <w:rPr>
          <w:rFonts w:ascii="Times New Roman"/>
          <w:bCs/>
          <w:sz w:val="24"/>
          <w:szCs w:val="24"/>
        </w:rPr>
      </w:pPr>
      <w:r>
        <w:rPr>
          <w:rFonts w:ascii="Times New Roman"/>
          <w:bCs/>
          <w:sz w:val="24"/>
          <w:szCs w:val="24"/>
        </w:rPr>
        <w:t>根据前期指南编制小组对国内外隧道瓦斯爆炸事故案例的研究成果和专家意见，从地质条件、瓦斯因素、施工因素、超前预报与监测、机电设备因素等五个方面建立瓦斯爆炸风险事件可能性评估指标体系。地质条件包含了煤层厚度、隧道距煤层距离等指标，瓦斯因素包含了瓦斯涌出量、开挖工作面瓦斯浓度等指标，施工因素包含了隧道通风量指标，超前预报与监测包含了超前地质预报、监控量测方案等指标，机电设备因素包含了机电设备防爆情况指标。</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1</w:t>
      </w:r>
      <w:r>
        <w:rPr>
          <w:rFonts w:ascii="Times New Roman" w:hint="eastAsia"/>
          <w:bCs/>
          <w:sz w:val="24"/>
          <w:szCs w:val="24"/>
        </w:rPr>
        <w:t>）</w:t>
      </w:r>
      <w:r>
        <w:rPr>
          <w:rFonts w:ascii="Times New Roman"/>
          <w:bCs/>
          <w:sz w:val="24"/>
          <w:szCs w:val="24"/>
        </w:rPr>
        <w:t>煤层厚度</w:t>
      </w:r>
      <w:r>
        <w:rPr>
          <w:rFonts w:ascii="Times New Roman"/>
          <w:bCs/>
          <w:i/>
          <w:iCs/>
          <w:sz w:val="24"/>
          <w:szCs w:val="24"/>
        </w:rPr>
        <w:t>X</w:t>
      </w:r>
      <w:r>
        <w:rPr>
          <w:rFonts w:ascii="Times New Roman"/>
          <w:bCs/>
          <w:sz w:val="24"/>
          <w:szCs w:val="24"/>
          <w:vertAlign w:val="subscript"/>
        </w:rPr>
        <w:t>11</w:t>
      </w:r>
      <w:r>
        <w:rPr>
          <w:rFonts w:ascii="Times New Roman"/>
          <w:bCs/>
          <w:sz w:val="24"/>
          <w:szCs w:val="24"/>
        </w:rPr>
        <w:t>，煤层厚度影响其内部瓦斯的蕴藏量，煤层越厚，对应的风险等级越高。评估时应综合考量含煤地层</w:t>
      </w:r>
      <w:r>
        <w:rPr>
          <w:rFonts w:ascii="Times New Roman"/>
          <w:bCs/>
          <w:sz w:val="24"/>
          <w:szCs w:val="24"/>
        </w:rPr>
        <w:t>的分布、煤层数、顶底板特征和位置、煤层厚度、倾角等因素</w:t>
      </w:r>
      <w:r>
        <w:rPr>
          <w:rFonts w:ascii="Times New Roman"/>
          <w:bCs/>
          <w:sz w:val="24"/>
          <w:szCs w:val="24"/>
        </w:rPr>
        <w:fldChar w:fldCharType="begin"/>
      </w:r>
      <w:r>
        <w:rPr>
          <w:rFonts w:ascii="Times New Roman"/>
          <w:bCs/>
          <w:sz w:val="24"/>
          <w:szCs w:val="24"/>
        </w:rPr>
        <w:instrText xml:space="preserve"> ADDIN NE.Ref.{92EA6BDB-2689-4765-B213-1C6E23FAD6D7}</w:instrText>
      </w:r>
      <w:r>
        <w:rPr>
          <w:rFonts w:ascii="Times New Roman"/>
          <w:bCs/>
          <w:sz w:val="24"/>
          <w:szCs w:val="24"/>
        </w:rPr>
        <w:fldChar w:fldCharType="separate"/>
      </w:r>
      <w:r>
        <w:rPr>
          <w:rFonts w:ascii="Times New Roman"/>
          <w:color w:val="080000"/>
          <w:sz w:val="24"/>
          <w:szCs w:val="24"/>
          <w:vertAlign w:val="superscript"/>
        </w:rPr>
        <w:t>[45]</w:t>
      </w:r>
      <w:r>
        <w:rPr>
          <w:rFonts w:ascii="Times New Roman"/>
          <w:bCs/>
          <w:sz w:val="24"/>
          <w:szCs w:val="24"/>
        </w:rPr>
        <w:fldChar w:fldCharType="end"/>
      </w:r>
      <w:r>
        <w:rPr>
          <w:rFonts w:ascii="Times New Roman"/>
          <w:bCs/>
          <w:sz w:val="24"/>
          <w:szCs w:val="24"/>
        </w:rPr>
        <w:t>。</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2</w:t>
      </w:r>
      <w:r>
        <w:rPr>
          <w:rFonts w:ascii="Times New Roman" w:hint="eastAsia"/>
          <w:bCs/>
          <w:sz w:val="24"/>
          <w:szCs w:val="24"/>
        </w:rPr>
        <w:t>）</w:t>
      </w:r>
      <w:r>
        <w:rPr>
          <w:rFonts w:ascii="Times New Roman"/>
          <w:bCs/>
          <w:sz w:val="24"/>
          <w:szCs w:val="24"/>
        </w:rPr>
        <w:t>隧道距煤层距离</w:t>
      </w:r>
      <w:r>
        <w:rPr>
          <w:rFonts w:ascii="Times New Roman"/>
          <w:bCs/>
          <w:i/>
          <w:iCs/>
          <w:sz w:val="24"/>
          <w:szCs w:val="24"/>
        </w:rPr>
        <w:t>X</w:t>
      </w:r>
      <w:r>
        <w:rPr>
          <w:rFonts w:ascii="Times New Roman"/>
          <w:bCs/>
          <w:sz w:val="24"/>
          <w:szCs w:val="24"/>
          <w:vertAlign w:val="subscript"/>
        </w:rPr>
        <w:t>12</w:t>
      </w:r>
      <w:r>
        <w:rPr>
          <w:rFonts w:ascii="Times New Roman"/>
          <w:bCs/>
          <w:sz w:val="24"/>
          <w:szCs w:val="24"/>
        </w:rPr>
        <w:fldChar w:fldCharType="begin"/>
      </w:r>
      <w:r>
        <w:rPr>
          <w:rFonts w:ascii="Times New Roman"/>
          <w:bCs/>
          <w:sz w:val="24"/>
          <w:szCs w:val="24"/>
        </w:rPr>
        <w:instrText xml:space="preserve"> ADDIN NE.Ref.{DE60B7F6-98CF-4A33-B08D-6A3DD828C5FB}</w:instrText>
      </w:r>
      <w:r>
        <w:rPr>
          <w:rFonts w:ascii="Times New Roman"/>
          <w:bCs/>
          <w:sz w:val="24"/>
          <w:szCs w:val="24"/>
        </w:rPr>
        <w:fldChar w:fldCharType="separate"/>
      </w:r>
      <w:r>
        <w:rPr>
          <w:rFonts w:ascii="Times New Roman"/>
          <w:color w:val="080000"/>
          <w:sz w:val="24"/>
          <w:szCs w:val="24"/>
          <w:vertAlign w:val="superscript"/>
        </w:rPr>
        <w:t>[45]</w:t>
      </w:r>
      <w:r>
        <w:rPr>
          <w:rFonts w:ascii="Times New Roman"/>
          <w:bCs/>
          <w:sz w:val="24"/>
          <w:szCs w:val="24"/>
        </w:rPr>
        <w:fldChar w:fldCharType="end"/>
      </w:r>
      <w:r>
        <w:rPr>
          <w:rFonts w:ascii="Times New Roman"/>
          <w:bCs/>
          <w:sz w:val="24"/>
          <w:szCs w:val="24"/>
        </w:rPr>
        <w:t>，指隧道中心线距周边含瓦斯煤层的最小直线距离</w:t>
      </w:r>
      <w:r>
        <w:rPr>
          <w:rFonts w:ascii="Times New Roman"/>
          <w:bCs/>
          <w:sz w:val="24"/>
          <w:szCs w:val="24"/>
        </w:rPr>
        <w:fldChar w:fldCharType="begin"/>
      </w:r>
      <w:r>
        <w:rPr>
          <w:rFonts w:ascii="Times New Roman"/>
          <w:bCs/>
          <w:sz w:val="24"/>
          <w:szCs w:val="24"/>
        </w:rPr>
        <w:instrText xml:space="preserve"> ADDIN NE.Ref.{DE8CA74A-5196-4A15-B0D4-FE6FC76AC9F1}</w:instrText>
      </w:r>
      <w:r>
        <w:rPr>
          <w:rFonts w:ascii="Times New Roman"/>
          <w:bCs/>
          <w:sz w:val="24"/>
          <w:szCs w:val="24"/>
        </w:rPr>
        <w:fldChar w:fldCharType="separate"/>
      </w:r>
      <w:r>
        <w:rPr>
          <w:rFonts w:ascii="Times New Roman"/>
          <w:color w:val="080000"/>
          <w:sz w:val="24"/>
          <w:szCs w:val="24"/>
          <w:vertAlign w:val="superscript"/>
        </w:rPr>
        <w:t>[46]</w:t>
      </w:r>
      <w:r>
        <w:rPr>
          <w:rFonts w:ascii="Times New Roman"/>
          <w:bCs/>
          <w:sz w:val="24"/>
          <w:szCs w:val="24"/>
        </w:rPr>
        <w:fldChar w:fldCharType="end"/>
      </w:r>
      <w:r>
        <w:rPr>
          <w:rFonts w:ascii="Times New Roman"/>
          <w:bCs/>
          <w:sz w:val="24"/>
          <w:szCs w:val="24"/>
        </w:rPr>
        <w:t>。距离越近，越易受瓦斯侵扰，施</w:t>
      </w:r>
      <w:r>
        <w:rPr>
          <w:rFonts w:ascii="Times New Roman"/>
          <w:bCs/>
          <w:sz w:val="24"/>
          <w:szCs w:val="24"/>
        </w:rPr>
        <w:t>工时发生瓦斯爆炸的风险越高。</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lastRenderedPageBreak/>
        <w:t>（</w:t>
      </w:r>
      <w:r>
        <w:rPr>
          <w:rFonts w:ascii="Times New Roman" w:hint="eastAsia"/>
          <w:bCs/>
          <w:sz w:val="24"/>
          <w:szCs w:val="24"/>
        </w:rPr>
        <w:t>3</w:t>
      </w:r>
      <w:r>
        <w:rPr>
          <w:rFonts w:ascii="Times New Roman" w:hint="eastAsia"/>
          <w:bCs/>
          <w:sz w:val="24"/>
          <w:szCs w:val="24"/>
        </w:rPr>
        <w:t>）</w:t>
      </w:r>
      <w:r>
        <w:rPr>
          <w:rFonts w:ascii="Times New Roman"/>
          <w:bCs/>
          <w:sz w:val="24"/>
          <w:szCs w:val="24"/>
        </w:rPr>
        <w:t>瓦斯涌出量</w:t>
      </w:r>
      <w:r>
        <w:rPr>
          <w:rFonts w:ascii="Times New Roman"/>
          <w:bCs/>
          <w:i/>
          <w:iCs/>
          <w:sz w:val="24"/>
          <w:szCs w:val="24"/>
        </w:rPr>
        <w:t>X</w:t>
      </w:r>
      <w:r>
        <w:rPr>
          <w:rFonts w:ascii="Times New Roman"/>
          <w:bCs/>
          <w:sz w:val="24"/>
          <w:szCs w:val="24"/>
          <w:vertAlign w:val="subscript"/>
        </w:rPr>
        <w:t>21</w:t>
      </w:r>
      <w:r>
        <w:rPr>
          <w:rFonts w:ascii="Times New Roman"/>
          <w:bCs/>
          <w:sz w:val="24"/>
          <w:szCs w:val="24"/>
        </w:rPr>
        <w:t>，指施工前预测的单位时间内从煤</w:t>
      </w:r>
      <w:r>
        <w:rPr>
          <w:rFonts w:ascii="Times New Roman"/>
          <w:bCs/>
          <w:sz w:val="24"/>
          <w:szCs w:val="24"/>
        </w:rPr>
        <w:t>(</w:t>
      </w:r>
      <w:r>
        <w:rPr>
          <w:rFonts w:ascii="Times New Roman"/>
          <w:bCs/>
          <w:sz w:val="24"/>
          <w:szCs w:val="24"/>
        </w:rPr>
        <w:t>岩</w:t>
      </w:r>
      <w:r>
        <w:rPr>
          <w:rFonts w:ascii="Times New Roman"/>
          <w:bCs/>
          <w:sz w:val="24"/>
          <w:szCs w:val="24"/>
        </w:rPr>
        <w:t>)</w:t>
      </w:r>
      <w:r>
        <w:rPr>
          <w:rFonts w:ascii="Times New Roman"/>
          <w:bCs/>
          <w:sz w:val="24"/>
          <w:szCs w:val="24"/>
        </w:rPr>
        <w:t>层以及采落的煤</w:t>
      </w:r>
      <w:r>
        <w:rPr>
          <w:rFonts w:ascii="Times New Roman"/>
          <w:bCs/>
          <w:sz w:val="24"/>
          <w:szCs w:val="24"/>
        </w:rPr>
        <w:t>(</w:t>
      </w:r>
      <w:r>
        <w:rPr>
          <w:rFonts w:ascii="Times New Roman"/>
          <w:bCs/>
          <w:sz w:val="24"/>
          <w:szCs w:val="24"/>
        </w:rPr>
        <w:t>岩</w:t>
      </w:r>
      <w:r>
        <w:rPr>
          <w:rFonts w:ascii="Times New Roman"/>
          <w:bCs/>
          <w:sz w:val="24"/>
          <w:szCs w:val="24"/>
        </w:rPr>
        <w:t>)</w:t>
      </w:r>
      <w:r>
        <w:rPr>
          <w:rFonts w:ascii="Times New Roman"/>
          <w:bCs/>
          <w:sz w:val="24"/>
          <w:szCs w:val="24"/>
        </w:rPr>
        <w:t>所涌出的瓦斯量。瓦斯涌出量直接影响发生风险的可能性，瓦斯涌出越多，发生瓦斯爆炸的风险越大。</w:t>
      </w:r>
      <w:r>
        <w:rPr>
          <w:rFonts w:ascii="Times New Roman"/>
          <w:bCs/>
          <w:color w:val="000000"/>
          <w:sz w:val="24"/>
          <w:szCs w:val="21"/>
        </w:rPr>
        <w:t>本标准参考《铁路隧道设计规范》（</w:t>
      </w:r>
      <w:r>
        <w:rPr>
          <w:rFonts w:ascii="Times New Roman"/>
          <w:bCs/>
          <w:color w:val="000000"/>
          <w:sz w:val="24"/>
          <w:szCs w:val="21"/>
        </w:rPr>
        <w:t>TB 10003-</w:t>
      </w:r>
      <w:r>
        <w:rPr>
          <w:rFonts w:ascii="Times New Roman"/>
          <w:bCs/>
          <w:sz w:val="24"/>
        </w:rPr>
        <w:t>2016</w:t>
      </w:r>
      <w:r>
        <w:rPr>
          <w:rFonts w:ascii="Times New Roman"/>
          <w:bCs/>
          <w:color w:val="000000"/>
          <w:sz w:val="24"/>
          <w:szCs w:val="21"/>
        </w:rPr>
        <w:t>）</w:t>
      </w:r>
      <w:r>
        <w:rPr>
          <w:rFonts w:ascii="Times New Roman"/>
          <w:bCs/>
          <w:color w:val="000000"/>
          <w:sz w:val="24"/>
          <w:szCs w:val="21"/>
        </w:rPr>
        <w:fldChar w:fldCharType="begin"/>
      </w:r>
      <w:r>
        <w:rPr>
          <w:rFonts w:ascii="Times New Roman"/>
          <w:bCs/>
          <w:color w:val="000000"/>
          <w:sz w:val="24"/>
          <w:szCs w:val="21"/>
        </w:rPr>
        <w:instrText xml:space="preserve"> ADDIN NE.Ref.{F3741555-E7D9-460A-A563-F6DE3995BC88}</w:instrText>
      </w:r>
      <w:r>
        <w:rPr>
          <w:rFonts w:ascii="Times New Roman"/>
          <w:bCs/>
          <w:color w:val="000000"/>
          <w:sz w:val="24"/>
          <w:szCs w:val="21"/>
        </w:rPr>
        <w:fldChar w:fldCharType="separate"/>
      </w:r>
      <w:r>
        <w:rPr>
          <w:rFonts w:ascii="Times New Roman"/>
          <w:color w:val="080000"/>
          <w:sz w:val="24"/>
          <w:szCs w:val="24"/>
          <w:vertAlign w:val="superscript"/>
        </w:rPr>
        <w:t>[15]</w:t>
      </w:r>
      <w:r>
        <w:rPr>
          <w:rFonts w:ascii="Times New Roman"/>
          <w:bCs/>
          <w:color w:val="000000"/>
          <w:sz w:val="24"/>
          <w:szCs w:val="21"/>
        </w:rPr>
        <w:fldChar w:fldCharType="end"/>
      </w:r>
      <w:r>
        <w:rPr>
          <w:rFonts w:ascii="Times New Roman"/>
          <w:bCs/>
          <w:color w:val="000000"/>
          <w:sz w:val="24"/>
          <w:szCs w:val="21"/>
        </w:rPr>
        <w:t>，将瓦斯涌出量划分为</w:t>
      </w:r>
      <w:r>
        <w:rPr>
          <w:rFonts w:ascii="Times New Roman"/>
          <w:bCs/>
          <w:sz w:val="24"/>
          <w:szCs w:val="21"/>
        </w:rPr>
        <w:t>大于</w:t>
      </w:r>
      <w:r>
        <w:rPr>
          <w:rFonts w:ascii="Times New Roman"/>
          <w:bCs/>
          <w:sz w:val="24"/>
          <w:szCs w:val="21"/>
        </w:rPr>
        <w:t>1m</w:t>
      </w:r>
      <w:r>
        <w:rPr>
          <w:rFonts w:ascii="Times New Roman"/>
          <w:bCs/>
          <w:sz w:val="24"/>
          <w:szCs w:val="21"/>
          <w:vertAlign w:val="superscript"/>
        </w:rPr>
        <w:t>3</w:t>
      </w:r>
      <w:r>
        <w:rPr>
          <w:rFonts w:ascii="Times New Roman"/>
          <w:bCs/>
          <w:sz w:val="24"/>
          <w:szCs w:val="21"/>
        </w:rPr>
        <w:t>/min</w:t>
      </w:r>
      <w:r>
        <w:rPr>
          <w:rFonts w:ascii="Times New Roman"/>
          <w:bCs/>
          <w:sz w:val="24"/>
          <w:szCs w:val="21"/>
        </w:rPr>
        <w:t>、</w:t>
      </w:r>
      <w:r>
        <w:rPr>
          <w:rFonts w:ascii="Times New Roman"/>
          <w:bCs/>
          <w:sz w:val="24"/>
          <w:szCs w:val="21"/>
        </w:rPr>
        <w:t>0.5 m</w:t>
      </w:r>
      <w:r>
        <w:rPr>
          <w:rFonts w:ascii="Times New Roman"/>
          <w:bCs/>
          <w:sz w:val="24"/>
          <w:szCs w:val="21"/>
          <w:vertAlign w:val="superscript"/>
        </w:rPr>
        <w:t>3</w:t>
      </w:r>
      <w:r>
        <w:rPr>
          <w:rFonts w:ascii="Times New Roman"/>
          <w:bCs/>
          <w:sz w:val="24"/>
          <w:szCs w:val="21"/>
        </w:rPr>
        <w:t>/min ~1m</w:t>
      </w:r>
      <w:r>
        <w:rPr>
          <w:rFonts w:ascii="Times New Roman"/>
          <w:bCs/>
          <w:sz w:val="24"/>
          <w:szCs w:val="21"/>
          <w:vertAlign w:val="superscript"/>
        </w:rPr>
        <w:t>3</w:t>
      </w:r>
      <w:r>
        <w:rPr>
          <w:rFonts w:ascii="Times New Roman"/>
          <w:bCs/>
          <w:sz w:val="24"/>
          <w:szCs w:val="21"/>
        </w:rPr>
        <w:t>/min</w:t>
      </w:r>
      <w:r>
        <w:rPr>
          <w:rFonts w:ascii="Times New Roman"/>
          <w:bCs/>
          <w:sz w:val="24"/>
          <w:szCs w:val="21"/>
        </w:rPr>
        <w:t>、</w:t>
      </w:r>
      <w:r>
        <w:rPr>
          <w:rFonts w:ascii="Times New Roman"/>
          <w:bCs/>
          <w:sz w:val="24"/>
          <w:szCs w:val="21"/>
        </w:rPr>
        <w:t>0.5m</w:t>
      </w:r>
      <w:r>
        <w:rPr>
          <w:rFonts w:ascii="Times New Roman"/>
          <w:bCs/>
          <w:sz w:val="24"/>
          <w:szCs w:val="21"/>
          <w:vertAlign w:val="superscript"/>
        </w:rPr>
        <w:t>3</w:t>
      </w:r>
      <w:r>
        <w:rPr>
          <w:rFonts w:ascii="Times New Roman"/>
          <w:bCs/>
          <w:sz w:val="24"/>
          <w:szCs w:val="21"/>
        </w:rPr>
        <w:t>/min</w:t>
      </w:r>
      <w:r>
        <w:rPr>
          <w:rFonts w:ascii="Times New Roman"/>
          <w:bCs/>
          <w:sz w:val="24"/>
          <w:szCs w:val="21"/>
        </w:rPr>
        <w:t>以下、不存在瓦斯四个等级。</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4</w:t>
      </w:r>
      <w:r>
        <w:rPr>
          <w:rFonts w:ascii="Times New Roman" w:hint="eastAsia"/>
          <w:bCs/>
          <w:sz w:val="24"/>
          <w:szCs w:val="24"/>
        </w:rPr>
        <w:t>）</w:t>
      </w:r>
      <w:r>
        <w:rPr>
          <w:rFonts w:ascii="Times New Roman"/>
          <w:bCs/>
          <w:sz w:val="24"/>
          <w:szCs w:val="24"/>
        </w:rPr>
        <w:t>开挖工作面瓦斯浓度</w:t>
      </w:r>
      <w:r>
        <w:rPr>
          <w:rFonts w:ascii="Times New Roman"/>
          <w:bCs/>
          <w:i/>
          <w:iCs/>
          <w:sz w:val="24"/>
          <w:szCs w:val="24"/>
        </w:rPr>
        <w:t>X</w:t>
      </w:r>
      <w:r>
        <w:rPr>
          <w:rFonts w:ascii="Times New Roman"/>
          <w:bCs/>
          <w:sz w:val="24"/>
          <w:szCs w:val="24"/>
          <w:vertAlign w:val="subscript"/>
        </w:rPr>
        <w:t>22</w:t>
      </w:r>
      <w:r>
        <w:rPr>
          <w:rFonts w:ascii="Times New Roman"/>
          <w:bCs/>
          <w:sz w:val="24"/>
          <w:szCs w:val="24"/>
        </w:rPr>
        <w:t>，参考《铁路瓦斯隧道技术规范》（</w:t>
      </w:r>
      <w:r>
        <w:rPr>
          <w:rFonts w:ascii="Times New Roman"/>
          <w:bCs/>
          <w:sz w:val="24"/>
          <w:szCs w:val="24"/>
        </w:rPr>
        <w:t>TB 10120-2019</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NE.Ref.{114DFBFE-51AF-427D-96B3-FA5B0073C3E0}</w:instrText>
      </w:r>
      <w:r>
        <w:rPr>
          <w:rFonts w:ascii="Times New Roman"/>
          <w:bCs/>
          <w:sz w:val="24"/>
          <w:szCs w:val="24"/>
        </w:rPr>
        <w:fldChar w:fldCharType="separate"/>
      </w:r>
      <w:r>
        <w:rPr>
          <w:rFonts w:ascii="Times New Roman"/>
          <w:color w:val="080000"/>
          <w:sz w:val="24"/>
          <w:szCs w:val="24"/>
          <w:vertAlign w:val="superscript"/>
        </w:rPr>
        <w:t>[48]</w:t>
      </w:r>
      <w:r>
        <w:rPr>
          <w:rFonts w:ascii="Times New Roman"/>
          <w:bCs/>
          <w:sz w:val="24"/>
          <w:szCs w:val="24"/>
        </w:rPr>
        <w:fldChar w:fldCharType="end"/>
      </w:r>
      <w:r>
        <w:rPr>
          <w:rFonts w:ascii="Times New Roman"/>
          <w:bCs/>
          <w:sz w:val="24"/>
          <w:szCs w:val="24"/>
        </w:rPr>
        <w:t>，开挖工作面瓦斯浓度是决定是否进行施工的重要指标，在瓦斯隧道施工时应随时检测作业范围内的瓦斯浓度，瓦斯浓度大于或等于</w:t>
      </w:r>
      <w:r>
        <w:rPr>
          <w:rFonts w:ascii="Times New Roman"/>
          <w:bCs/>
          <w:sz w:val="24"/>
          <w:szCs w:val="24"/>
        </w:rPr>
        <w:t>1%</w:t>
      </w:r>
      <w:r>
        <w:rPr>
          <w:rFonts w:ascii="Times New Roman"/>
          <w:bCs/>
          <w:sz w:val="24"/>
          <w:szCs w:val="24"/>
        </w:rPr>
        <w:t>，应立即停止电钻钻孔作业；瓦斯浓度大于或等于</w:t>
      </w:r>
      <w:r>
        <w:rPr>
          <w:rFonts w:ascii="Times New Roman"/>
          <w:bCs/>
          <w:sz w:val="24"/>
          <w:szCs w:val="24"/>
        </w:rPr>
        <w:t>1.5%</w:t>
      </w:r>
      <w:r>
        <w:rPr>
          <w:rFonts w:ascii="Times New Roman"/>
          <w:bCs/>
          <w:sz w:val="24"/>
          <w:szCs w:val="24"/>
        </w:rPr>
        <w:t>，必须停止工作，撤人、切断电源、查明原因、加强通风。</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5</w:t>
      </w:r>
      <w:r>
        <w:rPr>
          <w:rFonts w:ascii="Times New Roman" w:hint="eastAsia"/>
          <w:bCs/>
          <w:sz w:val="24"/>
          <w:szCs w:val="24"/>
        </w:rPr>
        <w:t>）</w:t>
      </w:r>
      <w:r>
        <w:rPr>
          <w:rFonts w:ascii="Times New Roman"/>
          <w:bCs/>
          <w:sz w:val="24"/>
          <w:szCs w:val="24"/>
        </w:rPr>
        <w:t>隧道通风量</w:t>
      </w:r>
      <w:r>
        <w:rPr>
          <w:rFonts w:ascii="Times New Roman"/>
          <w:bCs/>
          <w:i/>
          <w:iCs/>
          <w:sz w:val="24"/>
          <w:szCs w:val="24"/>
        </w:rPr>
        <w:t>X</w:t>
      </w:r>
      <w:r>
        <w:rPr>
          <w:rFonts w:ascii="Times New Roman"/>
          <w:bCs/>
          <w:sz w:val="24"/>
          <w:szCs w:val="24"/>
          <w:vertAlign w:val="subscript"/>
        </w:rPr>
        <w:t>31</w:t>
      </w:r>
      <w:r>
        <w:rPr>
          <w:rFonts w:ascii="Times New Roman"/>
          <w:bCs/>
          <w:sz w:val="24"/>
          <w:szCs w:val="24"/>
        </w:rPr>
        <w:t>，隧道通风可以稀释隧道内瓦斯及有害气体，降低洞内瓦斯的浓度，故</w:t>
      </w:r>
      <w:r>
        <w:rPr>
          <w:rFonts w:ascii="Times New Roman"/>
          <w:bCs/>
          <w:sz w:val="24"/>
          <w:szCs w:val="24"/>
        </w:rPr>
        <w:t>隧道通风情况越好，对应的风险等级越低。评估时应参照《公路隧道施工技术规范》</w:t>
      </w:r>
      <w:r>
        <w:rPr>
          <w:rFonts w:ascii="Times New Roman"/>
          <w:bCs/>
          <w:sz w:val="24"/>
          <w:szCs w:val="24"/>
        </w:rPr>
        <w:t>(JTG F60-2009)</w:t>
      </w:r>
      <w:r>
        <w:rPr>
          <w:rFonts w:ascii="Times New Roman"/>
          <w:bCs/>
          <w:sz w:val="24"/>
        </w:rPr>
        <w:fldChar w:fldCharType="begin"/>
      </w:r>
      <w:r>
        <w:rPr>
          <w:rFonts w:ascii="Times New Roman"/>
          <w:bCs/>
          <w:sz w:val="24"/>
        </w:rPr>
        <w:instrText xml:space="preserve"> ADDIN NE.Ref.{80276ABB-CFBA-473D-8806-39D36283FA67}</w:instrText>
      </w:r>
      <w:r>
        <w:rPr>
          <w:rFonts w:ascii="Times New Roman"/>
          <w:bCs/>
          <w:sz w:val="24"/>
        </w:rPr>
        <w:fldChar w:fldCharType="separate"/>
      </w:r>
      <w:r>
        <w:rPr>
          <w:rFonts w:ascii="Times New Roman"/>
          <w:color w:val="080000"/>
          <w:sz w:val="24"/>
          <w:szCs w:val="24"/>
          <w:vertAlign w:val="superscript"/>
        </w:rPr>
        <w:t>[17]</w:t>
      </w:r>
      <w:r>
        <w:rPr>
          <w:rFonts w:ascii="Times New Roman"/>
          <w:bCs/>
          <w:sz w:val="24"/>
        </w:rPr>
        <w:fldChar w:fldCharType="end"/>
      </w:r>
      <w:r>
        <w:rPr>
          <w:rFonts w:ascii="Times New Roman"/>
          <w:bCs/>
          <w:sz w:val="24"/>
          <w:szCs w:val="24"/>
        </w:rPr>
        <w:t>，考虑隧道通风系统的合理性，从通风方式，通风量，通风设备三方面综合评价。</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6</w:t>
      </w:r>
      <w:r>
        <w:rPr>
          <w:rFonts w:ascii="Times New Roman" w:hint="eastAsia"/>
          <w:bCs/>
          <w:sz w:val="24"/>
          <w:szCs w:val="24"/>
        </w:rPr>
        <w:t>）</w:t>
      </w:r>
      <w:r>
        <w:rPr>
          <w:rFonts w:ascii="Times New Roman"/>
          <w:bCs/>
          <w:sz w:val="24"/>
          <w:szCs w:val="24"/>
        </w:rPr>
        <w:t>超前地质预报</w:t>
      </w:r>
      <w:r>
        <w:rPr>
          <w:rFonts w:ascii="Times New Roman"/>
          <w:bCs/>
          <w:i/>
          <w:iCs/>
          <w:sz w:val="24"/>
          <w:szCs w:val="24"/>
        </w:rPr>
        <w:t>X</w:t>
      </w:r>
      <w:r>
        <w:rPr>
          <w:rFonts w:ascii="Times New Roman"/>
          <w:bCs/>
          <w:sz w:val="24"/>
          <w:szCs w:val="24"/>
          <w:vertAlign w:val="subscript"/>
        </w:rPr>
        <w:t>41</w:t>
      </w:r>
      <w:r>
        <w:rPr>
          <w:rFonts w:ascii="Times New Roman"/>
          <w:bCs/>
          <w:sz w:val="24"/>
          <w:szCs w:val="24"/>
        </w:rPr>
        <w:t>，参考《公路工程质量检验评定标准》（</w:t>
      </w:r>
      <w:r>
        <w:rPr>
          <w:rFonts w:ascii="Times New Roman"/>
          <w:bCs/>
          <w:sz w:val="24"/>
          <w:szCs w:val="24"/>
        </w:rPr>
        <w:t>JTG F80/1-2017</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NE.Ref.{A89417E0-C85E-4A24-B233-7B39D67057B9}</w:instrText>
      </w:r>
      <w:r>
        <w:rPr>
          <w:rFonts w:ascii="Times New Roman"/>
          <w:bCs/>
          <w:sz w:val="24"/>
          <w:szCs w:val="24"/>
        </w:rPr>
        <w:fldChar w:fldCharType="separate"/>
      </w:r>
      <w:r>
        <w:rPr>
          <w:rFonts w:ascii="Times New Roman"/>
          <w:color w:val="080000"/>
          <w:sz w:val="24"/>
          <w:szCs w:val="24"/>
          <w:vertAlign w:val="superscript"/>
        </w:rPr>
        <w:t>[2]</w:t>
      </w:r>
      <w:r>
        <w:rPr>
          <w:rFonts w:ascii="Times New Roman"/>
          <w:bCs/>
          <w:sz w:val="24"/>
          <w:szCs w:val="24"/>
        </w:rPr>
        <w:fldChar w:fldCharType="end"/>
      </w:r>
      <w:r>
        <w:rPr>
          <w:rFonts w:ascii="Times New Roman"/>
          <w:bCs/>
          <w:sz w:val="24"/>
          <w:szCs w:val="24"/>
        </w:rPr>
        <w:t>及《铁路超前</w:t>
      </w:r>
      <w:r>
        <w:rPr>
          <w:rFonts w:ascii="Times New Roman"/>
          <w:bCs/>
          <w:sz w:val="24"/>
          <w:szCs w:val="24"/>
        </w:rPr>
        <w:t>地质预报技术指南》（铁建设</w:t>
      </w:r>
      <w:r>
        <w:rPr>
          <w:rFonts w:ascii="Times New Roman"/>
          <w:bCs/>
          <w:sz w:val="24"/>
          <w:szCs w:val="24"/>
        </w:rPr>
        <w:t xml:space="preserve"> [2008] 105</w:t>
      </w:r>
      <w:r>
        <w:rPr>
          <w:rFonts w:ascii="Times New Roman"/>
          <w:bCs/>
          <w:sz w:val="24"/>
          <w:szCs w:val="24"/>
        </w:rPr>
        <w:t>号）</w:t>
      </w:r>
      <w:r>
        <w:rPr>
          <w:rFonts w:ascii="Times New Roman"/>
          <w:bCs/>
          <w:sz w:val="24"/>
          <w:szCs w:val="24"/>
        </w:rPr>
        <w:fldChar w:fldCharType="begin"/>
      </w:r>
      <w:r>
        <w:rPr>
          <w:rFonts w:ascii="Times New Roman"/>
          <w:bCs/>
          <w:sz w:val="24"/>
          <w:szCs w:val="24"/>
        </w:rPr>
        <w:instrText xml:space="preserve"> ADDIN NE.Ref.{251220A1-28DE-4E25-8161-5FB1F674925B}</w:instrText>
      </w:r>
      <w:r>
        <w:rPr>
          <w:rFonts w:ascii="Times New Roman"/>
          <w:bCs/>
          <w:sz w:val="24"/>
          <w:szCs w:val="24"/>
        </w:rPr>
        <w:fldChar w:fldCharType="separate"/>
      </w:r>
      <w:r>
        <w:rPr>
          <w:rFonts w:ascii="Times New Roman"/>
          <w:color w:val="080000"/>
          <w:sz w:val="24"/>
          <w:szCs w:val="24"/>
          <w:vertAlign w:val="superscript"/>
        </w:rPr>
        <w:t>[63]</w:t>
      </w:r>
      <w:r>
        <w:rPr>
          <w:rFonts w:ascii="Times New Roman"/>
          <w:bCs/>
          <w:sz w:val="24"/>
          <w:szCs w:val="24"/>
        </w:rPr>
        <w:fldChar w:fldCharType="end"/>
      </w:r>
      <w:r>
        <w:rPr>
          <w:rFonts w:ascii="Times New Roman"/>
          <w:bCs/>
          <w:sz w:val="24"/>
          <w:szCs w:val="24"/>
        </w:rPr>
        <w:t>，采用地质雷达、超前导坑、超前探孔等超前预报手段，提前探明隧道开挖工作面前方的工程地质和水文地质条件，为隧道开挖、支护等工作提供基础资料，可以有效降低瓦斯爆炸风险发生的可能性。评估时应根据超前测量反馈情况，合理进行打分。</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7</w:t>
      </w:r>
      <w:r>
        <w:rPr>
          <w:rFonts w:ascii="Times New Roman" w:hint="eastAsia"/>
          <w:bCs/>
          <w:sz w:val="24"/>
          <w:szCs w:val="24"/>
        </w:rPr>
        <w:t>）</w:t>
      </w:r>
      <w:r>
        <w:rPr>
          <w:rFonts w:ascii="Times New Roman"/>
          <w:bCs/>
          <w:sz w:val="24"/>
          <w:szCs w:val="24"/>
        </w:rPr>
        <w:t>监控量测方案</w:t>
      </w:r>
      <w:r>
        <w:rPr>
          <w:rFonts w:ascii="Times New Roman"/>
          <w:bCs/>
          <w:i/>
          <w:iCs/>
          <w:sz w:val="24"/>
          <w:szCs w:val="24"/>
        </w:rPr>
        <w:t>X</w:t>
      </w:r>
      <w:r>
        <w:rPr>
          <w:rFonts w:ascii="Times New Roman"/>
          <w:bCs/>
          <w:sz w:val="24"/>
          <w:szCs w:val="24"/>
          <w:vertAlign w:val="subscript"/>
        </w:rPr>
        <w:t>42</w:t>
      </w:r>
      <w:r>
        <w:rPr>
          <w:rFonts w:ascii="Times New Roman"/>
          <w:bCs/>
          <w:sz w:val="24"/>
          <w:szCs w:val="24"/>
        </w:rPr>
        <w:t>，参考《公路工程施工安全技术规范》（</w:t>
      </w:r>
      <w:r>
        <w:rPr>
          <w:rFonts w:ascii="Times New Roman"/>
          <w:bCs/>
          <w:sz w:val="24"/>
          <w:szCs w:val="24"/>
        </w:rPr>
        <w:t>JTG F90-2015</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NE.Ref.{88</w:instrText>
      </w:r>
      <w:r>
        <w:rPr>
          <w:rFonts w:ascii="Times New Roman"/>
          <w:bCs/>
          <w:sz w:val="24"/>
          <w:szCs w:val="24"/>
        </w:rPr>
        <w:instrText>BB3BF6-878F-4123-B805-EAD604BD0BFC}</w:instrText>
      </w:r>
      <w:r>
        <w:rPr>
          <w:rFonts w:ascii="Times New Roman"/>
          <w:bCs/>
          <w:sz w:val="24"/>
          <w:szCs w:val="24"/>
        </w:rPr>
        <w:fldChar w:fldCharType="separate"/>
      </w:r>
      <w:r>
        <w:rPr>
          <w:rFonts w:ascii="Times New Roman"/>
          <w:color w:val="080000"/>
          <w:sz w:val="24"/>
          <w:szCs w:val="24"/>
          <w:vertAlign w:val="superscript"/>
        </w:rPr>
        <w:t>[57]</w:t>
      </w:r>
      <w:r>
        <w:rPr>
          <w:rFonts w:ascii="Times New Roman"/>
          <w:bCs/>
          <w:sz w:val="24"/>
          <w:szCs w:val="24"/>
        </w:rPr>
        <w:fldChar w:fldCharType="end"/>
      </w:r>
      <w:r>
        <w:rPr>
          <w:rFonts w:ascii="Times New Roman"/>
          <w:bCs/>
          <w:sz w:val="24"/>
          <w:szCs w:val="24"/>
        </w:rPr>
        <w:t>，监控量测包括量测频率、监测项目、信息反馈等内容。全方位监控量测与及时的信息反馈可以有效降低发生风险事件的可能性，监控量测越合理，监测项目越完善，反馈信息越及时，发生风险的可能性越低。</w:t>
      </w:r>
    </w:p>
    <w:p w:rsidR="0073700B" w:rsidRDefault="001A2FFC" w:rsidP="00F80BAC">
      <w:pPr>
        <w:pStyle w:val="af7"/>
        <w:spacing w:beforeLines="50" w:before="156" w:line="360" w:lineRule="auto"/>
        <w:ind w:firstLine="480"/>
        <w:rPr>
          <w:rFonts w:ascii="Times New Roman"/>
          <w:bCs/>
          <w:sz w:val="24"/>
          <w:szCs w:val="24"/>
        </w:rPr>
      </w:pPr>
      <w:r>
        <w:rPr>
          <w:rFonts w:ascii="Times New Roman" w:hint="eastAsia"/>
          <w:bCs/>
          <w:sz w:val="24"/>
          <w:szCs w:val="24"/>
        </w:rPr>
        <w:t>（</w:t>
      </w:r>
      <w:r>
        <w:rPr>
          <w:rFonts w:ascii="Times New Roman" w:hint="eastAsia"/>
          <w:bCs/>
          <w:sz w:val="24"/>
          <w:szCs w:val="24"/>
        </w:rPr>
        <w:t>8</w:t>
      </w:r>
      <w:r>
        <w:rPr>
          <w:rFonts w:ascii="Times New Roman" w:hint="eastAsia"/>
          <w:bCs/>
          <w:sz w:val="24"/>
          <w:szCs w:val="24"/>
        </w:rPr>
        <w:t>）</w:t>
      </w:r>
      <w:r>
        <w:rPr>
          <w:rFonts w:ascii="Times New Roman"/>
          <w:bCs/>
          <w:sz w:val="24"/>
          <w:szCs w:val="24"/>
        </w:rPr>
        <w:t>电气设备防爆情况</w:t>
      </w:r>
      <w:r>
        <w:rPr>
          <w:rFonts w:ascii="Times New Roman"/>
          <w:bCs/>
          <w:i/>
          <w:iCs/>
          <w:sz w:val="24"/>
          <w:szCs w:val="24"/>
        </w:rPr>
        <w:t>X</w:t>
      </w:r>
      <w:r>
        <w:rPr>
          <w:rFonts w:ascii="Times New Roman"/>
          <w:bCs/>
          <w:sz w:val="24"/>
          <w:szCs w:val="24"/>
          <w:vertAlign w:val="subscript"/>
        </w:rPr>
        <w:t>51</w:t>
      </w:r>
      <w:r>
        <w:rPr>
          <w:rFonts w:ascii="Times New Roman"/>
          <w:bCs/>
          <w:sz w:val="24"/>
          <w:szCs w:val="24"/>
        </w:rPr>
        <w:fldChar w:fldCharType="begin"/>
      </w:r>
      <w:r>
        <w:rPr>
          <w:rFonts w:ascii="Times New Roman"/>
          <w:bCs/>
          <w:sz w:val="24"/>
          <w:szCs w:val="24"/>
        </w:rPr>
        <w:instrText xml:space="preserve"> ADDIN NE.Ref.{B2F1BCD6-C20E-4540-B502-6ABB6B17A63E}</w:instrText>
      </w:r>
      <w:r>
        <w:rPr>
          <w:rFonts w:ascii="Times New Roman"/>
          <w:bCs/>
          <w:sz w:val="24"/>
          <w:szCs w:val="24"/>
        </w:rPr>
        <w:fldChar w:fldCharType="separate"/>
      </w:r>
      <w:r>
        <w:rPr>
          <w:rFonts w:ascii="Times New Roman"/>
          <w:color w:val="080000"/>
          <w:sz w:val="24"/>
          <w:szCs w:val="24"/>
          <w:vertAlign w:val="superscript"/>
        </w:rPr>
        <w:t>[69]</w:t>
      </w:r>
      <w:r>
        <w:rPr>
          <w:rFonts w:ascii="Times New Roman"/>
          <w:bCs/>
          <w:sz w:val="24"/>
          <w:szCs w:val="24"/>
        </w:rPr>
        <w:fldChar w:fldCharType="end"/>
      </w:r>
      <w:r>
        <w:rPr>
          <w:rFonts w:ascii="Times New Roman"/>
          <w:bCs/>
          <w:sz w:val="24"/>
          <w:szCs w:val="24"/>
        </w:rPr>
        <w:t>，参考《铁路瓦斯隧道技术规范》（</w:t>
      </w:r>
      <w:r>
        <w:rPr>
          <w:rFonts w:ascii="Times New Roman"/>
          <w:bCs/>
          <w:sz w:val="24"/>
          <w:szCs w:val="24"/>
        </w:rPr>
        <w:t>TB 10120-2019</w:t>
      </w:r>
      <w:r>
        <w:rPr>
          <w:rFonts w:ascii="Times New Roman"/>
          <w:bCs/>
          <w:sz w:val="24"/>
          <w:szCs w:val="24"/>
        </w:rPr>
        <w:t>）</w:t>
      </w:r>
      <w:r>
        <w:rPr>
          <w:rFonts w:ascii="Times New Roman"/>
          <w:bCs/>
          <w:sz w:val="24"/>
          <w:szCs w:val="24"/>
        </w:rPr>
        <w:fldChar w:fldCharType="begin"/>
      </w:r>
      <w:r>
        <w:rPr>
          <w:rFonts w:ascii="Times New Roman"/>
          <w:bCs/>
          <w:sz w:val="24"/>
          <w:szCs w:val="24"/>
        </w:rPr>
        <w:instrText xml:space="preserve"> ADDIN NE.Ref.{427</w:instrText>
      </w:r>
      <w:r>
        <w:rPr>
          <w:rFonts w:ascii="Times New Roman"/>
          <w:bCs/>
          <w:sz w:val="24"/>
          <w:szCs w:val="24"/>
        </w:rPr>
        <w:instrText>04663-FC39-4AA3-9BF6-347DFCCD40C9}</w:instrText>
      </w:r>
      <w:r>
        <w:rPr>
          <w:rFonts w:ascii="Times New Roman"/>
          <w:bCs/>
          <w:sz w:val="24"/>
          <w:szCs w:val="24"/>
        </w:rPr>
        <w:fldChar w:fldCharType="separate"/>
      </w:r>
      <w:r>
        <w:rPr>
          <w:rFonts w:ascii="Times New Roman"/>
          <w:color w:val="080000"/>
          <w:sz w:val="24"/>
          <w:szCs w:val="24"/>
          <w:vertAlign w:val="superscript"/>
        </w:rPr>
        <w:t>[68]</w:t>
      </w:r>
      <w:r>
        <w:rPr>
          <w:rFonts w:ascii="Times New Roman"/>
          <w:bCs/>
          <w:sz w:val="24"/>
          <w:szCs w:val="24"/>
        </w:rPr>
        <w:fldChar w:fldCharType="end"/>
      </w:r>
      <w:r>
        <w:rPr>
          <w:rFonts w:ascii="Times New Roman"/>
          <w:bCs/>
          <w:sz w:val="24"/>
          <w:szCs w:val="24"/>
        </w:rPr>
        <w:t>，机电设备应符合下列防爆安全规定：（</w:t>
      </w:r>
      <w:r>
        <w:rPr>
          <w:rFonts w:ascii="Times New Roman"/>
          <w:bCs/>
          <w:sz w:val="24"/>
          <w:szCs w:val="24"/>
        </w:rPr>
        <w:t>1</w:t>
      </w:r>
      <w:r>
        <w:rPr>
          <w:rFonts w:ascii="Times New Roman"/>
          <w:bCs/>
          <w:sz w:val="24"/>
          <w:szCs w:val="24"/>
        </w:rPr>
        <w:t>）瓦斯工区使用的电测距仪及其它有电源的设备，应采用防爆型，当不得不使用非防爆型时，在仪</w:t>
      </w:r>
      <w:r>
        <w:rPr>
          <w:rFonts w:ascii="Times New Roman"/>
          <w:bCs/>
          <w:sz w:val="24"/>
          <w:szCs w:val="24"/>
        </w:rPr>
        <w:lastRenderedPageBreak/>
        <w:t>器设备</w:t>
      </w:r>
      <w:r>
        <w:rPr>
          <w:rFonts w:ascii="Times New Roman"/>
          <w:bCs/>
          <w:sz w:val="24"/>
          <w:szCs w:val="24"/>
        </w:rPr>
        <w:t>20m</w:t>
      </w:r>
      <w:r>
        <w:rPr>
          <w:rFonts w:ascii="Times New Roman"/>
          <w:bCs/>
          <w:sz w:val="24"/>
          <w:szCs w:val="24"/>
        </w:rPr>
        <w:t>范围内瓦斯浓度必须小于</w:t>
      </w:r>
      <w:r>
        <w:rPr>
          <w:rFonts w:ascii="Times New Roman"/>
          <w:bCs/>
          <w:sz w:val="24"/>
          <w:szCs w:val="24"/>
        </w:rPr>
        <w:t>1%</w:t>
      </w:r>
      <w:r>
        <w:rPr>
          <w:rFonts w:ascii="Times New Roman"/>
          <w:bCs/>
          <w:sz w:val="24"/>
          <w:szCs w:val="24"/>
        </w:rPr>
        <w:t>；（</w:t>
      </w:r>
      <w:r>
        <w:rPr>
          <w:rFonts w:ascii="Times New Roman"/>
          <w:bCs/>
          <w:sz w:val="24"/>
          <w:szCs w:val="24"/>
        </w:rPr>
        <w:t>2</w:t>
      </w:r>
      <w:r>
        <w:rPr>
          <w:rFonts w:ascii="Times New Roman"/>
          <w:bCs/>
          <w:sz w:val="24"/>
          <w:szCs w:val="24"/>
        </w:rPr>
        <w:t>）安装后的机电设备，必须经过外观、防爆性能、操作性能的检查，合格后方可投入使用；（</w:t>
      </w:r>
      <w:r>
        <w:rPr>
          <w:rFonts w:ascii="Times New Roman"/>
          <w:bCs/>
          <w:sz w:val="24"/>
          <w:szCs w:val="24"/>
        </w:rPr>
        <w:t>3</w:t>
      </w:r>
      <w:r>
        <w:rPr>
          <w:rFonts w:ascii="Times New Roman"/>
          <w:bCs/>
          <w:sz w:val="24"/>
          <w:szCs w:val="24"/>
        </w:rPr>
        <w:t>）机电设备应重点检查专用供电线路、专用变压器、专用开关、瓦斯浓度超限与供电的闭锁、局扇与供电的闭锁情况。供电线路应无明接头，无接头连接不紧密或散接头，有漏电保护装置，有接地装置，</w:t>
      </w:r>
      <w:r>
        <w:rPr>
          <w:rFonts w:ascii="Times New Roman"/>
          <w:bCs/>
          <w:sz w:val="24"/>
          <w:szCs w:val="24"/>
        </w:rPr>
        <w:t>电缆悬挂整齐，防护装置齐全等；（</w:t>
      </w:r>
      <w:r>
        <w:rPr>
          <w:rFonts w:ascii="Times New Roman"/>
          <w:bCs/>
          <w:sz w:val="24"/>
          <w:szCs w:val="24"/>
        </w:rPr>
        <w:t>4</w:t>
      </w:r>
      <w:r>
        <w:rPr>
          <w:rFonts w:ascii="Times New Roman"/>
          <w:bCs/>
          <w:sz w:val="24"/>
          <w:szCs w:val="24"/>
        </w:rPr>
        <w:t>）电动装渣、开挖等作业机械在操作中，防爆开关表面温度过高时应立即停止作业；（</w:t>
      </w:r>
      <w:r>
        <w:rPr>
          <w:rFonts w:ascii="Times New Roman"/>
          <w:bCs/>
          <w:sz w:val="24"/>
          <w:szCs w:val="24"/>
        </w:rPr>
        <w:t>5</w:t>
      </w:r>
      <w:r>
        <w:rPr>
          <w:rFonts w:ascii="Times New Roman"/>
          <w:bCs/>
          <w:sz w:val="24"/>
          <w:szCs w:val="24"/>
        </w:rPr>
        <w:t>）蓄电池机车及矿灯的充电房应距洞口</w:t>
      </w:r>
      <w:r>
        <w:rPr>
          <w:rFonts w:ascii="Times New Roman"/>
          <w:bCs/>
          <w:sz w:val="24"/>
          <w:szCs w:val="24"/>
        </w:rPr>
        <w:t>50m</w:t>
      </w:r>
      <w:r>
        <w:rPr>
          <w:rFonts w:ascii="Times New Roman"/>
          <w:bCs/>
          <w:sz w:val="24"/>
          <w:szCs w:val="24"/>
        </w:rPr>
        <w:t>以外；（</w:t>
      </w:r>
      <w:r>
        <w:rPr>
          <w:rFonts w:ascii="Times New Roman"/>
          <w:bCs/>
          <w:sz w:val="24"/>
          <w:szCs w:val="24"/>
        </w:rPr>
        <w:t>6</w:t>
      </w:r>
      <w:r>
        <w:rPr>
          <w:rFonts w:ascii="Times New Roman"/>
          <w:bCs/>
          <w:sz w:val="24"/>
          <w:szCs w:val="24"/>
        </w:rPr>
        <w:t>）隧道内使用的机电设备，在使用期间，除日常检查外，应按规定周期进行检查。评估时应综合考虑各方面情况，合理进行打分。</w:t>
      </w:r>
    </w:p>
    <w:p w:rsidR="0073700B" w:rsidRDefault="001A2FFC">
      <w:pPr>
        <w:pStyle w:val="3"/>
        <w:numPr>
          <w:ilvl w:val="0"/>
          <w:numId w:val="0"/>
        </w:numPr>
        <w:ind w:left="426"/>
        <w:rPr>
          <w:b/>
          <w:bCs w:val="0"/>
        </w:rPr>
      </w:pPr>
      <w:r>
        <w:rPr>
          <w:b/>
          <w:bCs w:val="0"/>
        </w:rPr>
        <w:t xml:space="preserve">20. </w:t>
      </w:r>
      <w:r>
        <w:rPr>
          <w:b/>
          <w:bCs w:val="0"/>
        </w:rPr>
        <w:t>附录</w:t>
      </w:r>
      <w:r>
        <w:rPr>
          <w:b/>
          <w:bCs w:val="0"/>
        </w:rPr>
        <w:t>A.12</w:t>
      </w:r>
      <w:r>
        <w:rPr>
          <w:b/>
          <w:bCs w:val="0"/>
        </w:rPr>
        <w:t>（资料性附录）隧道施工过程岩爆风险事件可能性评估指标体系</w:t>
      </w:r>
    </w:p>
    <w:p w:rsidR="0073700B" w:rsidRDefault="001A2FFC" w:rsidP="00F80BAC">
      <w:pPr>
        <w:spacing w:beforeLines="50" w:before="156" w:line="360" w:lineRule="auto"/>
        <w:ind w:firstLineChars="200" w:firstLine="480"/>
        <w:rPr>
          <w:bCs/>
          <w:kern w:val="0"/>
          <w:sz w:val="24"/>
          <w:szCs w:val="21"/>
        </w:rPr>
      </w:pPr>
      <w:bookmarkStart w:id="116" w:name="_Toc511915528"/>
      <w:bookmarkStart w:id="117" w:name="_Toc494537412"/>
      <w:r>
        <w:rPr>
          <w:bCs/>
          <w:sz w:val="24"/>
        </w:rPr>
        <w:t>岩爆影响因素众多，很难做到准确预测和评估。</w:t>
      </w:r>
      <w:r>
        <w:rPr>
          <w:bCs/>
          <w:kern w:val="0"/>
          <w:sz w:val="24"/>
          <w:szCs w:val="21"/>
        </w:rPr>
        <w:t>早期主要是从强度、刚度、能量、突变等单一因素出发进行岩爆预测研究。随研究的深入，逐渐认识到岩爆是非常复杂的非线性动力学现象，并受多种因素共同作用，因此开始研究基于多因素的综合预测方法。与单因素方法相比，综合预测方法考虑因素更为全面，可以从多角度利用评估指标信息，结果较为准确。因此本标准选取多种评估指标对岩爆风险展开评估。</w:t>
      </w:r>
    </w:p>
    <w:p w:rsidR="0073700B" w:rsidRDefault="001A2FFC" w:rsidP="00F80BAC">
      <w:pPr>
        <w:spacing w:beforeLines="50" w:before="156" w:line="360" w:lineRule="auto"/>
        <w:ind w:firstLineChars="200" w:firstLine="480"/>
        <w:rPr>
          <w:rFonts w:eastAsia="等线"/>
          <w:bCs/>
          <w:sz w:val="24"/>
        </w:rPr>
      </w:pPr>
      <w:r>
        <w:rPr>
          <w:bCs/>
          <w:sz w:val="24"/>
        </w:rPr>
        <w:t>当前预测岩爆的指标多基于岩爆判据，如</w:t>
      </w:r>
      <w:r>
        <w:rPr>
          <w:rFonts w:eastAsia="TimesNewRomanPSMT"/>
          <w:bCs/>
          <w:kern w:val="0"/>
          <w:sz w:val="24"/>
          <w:szCs w:val="21"/>
        </w:rPr>
        <w:t>Russenes</w:t>
      </w:r>
      <w:r>
        <w:rPr>
          <w:bCs/>
          <w:kern w:val="0"/>
          <w:sz w:val="24"/>
          <w:szCs w:val="21"/>
        </w:rPr>
        <w:t>判据、</w:t>
      </w:r>
      <w:r>
        <w:rPr>
          <w:bCs/>
          <w:kern w:val="0"/>
          <w:sz w:val="24"/>
          <w:szCs w:val="21"/>
        </w:rPr>
        <w:t>Hoek</w:t>
      </w:r>
      <w:r>
        <w:rPr>
          <w:bCs/>
          <w:kern w:val="0"/>
          <w:sz w:val="24"/>
          <w:szCs w:val="21"/>
        </w:rPr>
        <w:t>判据、脆性系数、岩爆倾向性指数、</w:t>
      </w:r>
      <w:r>
        <w:rPr>
          <w:bCs/>
          <w:sz w:val="24"/>
        </w:rPr>
        <w:t>强度应力比</w:t>
      </w:r>
      <w:r>
        <w:rPr>
          <w:bCs/>
          <w:kern w:val="0"/>
          <w:sz w:val="24"/>
          <w:szCs w:val="21"/>
        </w:rPr>
        <w:t>等</w:t>
      </w:r>
      <w:r>
        <w:rPr>
          <w:bCs/>
          <w:sz w:val="24"/>
        </w:rPr>
        <w:t>，考虑到指标的科学性和易获取性，选取常用的脆性系数、强度应力比、岩爆倾向性指数</w:t>
      </w:r>
      <w:r>
        <w:rPr>
          <w:bCs/>
          <w:sz w:val="24"/>
        </w:rPr>
        <w:t>。</w:t>
      </w:r>
    </w:p>
    <w:p w:rsidR="0073700B" w:rsidRDefault="001A2FFC" w:rsidP="00F80BAC">
      <w:pPr>
        <w:spacing w:beforeLines="50" w:before="156" w:line="360" w:lineRule="auto"/>
        <w:ind w:firstLineChars="200" w:firstLine="480"/>
        <w:rPr>
          <w:bCs/>
          <w:sz w:val="24"/>
        </w:rPr>
      </w:pPr>
      <w:r>
        <w:rPr>
          <w:bCs/>
          <w:sz w:val="24"/>
        </w:rPr>
        <w:t>施工过程岩爆</w:t>
      </w:r>
      <w:r>
        <w:rPr>
          <w:bCs/>
          <w:sz w:val="24"/>
          <w:szCs w:val="20"/>
        </w:rPr>
        <w:t>风险事件</w:t>
      </w:r>
      <w:r>
        <w:rPr>
          <w:bCs/>
          <w:sz w:val="24"/>
        </w:rPr>
        <w:t>可能性评估是根据前期指南编制小组对国内外隧道岩爆事故案例的研究成果和征集专家意见，从应力因素、能量因素、结构面因素等三个方面建立评估指标体系。应力因素包含了强度脆性系数、强度应力比等指标，能量因素包含了岩爆倾向性指数指标，结构面因素包含了结构面特征指标。</w:t>
      </w:r>
    </w:p>
    <w:p w:rsidR="0073700B" w:rsidRDefault="001A2FFC" w:rsidP="00F80BAC">
      <w:pPr>
        <w:spacing w:beforeLines="50" w:before="156" w:line="360" w:lineRule="auto"/>
        <w:ind w:firstLineChars="200" w:firstLine="480"/>
        <w:rPr>
          <w:bCs/>
          <w:sz w:val="24"/>
        </w:rPr>
      </w:pPr>
      <w:r>
        <w:rPr>
          <w:rFonts w:hint="eastAsia"/>
          <w:bCs/>
          <w:sz w:val="24"/>
          <w:szCs w:val="24"/>
        </w:rPr>
        <w:t>（</w:t>
      </w:r>
      <w:r>
        <w:rPr>
          <w:rFonts w:hint="eastAsia"/>
          <w:bCs/>
          <w:sz w:val="24"/>
          <w:szCs w:val="24"/>
        </w:rPr>
        <w:t>1</w:t>
      </w:r>
      <w:r>
        <w:rPr>
          <w:rFonts w:hint="eastAsia"/>
          <w:bCs/>
          <w:sz w:val="24"/>
          <w:szCs w:val="24"/>
        </w:rPr>
        <w:t>）</w:t>
      </w:r>
      <w:r>
        <w:rPr>
          <w:bCs/>
          <w:sz w:val="24"/>
        </w:rPr>
        <w:t>强度脆性系数</w:t>
      </w:r>
      <w:r>
        <w:rPr>
          <w:bCs/>
          <w:i/>
          <w:iCs/>
          <w:sz w:val="24"/>
        </w:rPr>
        <w:t>X</w:t>
      </w:r>
      <w:r>
        <w:rPr>
          <w:bCs/>
          <w:sz w:val="24"/>
          <w:vertAlign w:val="subscript"/>
        </w:rPr>
        <w:t>11</w:t>
      </w:r>
      <w:r>
        <w:rPr>
          <w:bCs/>
          <w:sz w:val="24"/>
          <w:szCs w:val="21"/>
        </w:rPr>
        <w:t>，</w:t>
      </w:r>
      <w:r>
        <w:rPr>
          <w:bCs/>
          <w:sz w:val="24"/>
        </w:rPr>
        <w:t>为岩石单轴抗压强度与岩石单轴抗拉强度之比，是评价岩石脆性、判断岩爆倾向性以及岩爆烈度分级的常用指标，参照有关研究，本标准将可将脆性系数分为四个等级，脆性系数越小，发生岩爆的风险越</w:t>
      </w:r>
      <w:r>
        <w:rPr>
          <w:bCs/>
          <w:sz w:val="24"/>
        </w:rPr>
        <w:lastRenderedPageBreak/>
        <w:t>高</w:t>
      </w:r>
      <w:r>
        <w:rPr>
          <w:bCs/>
          <w:sz w:val="24"/>
        </w:rPr>
        <w:fldChar w:fldCharType="begin"/>
      </w:r>
      <w:r>
        <w:rPr>
          <w:bCs/>
          <w:sz w:val="24"/>
        </w:rPr>
        <w:instrText xml:space="preserve"> ADDIN NE.Ref</w:instrText>
      </w:r>
      <w:r>
        <w:rPr>
          <w:bCs/>
          <w:sz w:val="24"/>
        </w:rPr>
        <w:instrText>.{F4F1C2FE-4B06-46FA-83C1-A8E8C68226BD}</w:instrText>
      </w:r>
      <w:r>
        <w:rPr>
          <w:bCs/>
          <w:sz w:val="24"/>
        </w:rPr>
        <w:fldChar w:fldCharType="separate"/>
      </w:r>
      <w:r>
        <w:rPr>
          <w:color w:val="080000"/>
          <w:kern w:val="0"/>
          <w:sz w:val="24"/>
          <w:szCs w:val="24"/>
          <w:vertAlign w:val="superscript"/>
        </w:rPr>
        <w:t>[70]</w:t>
      </w:r>
      <w:r>
        <w:rPr>
          <w:bCs/>
          <w:sz w:val="24"/>
        </w:rPr>
        <w:fldChar w:fldCharType="end"/>
      </w:r>
      <w:r>
        <w:rPr>
          <w:bCs/>
          <w:sz w:val="24"/>
        </w:rPr>
        <w:t>。</w:t>
      </w:r>
    </w:p>
    <w:p w:rsidR="0073700B" w:rsidRDefault="001A2FFC" w:rsidP="00F80BAC">
      <w:pPr>
        <w:spacing w:beforeLines="50" w:before="156" w:line="360" w:lineRule="auto"/>
        <w:ind w:firstLineChars="200" w:firstLine="480"/>
        <w:rPr>
          <w:bCs/>
          <w:sz w:val="24"/>
          <w:szCs w:val="21"/>
        </w:rPr>
      </w:pPr>
      <w:r>
        <w:rPr>
          <w:rFonts w:hint="eastAsia"/>
          <w:bCs/>
          <w:sz w:val="24"/>
          <w:szCs w:val="24"/>
        </w:rPr>
        <w:t>（</w:t>
      </w:r>
      <w:r>
        <w:rPr>
          <w:rFonts w:hint="eastAsia"/>
          <w:bCs/>
          <w:sz w:val="24"/>
          <w:szCs w:val="24"/>
        </w:rPr>
        <w:t>2</w:t>
      </w:r>
      <w:r>
        <w:rPr>
          <w:rFonts w:hint="eastAsia"/>
          <w:bCs/>
          <w:sz w:val="24"/>
          <w:szCs w:val="24"/>
        </w:rPr>
        <w:t>）</w:t>
      </w:r>
      <w:r>
        <w:rPr>
          <w:bCs/>
          <w:sz w:val="24"/>
        </w:rPr>
        <w:t>强度应力比</w:t>
      </w:r>
      <w:r>
        <w:rPr>
          <w:bCs/>
          <w:i/>
          <w:iCs/>
          <w:sz w:val="24"/>
        </w:rPr>
        <w:t>X</w:t>
      </w:r>
      <w:r>
        <w:rPr>
          <w:bCs/>
          <w:sz w:val="24"/>
          <w:vertAlign w:val="subscript"/>
        </w:rPr>
        <w:t>12</w:t>
      </w:r>
      <w:r>
        <w:rPr>
          <w:bCs/>
          <w:sz w:val="24"/>
          <w:szCs w:val="21"/>
        </w:rPr>
        <w:t>，</w:t>
      </w:r>
      <w:r>
        <w:rPr>
          <w:bCs/>
          <w:sz w:val="24"/>
        </w:rPr>
        <w:t>为岩石的岩石饱和单轴抗压强度与垂直洞轴线方向的最大初始应力之比，是判断岩爆倾向性、进行岩爆烈度分级的常用指标</w:t>
      </w:r>
      <w:r>
        <w:rPr>
          <w:bCs/>
          <w:sz w:val="24"/>
        </w:rPr>
        <w:fldChar w:fldCharType="begin"/>
      </w:r>
      <w:r>
        <w:rPr>
          <w:bCs/>
          <w:sz w:val="24"/>
        </w:rPr>
        <w:instrText xml:space="preserve"> ADDIN NE.Ref.{87A45BF7-703D-4602-B5FB-2CB48F1BB7EB}</w:instrText>
      </w:r>
      <w:r>
        <w:rPr>
          <w:bCs/>
          <w:sz w:val="24"/>
        </w:rPr>
        <w:fldChar w:fldCharType="separate"/>
      </w:r>
      <w:r>
        <w:rPr>
          <w:color w:val="080000"/>
          <w:kern w:val="0"/>
          <w:sz w:val="24"/>
          <w:szCs w:val="24"/>
          <w:vertAlign w:val="superscript"/>
        </w:rPr>
        <w:t>[71]</w:t>
      </w:r>
      <w:r>
        <w:rPr>
          <w:bCs/>
          <w:sz w:val="24"/>
        </w:rPr>
        <w:fldChar w:fldCharType="end"/>
      </w:r>
      <w:r>
        <w:rPr>
          <w:bCs/>
          <w:sz w:val="24"/>
        </w:rPr>
        <w:t>。</w:t>
      </w:r>
      <w:r>
        <w:rPr>
          <w:bCs/>
          <w:sz w:val="24"/>
          <w:szCs w:val="21"/>
        </w:rPr>
        <w:t>参照《水力发电工程地质勘察规范》（</w:t>
      </w:r>
      <w:r>
        <w:rPr>
          <w:bCs/>
          <w:sz w:val="24"/>
          <w:szCs w:val="21"/>
        </w:rPr>
        <w:t>GB 50287-2016</w:t>
      </w:r>
      <w:r>
        <w:rPr>
          <w:bCs/>
          <w:sz w:val="24"/>
          <w:szCs w:val="21"/>
        </w:rPr>
        <w:t>）</w:t>
      </w:r>
      <w:r>
        <w:rPr>
          <w:bCs/>
          <w:sz w:val="24"/>
          <w:szCs w:val="21"/>
        </w:rPr>
        <w:fldChar w:fldCharType="begin"/>
      </w:r>
      <w:r>
        <w:rPr>
          <w:bCs/>
          <w:sz w:val="24"/>
          <w:szCs w:val="21"/>
        </w:rPr>
        <w:instrText xml:space="preserve"> ADDIN NE.Ref.{EE17742A-ADD0-407D-913B-87B7F6C96D85</w:instrText>
      </w:r>
      <w:r>
        <w:rPr>
          <w:bCs/>
          <w:sz w:val="24"/>
          <w:szCs w:val="21"/>
        </w:rPr>
        <w:instrText>}</w:instrText>
      </w:r>
      <w:r>
        <w:rPr>
          <w:bCs/>
          <w:sz w:val="24"/>
          <w:szCs w:val="21"/>
        </w:rPr>
        <w:fldChar w:fldCharType="separate"/>
      </w:r>
      <w:r>
        <w:rPr>
          <w:color w:val="080000"/>
          <w:kern w:val="0"/>
          <w:sz w:val="24"/>
          <w:szCs w:val="24"/>
          <w:vertAlign w:val="superscript"/>
        </w:rPr>
        <w:t>[12]</w:t>
      </w:r>
      <w:r>
        <w:rPr>
          <w:bCs/>
          <w:sz w:val="24"/>
          <w:szCs w:val="21"/>
        </w:rPr>
        <w:fldChar w:fldCharType="end"/>
      </w:r>
      <w:r>
        <w:rPr>
          <w:bCs/>
          <w:sz w:val="24"/>
          <w:szCs w:val="21"/>
        </w:rPr>
        <w:t>(</w:t>
      </w:r>
      <w:r>
        <w:rPr>
          <w:bCs/>
          <w:sz w:val="24"/>
          <w:szCs w:val="21"/>
        </w:rPr>
        <w:t>见</w:t>
      </w:r>
      <w:r>
        <w:fldChar w:fldCharType="begin"/>
      </w:r>
      <w:r>
        <w:instrText xml:space="preserve"> REF _Ref25578798 \h  \* MERGEFORMAT </w:instrText>
      </w:r>
      <w:r>
        <w:fldChar w:fldCharType="separate"/>
      </w:r>
      <w:r>
        <w:rPr>
          <w:bCs/>
          <w:sz w:val="24"/>
          <w:szCs w:val="24"/>
        </w:rPr>
        <w:t>表</w:t>
      </w:r>
      <w:r>
        <w:rPr>
          <w:bCs/>
          <w:sz w:val="24"/>
          <w:szCs w:val="24"/>
        </w:rPr>
        <w:t>5</w:t>
      </w:r>
      <w:r>
        <w:rPr>
          <w:bCs/>
          <w:sz w:val="24"/>
          <w:szCs w:val="24"/>
        </w:rPr>
        <w:noBreakHyphen/>
        <w:t>2</w:t>
      </w:r>
      <w:r>
        <w:rPr>
          <w:bCs/>
          <w:sz w:val="24"/>
          <w:szCs w:val="24"/>
        </w:rPr>
        <w:fldChar w:fldCharType="end"/>
      </w:r>
      <w:r>
        <w:rPr>
          <w:bCs/>
          <w:sz w:val="24"/>
          <w:szCs w:val="21"/>
        </w:rPr>
        <w:t>)</w:t>
      </w:r>
      <w:r>
        <w:rPr>
          <w:bCs/>
          <w:sz w:val="24"/>
          <w:szCs w:val="21"/>
        </w:rPr>
        <w:t>中岩体初始地应力的分级，将强度应力比分为四个等级，强度应力比值越小，</w:t>
      </w:r>
      <w:r>
        <w:rPr>
          <w:bCs/>
          <w:sz w:val="24"/>
        </w:rPr>
        <w:t>发生岩爆的风险越高</w:t>
      </w:r>
      <w:r>
        <w:rPr>
          <w:bCs/>
          <w:sz w:val="24"/>
          <w:szCs w:val="21"/>
        </w:rPr>
        <w:t>。</w:t>
      </w:r>
    </w:p>
    <w:p w:rsidR="0073700B" w:rsidRDefault="001A2FFC" w:rsidP="00F80BAC">
      <w:pPr>
        <w:spacing w:beforeLines="50" w:before="156" w:line="360" w:lineRule="auto"/>
        <w:ind w:firstLineChars="200" w:firstLine="480"/>
        <w:rPr>
          <w:bCs/>
          <w:sz w:val="24"/>
          <w:szCs w:val="21"/>
        </w:rPr>
      </w:pPr>
      <w:bookmarkStart w:id="118" w:name="_Hlk29158711"/>
      <w:r>
        <w:rPr>
          <w:rFonts w:hint="eastAsia"/>
          <w:bCs/>
          <w:sz w:val="24"/>
          <w:szCs w:val="24"/>
        </w:rPr>
        <w:t>（</w:t>
      </w:r>
      <w:r>
        <w:rPr>
          <w:rFonts w:hint="eastAsia"/>
          <w:bCs/>
          <w:sz w:val="24"/>
          <w:szCs w:val="24"/>
        </w:rPr>
        <w:t>3</w:t>
      </w:r>
      <w:r>
        <w:rPr>
          <w:rFonts w:hint="eastAsia"/>
          <w:bCs/>
          <w:sz w:val="24"/>
          <w:szCs w:val="24"/>
        </w:rPr>
        <w:t>）</w:t>
      </w:r>
      <w:r>
        <w:rPr>
          <w:bCs/>
          <w:sz w:val="24"/>
          <w:szCs w:val="21"/>
        </w:rPr>
        <w:t>岩爆倾向性指数</w:t>
      </w:r>
      <w:bookmarkEnd w:id="118"/>
      <w:r>
        <w:rPr>
          <w:bCs/>
          <w:i/>
          <w:iCs/>
          <w:sz w:val="24"/>
          <w:szCs w:val="21"/>
        </w:rPr>
        <w:t>X</w:t>
      </w:r>
      <w:r>
        <w:rPr>
          <w:bCs/>
          <w:sz w:val="24"/>
          <w:szCs w:val="21"/>
          <w:vertAlign w:val="subscript"/>
        </w:rPr>
        <w:t>21</w:t>
      </w:r>
      <w:r>
        <w:rPr>
          <w:bCs/>
          <w:sz w:val="24"/>
          <w:szCs w:val="21"/>
        </w:rPr>
        <w:t>，单轴压缩加卸载条件下，岩石弹性应变能与耗损应变能之比。不同的岩爆倾向性指数对应的岩爆等级见表</w:t>
      </w:r>
      <w:r>
        <w:rPr>
          <w:bCs/>
          <w:sz w:val="24"/>
          <w:szCs w:val="21"/>
        </w:rPr>
        <w:t>A-5</w:t>
      </w:r>
      <w:r>
        <w:rPr>
          <w:bCs/>
          <w:sz w:val="24"/>
          <w:szCs w:val="21"/>
        </w:rPr>
        <w:t>。该值可通过开展室内岩石力学试验获取，由式</w:t>
      </w:r>
      <w:r>
        <w:rPr>
          <w:bCs/>
          <w:sz w:val="24"/>
          <w:szCs w:val="24"/>
        </w:rPr>
        <w:t>(</w:t>
      </w:r>
      <w:r>
        <w:rPr>
          <w:rFonts w:eastAsia="等线"/>
          <w:bCs/>
          <w:sz w:val="24"/>
          <w:szCs w:val="24"/>
        </w:rPr>
        <w:t>A-2</w:t>
      </w:r>
      <w:r>
        <w:rPr>
          <w:bCs/>
          <w:sz w:val="24"/>
          <w:szCs w:val="24"/>
        </w:rPr>
        <w:t>)</w:t>
      </w:r>
      <w:r>
        <w:rPr>
          <w:bCs/>
          <w:sz w:val="24"/>
          <w:szCs w:val="21"/>
        </w:rPr>
        <w:t>计算弹性变形能指数</w:t>
      </w:r>
      <w:r>
        <w:rPr>
          <w:bCs/>
          <w:sz w:val="24"/>
          <w:szCs w:val="21"/>
        </w:rPr>
        <w:fldChar w:fldCharType="begin"/>
      </w:r>
      <w:r>
        <w:rPr>
          <w:bCs/>
          <w:sz w:val="24"/>
          <w:szCs w:val="21"/>
        </w:rPr>
        <w:instrText xml:space="preserve"> ADDIN NE.Ref.{1AB0FD05-C95E-46C1-8A3C-D3DEDAD6C1F5}</w:instrText>
      </w:r>
      <w:r>
        <w:rPr>
          <w:bCs/>
          <w:sz w:val="24"/>
          <w:szCs w:val="21"/>
        </w:rPr>
        <w:fldChar w:fldCharType="separate"/>
      </w:r>
      <w:r>
        <w:rPr>
          <w:color w:val="080000"/>
          <w:kern w:val="0"/>
          <w:sz w:val="24"/>
          <w:szCs w:val="24"/>
          <w:vertAlign w:val="superscript"/>
        </w:rPr>
        <w:t>[72]</w:t>
      </w:r>
      <w:r>
        <w:rPr>
          <w:bCs/>
          <w:sz w:val="24"/>
          <w:szCs w:val="21"/>
        </w:rPr>
        <w:fldChar w:fldCharType="end"/>
      </w:r>
      <w:r>
        <w:rPr>
          <w:bCs/>
          <w:sz w:val="24"/>
          <w:szCs w:val="21"/>
        </w:rPr>
        <w:t>。</w:t>
      </w:r>
    </w:p>
    <w:p w:rsidR="0073700B" w:rsidRDefault="001A2FFC" w:rsidP="00F80BAC">
      <w:pPr>
        <w:spacing w:beforeLines="50" w:before="156" w:line="360" w:lineRule="auto"/>
        <w:ind w:firstLineChars="200" w:firstLine="480"/>
        <w:jc w:val="right"/>
        <w:rPr>
          <w:bCs/>
          <w:sz w:val="24"/>
          <w:szCs w:val="21"/>
        </w:rPr>
      </w:pPr>
      <w:r>
        <w:rPr>
          <w:bCs/>
          <w:position w:val="-14"/>
          <w:sz w:val="24"/>
          <w:szCs w:val="21"/>
        </w:rPr>
        <w:object w:dxaOrig="1403" w:dyaOrig="374">
          <v:shape id="_x0000_i1058" type="#_x0000_t75" style="width:69.9pt;height:18.8pt" o:ole="">
            <v:imagedata r:id="rId79" o:title=""/>
          </v:shape>
          <o:OLEObject Type="Embed" ProgID="Equation.DSMT4" ShapeID="_x0000_i1058" DrawAspect="Content" ObjectID="_1645534691" r:id="rId80"/>
        </w:object>
      </w:r>
      <w:r>
        <w:rPr>
          <w:bCs/>
          <w:sz w:val="24"/>
          <w:szCs w:val="21"/>
        </w:rPr>
        <w:t xml:space="preserve">                          </w:t>
      </w:r>
      <w:r>
        <w:rPr>
          <w:rFonts w:eastAsia="等线"/>
          <w:bCs/>
        </w:rPr>
        <w:t>(A-2)</w:t>
      </w:r>
    </w:p>
    <w:p w:rsidR="0073700B" w:rsidRDefault="001A2FFC" w:rsidP="00F80BAC">
      <w:pPr>
        <w:spacing w:beforeLines="50" w:before="156" w:line="360" w:lineRule="auto"/>
        <w:ind w:firstLineChars="200" w:firstLine="480"/>
        <w:rPr>
          <w:sz w:val="24"/>
          <w:szCs w:val="28"/>
        </w:rPr>
      </w:pPr>
      <w:r>
        <w:rPr>
          <w:bCs/>
          <w:sz w:val="24"/>
          <w:szCs w:val="21"/>
        </w:rPr>
        <w:t>式中：</w:t>
      </w:r>
      <w:r>
        <w:rPr>
          <w:position w:val="-14"/>
        </w:rPr>
        <w:object w:dxaOrig="374" w:dyaOrig="374">
          <v:shape id="_x0000_i1059" type="#_x0000_t75" style="width:18.8pt;height:18.8pt" o:ole="">
            <v:imagedata r:id="rId81" o:title=""/>
          </v:shape>
          <o:OLEObject Type="Embed" ProgID="Equation.DSMT4" ShapeID="_x0000_i1059" DrawAspect="Content" ObjectID="_1645534692" r:id="rId82"/>
        </w:object>
      </w:r>
      <w:r>
        <w:t>——</w:t>
      </w:r>
      <w:r>
        <w:rPr>
          <w:sz w:val="24"/>
          <w:szCs w:val="28"/>
        </w:rPr>
        <w:t>试样加载到单轴抗压强度的</w:t>
      </w:r>
      <w:r>
        <w:rPr>
          <w:sz w:val="24"/>
          <w:szCs w:val="28"/>
        </w:rPr>
        <w:t>0.7~0.8</w:t>
      </w:r>
      <w:r>
        <w:rPr>
          <w:sz w:val="24"/>
          <w:szCs w:val="28"/>
        </w:rPr>
        <w:t>倍应力水平后卸载到单轴抗压强度的</w:t>
      </w:r>
      <w:r>
        <w:rPr>
          <w:sz w:val="24"/>
          <w:szCs w:val="28"/>
        </w:rPr>
        <w:t xml:space="preserve"> 0.05 </w:t>
      </w:r>
      <w:proofErr w:type="gramStart"/>
      <w:r>
        <w:rPr>
          <w:sz w:val="24"/>
          <w:szCs w:val="28"/>
        </w:rPr>
        <w:t>倍</w:t>
      </w:r>
      <w:proofErr w:type="gramEnd"/>
      <w:r>
        <w:rPr>
          <w:sz w:val="24"/>
          <w:szCs w:val="28"/>
        </w:rPr>
        <w:t>应力水平时恢复的弹性应变能（</w:t>
      </w:r>
      <w:r>
        <w:rPr>
          <w:sz w:val="24"/>
          <w:szCs w:val="28"/>
        </w:rPr>
        <w:t>J/m</w:t>
      </w:r>
      <w:r>
        <w:rPr>
          <w:sz w:val="24"/>
          <w:szCs w:val="28"/>
          <w:vertAlign w:val="superscript"/>
        </w:rPr>
        <w:t>3</w:t>
      </w:r>
      <w:r>
        <w:rPr>
          <w:sz w:val="24"/>
          <w:szCs w:val="28"/>
        </w:rPr>
        <w:t>）</w:t>
      </w:r>
      <w:r>
        <w:t>；</w:t>
      </w:r>
      <w:r>
        <w:rPr>
          <w:position w:val="-12"/>
        </w:rPr>
        <w:object w:dxaOrig="374" w:dyaOrig="374">
          <v:shape id="_x0000_i1060" type="#_x0000_t75" style="width:18.8pt;height:18.8pt" o:ole="">
            <v:imagedata r:id="rId83" o:title=""/>
          </v:shape>
          <o:OLEObject Type="Embed" ProgID="Equation.DSMT4" ShapeID="_x0000_i1060" DrawAspect="Content" ObjectID="_1645534693" r:id="rId84"/>
        </w:object>
      </w:r>
      <w:r>
        <w:t>——</w:t>
      </w:r>
      <w:r>
        <w:rPr>
          <w:sz w:val="24"/>
          <w:szCs w:val="28"/>
        </w:rPr>
        <w:t>加卸载循环中试样产生塑性变形和微裂隙而消耗的能量（</w:t>
      </w:r>
      <w:r>
        <w:rPr>
          <w:sz w:val="24"/>
          <w:szCs w:val="28"/>
        </w:rPr>
        <w:t>J/m</w:t>
      </w:r>
      <w:r>
        <w:rPr>
          <w:sz w:val="24"/>
          <w:szCs w:val="28"/>
          <w:vertAlign w:val="superscript"/>
        </w:rPr>
        <w:t>3</w:t>
      </w:r>
      <w:r>
        <w:rPr>
          <w:sz w:val="24"/>
          <w:szCs w:val="28"/>
        </w:rPr>
        <w:t>）。</w:t>
      </w:r>
    </w:p>
    <w:p w:rsidR="0073700B" w:rsidRDefault="001A2FFC">
      <w:pPr>
        <w:spacing w:line="360" w:lineRule="auto"/>
        <w:jc w:val="center"/>
        <w:rPr>
          <w:rFonts w:ascii="黑体" w:eastAsia="黑体" w:hAnsi="黑体"/>
          <w:bCs/>
          <w:sz w:val="24"/>
          <w:szCs w:val="24"/>
        </w:rPr>
      </w:pPr>
      <w:r>
        <w:rPr>
          <w:rFonts w:ascii="黑体" w:eastAsia="黑体" w:hAnsi="黑体"/>
          <w:bCs/>
          <w:sz w:val="24"/>
          <w:szCs w:val="24"/>
        </w:rPr>
        <w:t>表</w:t>
      </w:r>
      <w:r>
        <w:rPr>
          <w:rFonts w:ascii="黑体" w:eastAsia="黑体" w:hAnsi="黑体"/>
          <w:bCs/>
          <w:sz w:val="24"/>
          <w:szCs w:val="24"/>
        </w:rPr>
        <w:t xml:space="preserve">A-5  </w:t>
      </w:r>
      <w:r>
        <w:rPr>
          <w:rFonts w:ascii="黑体" w:eastAsia="黑体" w:hAnsi="黑体"/>
          <w:bCs/>
          <w:sz w:val="24"/>
          <w:szCs w:val="24"/>
        </w:rPr>
        <w:t>岩爆倾向性指数与岩爆等级的关系</w:t>
      </w:r>
      <w:r>
        <w:rPr>
          <w:rFonts w:ascii="黑体" w:eastAsia="黑体" w:hAnsi="黑体"/>
          <w:bCs/>
          <w:sz w:val="24"/>
          <w:szCs w:val="24"/>
        </w:rPr>
        <w:fldChar w:fldCharType="begin"/>
      </w:r>
      <w:r>
        <w:rPr>
          <w:rFonts w:ascii="黑体" w:eastAsia="黑体" w:hAnsi="黑体"/>
          <w:bCs/>
          <w:sz w:val="24"/>
          <w:szCs w:val="24"/>
        </w:rPr>
        <w:instrText xml:space="preserve"> ADDIN NE.Ref.{D15DDD06-A8C6-413E-934A-332C8A7140F7}</w:instrText>
      </w:r>
      <w:r>
        <w:rPr>
          <w:rFonts w:ascii="黑体" w:eastAsia="黑体" w:hAnsi="黑体"/>
          <w:bCs/>
          <w:sz w:val="24"/>
          <w:szCs w:val="24"/>
        </w:rPr>
        <w:fldChar w:fldCharType="separate"/>
      </w:r>
      <w:r>
        <w:rPr>
          <w:rFonts w:ascii="黑体" w:eastAsia="黑体" w:hAnsi="黑体"/>
          <w:bCs/>
          <w:color w:val="080000"/>
          <w:kern w:val="0"/>
          <w:sz w:val="24"/>
          <w:szCs w:val="24"/>
          <w:vertAlign w:val="superscript"/>
        </w:rPr>
        <w:t>[72]</w:t>
      </w:r>
      <w:r>
        <w:rPr>
          <w:rFonts w:ascii="黑体" w:eastAsia="黑体" w:hAnsi="黑体"/>
          <w:bCs/>
          <w:sz w:val="24"/>
          <w:szCs w:val="24"/>
        </w:rPr>
        <w:fldChar w:fldCharType="end"/>
      </w:r>
    </w:p>
    <w:tbl>
      <w:tblPr>
        <w:tblStyle w:val="af1"/>
        <w:tblW w:w="0" w:type="auto"/>
        <w:tblLook w:val="04A0" w:firstRow="1" w:lastRow="0" w:firstColumn="1" w:lastColumn="0" w:noHBand="0" w:noVBand="1"/>
      </w:tblPr>
      <w:tblGrid>
        <w:gridCol w:w="4148"/>
        <w:gridCol w:w="4148"/>
      </w:tblGrid>
      <w:tr w:rsidR="0073700B">
        <w:tc>
          <w:tcPr>
            <w:tcW w:w="4148" w:type="dxa"/>
            <w:tcBorders>
              <w:top w:val="single" w:sz="8" w:space="0" w:color="auto"/>
              <w:left w:val="single" w:sz="8" w:space="0" w:color="auto"/>
              <w:bottom w:val="single" w:sz="8" w:space="0" w:color="auto"/>
            </w:tcBorders>
            <w:vAlign w:val="center"/>
          </w:tcPr>
          <w:p w:rsidR="0073700B" w:rsidRDefault="001A2FFC">
            <w:pPr>
              <w:jc w:val="center"/>
              <w:rPr>
                <w:bCs/>
                <w:szCs w:val="18"/>
              </w:rPr>
            </w:pPr>
            <w:r>
              <w:rPr>
                <w:bCs/>
                <w:szCs w:val="18"/>
              </w:rPr>
              <w:t>岩爆倾向性指数</w:t>
            </w:r>
          </w:p>
        </w:tc>
        <w:tc>
          <w:tcPr>
            <w:tcW w:w="4148" w:type="dxa"/>
            <w:tcBorders>
              <w:top w:val="single" w:sz="8" w:space="0" w:color="auto"/>
              <w:bottom w:val="single" w:sz="8" w:space="0" w:color="auto"/>
              <w:right w:val="single" w:sz="8" w:space="0" w:color="auto"/>
            </w:tcBorders>
            <w:vAlign w:val="center"/>
          </w:tcPr>
          <w:p w:rsidR="0073700B" w:rsidRDefault="001A2FFC">
            <w:pPr>
              <w:jc w:val="center"/>
              <w:rPr>
                <w:bCs/>
                <w:szCs w:val="18"/>
              </w:rPr>
            </w:pPr>
            <w:r>
              <w:rPr>
                <w:bCs/>
                <w:szCs w:val="18"/>
              </w:rPr>
              <w:t>岩爆等级</w:t>
            </w:r>
          </w:p>
        </w:tc>
      </w:tr>
      <w:tr w:rsidR="0073700B">
        <w:tc>
          <w:tcPr>
            <w:tcW w:w="4148" w:type="dxa"/>
            <w:tcBorders>
              <w:top w:val="single" w:sz="8" w:space="0" w:color="auto"/>
              <w:left w:val="single" w:sz="8" w:space="0" w:color="auto"/>
            </w:tcBorders>
            <w:vAlign w:val="center"/>
          </w:tcPr>
          <w:p w:rsidR="0073700B" w:rsidRDefault="001A2FFC">
            <w:pPr>
              <w:jc w:val="center"/>
              <w:rPr>
                <w:bCs/>
                <w:szCs w:val="18"/>
              </w:rPr>
            </w:pPr>
            <w:r>
              <w:rPr>
                <w:bCs/>
                <w:position w:val="-6"/>
                <w:szCs w:val="18"/>
              </w:rPr>
              <w:object w:dxaOrig="1309" w:dyaOrig="262">
                <v:shape id="_x0000_i1061" type="#_x0000_t75" style="width:65.2pt;height:13.05pt" o:ole="">
                  <v:imagedata r:id="rId85" o:title=""/>
                </v:shape>
                <o:OLEObject Type="Embed" ProgID="Equation.DSMT4" ShapeID="_x0000_i1061" DrawAspect="Content" ObjectID="_1645534694" r:id="rId86"/>
              </w:object>
            </w:r>
          </w:p>
        </w:tc>
        <w:tc>
          <w:tcPr>
            <w:tcW w:w="4148" w:type="dxa"/>
            <w:tcBorders>
              <w:top w:val="single" w:sz="8" w:space="0" w:color="auto"/>
              <w:right w:val="single" w:sz="8" w:space="0" w:color="auto"/>
            </w:tcBorders>
            <w:vAlign w:val="center"/>
          </w:tcPr>
          <w:p w:rsidR="0073700B" w:rsidRDefault="001A2FFC">
            <w:pPr>
              <w:jc w:val="center"/>
              <w:rPr>
                <w:bCs/>
                <w:szCs w:val="18"/>
              </w:rPr>
            </w:pPr>
            <w:r>
              <w:rPr>
                <w:bCs/>
                <w:szCs w:val="18"/>
              </w:rPr>
              <w:t>轻微岩爆</w:t>
            </w:r>
          </w:p>
        </w:tc>
      </w:tr>
      <w:tr w:rsidR="0073700B">
        <w:tc>
          <w:tcPr>
            <w:tcW w:w="4148" w:type="dxa"/>
            <w:tcBorders>
              <w:left w:val="single" w:sz="8" w:space="0" w:color="auto"/>
            </w:tcBorders>
            <w:vAlign w:val="center"/>
          </w:tcPr>
          <w:p w:rsidR="0073700B" w:rsidRDefault="001A2FFC">
            <w:pPr>
              <w:jc w:val="center"/>
              <w:rPr>
                <w:bCs/>
                <w:szCs w:val="18"/>
              </w:rPr>
            </w:pPr>
            <w:r>
              <w:rPr>
                <w:bCs/>
                <w:position w:val="-6"/>
                <w:szCs w:val="18"/>
              </w:rPr>
              <w:object w:dxaOrig="1309" w:dyaOrig="262">
                <v:shape id="_x0000_i1062" type="#_x0000_t75" style="width:65.2pt;height:13.05pt" o:ole="">
                  <v:imagedata r:id="rId87" o:title=""/>
                </v:shape>
                <o:OLEObject Type="Embed" ProgID="Equation.DSMT4" ShapeID="_x0000_i1062" DrawAspect="Content" ObjectID="_1645534695" r:id="rId88"/>
              </w:object>
            </w:r>
          </w:p>
        </w:tc>
        <w:tc>
          <w:tcPr>
            <w:tcW w:w="4148" w:type="dxa"/>
            <w:tcBorders>
              <w:right w:val="single" w:sz="8" w:space="0" w:color="auto"/>
            </w:tcBorders>
            <w:vAlign w:val="center"/>
          </w:tcPr>
          <w:p w:rsidR="0073700B" w:rsidRDefault="001A2FFC">
            <w:pPr>
              <w:jc w:val="center"/>
              <w:rPr>
                <w:bCs/>
                <w:szCs w:val="18"/>
              </w:rPr>
            </w:pPr>
            <w:r>
              <w:rPr>
                <w:bCs/>
                <w:szCs w:val="18"/>
              </w:rPr>
              <w:t>中等岩爆</w:t>
            </w:r>
          </w:p>
        </w:tc>
      </w:tr>
      <w:tr w:rsidR="0073700B">
        <w:tc>
          <w:tcPr>
            <w:tcW w:w="4148" w:type="dxa"/>
            <w:tcBorders>
              <w:left w:val="single" w:sz="8" w:space="0" w:color="auto"/>
              <w:bottom w:val="single" w:sz="8" w:space="0" w:color="auto"/>
            </w:tcBorders>
            <w:vAlign w:val="center"/>
          </w:tcPr>
          <w:p w:rsidR="0073700B" w:rsidRDefault="001A2FFC">
            <w:pPr>
              <w:jc w:val="center"/>
              <w:rPr>
                <w:bCs/>
                <w:szCs w:val="18"/>
              </w:rPr>
            </w:pPr>
            <w:r>
              <w:rPr>
                <w:bCs/>
                <w:position w:val="-6"/>
                <w:szCs w:val="18"/>
              </w:rPr>
              <w:object w:dxaOrig="860" w:dyaOrig="262">
                <v:shape id="_x0000_i1063" type="#_x0000_t75" style="width:42.8pt;height:13.05pt" o:ole="">
                  <v:imagedata r:id="rId89" o:title=""/>
                </v:shape>
                <o:OLEObject Type="Embed" ProgID="Equation.DSMT4" ShapeID="_x0000_i1063" DrawAspect="Content" ObjectID="_1645534696" r:id="rId90"/>
              </w:object>
            </w:r>
          </w:p>
        </w:tc>
        <w:tc>
          <w:tcPr>
            <w:tcW w:w="4148" w:type="dxa"/>
            <w:tcBorders>
              <w:bottom w:val="single" w:sz="8" w:space="0" w:color="auto"/>
              <w:right w:val="single" w:sz="8" w:space="0" w:color="auto"/>
            </w:tcBorders>
            <w:vAlign w:val="center"/>
          </w:tcPr>
          <w:p w:rsidR="0073700B" w:rsidRDefault="001A2FFC">
            <w:pPr>
              <w:jc w:val="center"/>
              <w:rPr>
                <w:bCs/>
                <w:szCs w:val="18"/>
              </w:rPr>
            </w:pPr>
            <w:r>
              <w:rPr>
                <w:bCs/>
                <w:szCs w:val="18"/>
              </w:rPr>
              <w:t>强烈或极强岩爆</w:t>
            </w:r>
          </w:p>
        </w:tc>
      </w:tr>
    </w:tbl>
    <w:p w:rsidR="0073700B" w:rsidRDefault="001A2FFC" w:rsidP="00F80BAC">
      <w:pPr>
        <w:spacing w:beforeLines="50" w:before="156" w:line="360" w:lineRule="auto"/>
        <w:ind w:firstLineChars="200" w:firstLine="480"/>
        <w:rPr>
          <w:bCs/>
          <w:sz w:val="24"/>
          <w:szCs w:val="21"/>
        </w:rPr>
      </w:pPr>
      <w:r>
        <w:rPr>
          <w:rFonts w:hint="eastAsia"/>
          <w:bCs/>
          <w:sz w:val="24"/>
          <w:szCs w:val="24"/>
        </w:rPr>
        <w:t>（</w:t>
      </w:r>
      <w:r>
        <w:rPr>
          <w:rFonts w:hint="eastAsia"/>
          <w:bCs/>
          <w:sz w:val="24"/>
          <w:szCs w:val="24"/>
        </w:rPr>
        <w:t>4</w:t>
      </w:r>
      <w:r>
        <w:rPr>
          <w:rFonts w:hint="eastAsia"/>
          <w:bCs/>
          <w:sz w:val="24"/>
          <w:szCs w:val="24"/>
        </w:rPr>
        <w:t>）</w:t>
      </w:r>
      <w:r>
        <w:rPr>
          <w:bCs/>
          <w:sz w:val="24"/>
        </w:rPr>
        <w:t>结构面发育、结合程度</w:t>
      </w:r>
      <w:r>
        <w:rPr>
          <w:bCs/>
          <w:i/>
          <w:iCs/>
          <w:sz w:val="24"/>
        </w:rPr>
        <w:t>X</w:t>
      </w:r>
      <w:r>
        <w:rPr>
          <w:bCs/>
          <w:sz w:val="24"/>
          <w:vertAlign w:val="subscript"/>
        </w:rPr>
        <w:t>31</w:t>
      </w:r>
      <w:r>
        <w:rPr>
          <w:bCs/>
          <w:sz w:val="24"/>
          <w:szCs w:val="21"/>
        </w:rPr>
        <w:t>，</w:t>
      </w:r>
      <w:r>
        <w:rPr>
          <w:bCs/>
          <w:sz w:val="24"/>
        </w:rPr>
        <w:t>已有的研究结果表明岩体结构</w:t>
      </w:r>
      <w:r>
        <w:rPr>
          <w:bCs/>
          <w:sz w:val="24"/>
          <w:szCs w:val="21"/>
        </w:rPr>
        <w:t>面对岩爆的发生和岩爆烈度具有控制作用，因此本标准将结构面因素纳入评估指标。主要考虑结构面发育程度、主要结构面的结合程度</w:t>
      </w:r>
      <w:r>
        <w:rPr>
          <w:bCs/>
          <w:sz w:val="24"/>
          <w:szCs w:val="21"/>
        </w:rPr>
        <w:fldChar w:fldCharType="begin"/>
      </w:r>
      <w:r>
        <w:rPr>
          <w:bCs/>
          <w:sz w:val="24"/>
          <w:szCs w:val="21"/>
        </w:rPr>
        <w:instrText xml:space="preserve"> ADDIN NE.Ref.{54265740-2486-4719-95F4-53AD9EACE1EC}</w:instrText>
      </w:r>
      <w:r>
        <w:rPr>
          <w:bCs/>
          <w:sz w:val="24"/>
          <w:szCs w:val="21"/>
        </w:rPr>
        <w:fldChar w:fldCharType="separate"/>
      </w:r>
      <w:r>
        <w:rPr>
          <w:color w:val="080000"/>
          <w:kern w:val="0"/>
          <w:sz w:val="24"/>
          <w:szCs w:val="24"/>
          <w:vertAlign w:val="superscript"/>
        </w:rPr>
        <w:t>[11]</w:t>
      </w:r>
      <w:r>
        <w:rPr>
          <w:bCs/>
          <w:sz w:val="24"/>
          <w:szCs w:val="21"/>
        </w:rPr>
        <w:fldChar w:fldCharType="end"/>
      </w:r>
      <w:r>
        <w:rPr>
          <w:bCs/>
          <w:sz w:val="24"/>
          <w:szCs w:val="21"/>
        </w:rPr>
        <w:t>，表</w:t>
      </w:r>
      <w:bookmarkStart w:id="119" w:name="_Hlk536183475"/>
      <w:r>
        <w:rPr>
          <w:bCs/>
          <w:sz w:val="24"/>
          <w:szCs w:val="21"/>
        </w:rPr>
        <w:t>A-</w:t>
      </w:r>
      <w:bookmarkEnd w:id="119"/>
      <w:r>
        <w:rPr>
          <w:bCs/>
          <w:sz w:val="24"/>
          <w:szCs w:val="21"/>
        </w:rPr>
        <w:t>6</w:t>
      </w:r>
      <w:r>
        <w:rPr>
          <w:bCs/>
          <w:sz w:val="24"/>
          <w:szCs w:val="21"/>
        </w:rPr>
        <w:t>列出了国内现有规范关于结构面的定性分级，可知三种规范分级标准基本一致，本标准亦沿用此分级方法。</w:t>
      </w:r>
    </w:p>
    <w:p w:rsidR="0073700B" w:rsidRDefault="001A2FFC">
      <w:pPr>
        <w:spacing w:line="312" w:lineRule="auto"/>
        <w:jc w:val="center"/>
        <w:rPr>
          <w:rFonts w:ascii="黑体" w:eastAsia="黑体" w:hAnsi="黑体"/>
          <w:bCs/>
          <w:sz w:val="24"/>
          <w:szCs w:val="24"/>
        </w:rPr>
      </w:pPr>
      <w:r>
        <w:rPr>
          <w:rFonts w:ascii="黑体" w:eastAsia="黑体" w:hAnsi="黑体"/>
          <w:bCs/>
          <w:sz w:val="24"/>
          <w:szCs w:val="24"/>
        </w:rPr>
        <w:t>表</w:t>
      </w:r>
      <w:r>
        <w:rPr>
          <w:rFonts w:ascii="黑体" w:eastAsia="黑体" w:hAnsi="黑体"/>
          <w:bCs/>
          <w:sz w:val="24"/>
          <w:szCs w:val="24"/>
        </w:rPr>
        <w:t xml:space="preserve">A-6 </w:t>
      </w:r>
      <w:r>
        <w:rPr>
          <w:rFonts w:ascii="黑体" w:eastAsia="黑体" w:hAnsi="黑体"/>
          <w:bCs/>
          <w:sz w:val="24"/>
          <w:szCs w:val="24"/>
        </w:rPr>
        <w:t>结构面的定性分级</w:t>
      </w:r>
    </w:p>
    <w:tbl>
      <w:tblPr>
        <w:tblW w:w="94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07"/>
        <w:gridCol w:w="784"/>
        <w:gridCol w:w="1058"/>
        <w:gridCol w:w="709"/>
        <w:gridCol w:w="992"/>
        <w:gridCol w:w="709"/>
        <w:gridCol w:w="992"/>
        <w:gridCol w:w="851"/>
        <w:gridCol w:w="835"/>
        <w:gridCol w:w="866"/>
      </w:tblGrid>
      <w:tr w:rsidR="0073700B">
        <w:tc>
          <w:tcPr>
            <w:tcW w:w="2483" w:type="dxa"/>
            <w:gridSpan w:val="3"/>
            <w:tcBorders>
              <w:top w:val="single" w:sz="8" w:space="0" w:color="auto"/>
              <w:left w:val="single" w:sz="8" w:space="0" w:color="auto"/>
              <w:bottom w:val="single" w:sz="8" w:space="0" w:color="auto"/>
              <w:right w:val="single" w:sz="4" w:space="0" w:color="auto"/>
              <w:tl2br w:val="single" w:sz="4" w:space="0" w:color="auto"/>
            </w:tcBorders>
            <w:shd w:val="clear" w:color="auto" w:fill="auto"/>
            <w:vAlign w:val="center"/>
          </w:tcPr>
          <w:p w:rsidR="0073700B" w:rsidRDefault="001A2FFC">
            <w:pPr>
              <w:jc w:val="center"/>
              <w:rPr>
                <w:bCs/>
                <w:szCs w:val="21"/>
              </w:rPr>
            </w:pPr>
            <w:r>
              <w:rPr>
                <w:bCs/>
                <w:szCs w:val="21"/>
              </w:rPr>
              <w:t xml:space="preserve">        </w:t>
            </w:r>
            <w:r>
              <w:rPr>
                <w:bCs/>
                <w:szCs w:val="21"/>
              </w:rPr>
              <w:t>完整程度</w:t>
            </w:r>
          </w:p>
          <w:p w:rsidR="0073700B" w:rsidRDefault="001A2FFC">
            <w:pPr>
              <w:ind w:firstLineChars="150" w:firstLine="315"/>
              <w:rPr>
                <w:bCs/>
                <w:szCs w:val="21"/>
              </w:rPr>
            </w:pPr>
            <w:r>
              <w:rPr>
                <w:bCs/>
                <w:szCs w:val="21"/>
              </w:rPr>
              <w:t>类别</w:t>
            </w:r>
          </w:p>
        </w:tc>
        <w:tc>
          <w:tcPr>
            <w:tcW w:w="1058" w:type="dxa"/>
            <w:tcBorders>
              <w:top w:val="single" w:sz="8"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完整</w:t>
            </w:r>
          </w:p>
        </w:tc>
        <w:tc>
          <w:tcPr>
            <w:tcW w:w="1701"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较完整</w:t>
            </w:r>
          </w:p>
        </w:tc>
        <w:tc>
          <w:tcPr>
            <w:tcW w:w="1701"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较破碎</w:t>
            </w:r>
          </w:p>
        </w:tc>
        <w:tc>
          <w:tcPr>
            <w:tcW w:w="168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破碎</w:t>
            </w:r>
          </w:p>
        </w:tc>
        <w:tc>
          <w:tcPr>
            <w:tcW w:w="866" w:type="dxa"/>
            <w:tcBorders>
              <w:top w:val="single" w:sz="8" w:space="0" w:color="auto"/>
              <w:left w:val="single" w:sz="4" w:space="0" w:color="auto"/>
              <w:bottom w:val="single" w:sz="8" w:space="0" w:color="auto"/>
              <w:right w:val="single" w:sz="8" w:space="0" w:color="auto"/>
            </w:tcBorders>
            <w:shd w:val="clear" w:color="auto" w:fill="auto"/>
            <w:vAlign w:val="center"/>
          </w:tcPr>
          <w:p w:rsidR="0073700B" w:rsidRDefault="001A2FFC">
            <w:pPr>
              <w:jc w:val="center"/>
              <w:rPr>
                <w:bCs/>
                <w:szCs w:val="21"/>
              </w:rPr>
            </w:pPr>
            <w:r>
              <w:rPr>
                <w:bCs/>
                <w:szCs w:val="21"/>
              </w:rPr>
              <w:t>极破碎</w:t>
            </w:r>
          </w:p>
        </w:tc>
      </w:tr>
      <w:tr w:rsidR="0073700B">
        <w:trPr>
          <w:trHeight w:val="726"/>
        </w:trPr>
        <w:tc>
          <w:tcPr>
            <w:tcW w:w="99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《公路隧道设</w:t>
            </w:r>
            <w:r>
              <w:rPr>
                <w:bCs/>
                <w:szCs w:val="21"/>
              </w:rPr>
              <w:lastRenderedPageBreak/>
              <w:t>计规范</w:t>
            </w:r>
            <w:r>
              <w:rPr>
                <w:bCs/>
                <w:szCs w:val="21"/>
              </w:rPr>
              <w:t xml:space="preserve"> </w:t>
            </w:r>
            <w:r>
              <w:rPr>
                <w:bCs/>
                <w:szCs w:val="21"/>
              </w:rPr>
              <w:t>第一册</w:t>
            </w:r>
            <w:r>
              <w:rPr>
                <w:bCs/>
                <w:szCs w:val="21"/>
              </w:rPr>
              <w:t xml:space="preserve"> </w:t>
            </w:r>
            <w:r>
              <w:rPr>
                <w:bCs/>
                <w:szCs w:val="21"/>
              </w:rPr>
              <w:t>土建工程》（</w:t>
            </w:r>
            <w:r>
              <w:rPr>
                <w:bCs/>
                <w:szCs w:val="21"/>
              </w:rPr>
              <w:t>JTG</w:t>
            </w:r>
            <w:r>
              <w:rPr>
                <w:bCs/>
                <w:szCs w:val="21"/>
              </w:rPr>
              <w:t xml:space="preserve"> 3370.1-2018</w:t>
            </w:r>
            <w:r>
              <w:rPr>
                <w:bCs/>
                <w:szCs w:val="21"/>
              </w:rPr>
              <w:t>）</w:t>
            </w:r>
            <w:r>
              <w:rPr>
                <w:bCs/>
                <w:szCs w:val="21"/>
              </w:rPr>
              <w:fldChar w:fldCharType="begin"/>
            </w:r>
            <w:r>
              <w:rPr>
                <w:bCs/>
                <w:szCs w:val="21"/>
              </w:rPr>
              <w:instrText xml:space="preserve"> ADDIN NE.Ref.{A039D74A-562E-4E06-9D7E-89FDE6A177F9}</w:instrText>
            </w:r>
            <w:r>
              <w:rPr>
                <w:bCs/>
                <w:szCs w:val="21"/>
              </w:rPr>
              <w:fldChar w:fldCharType="separate"/>
            </w:r>
            <w:r>
              <w:rPr>
                <w:color w:val="080000"/>
                <w:kern w:val="0"/>
                <w:szCs w:val="21"/>
                <w:vertAlign w:val="superscript"/>
              </w:rPr>
              <w:t>[33]</w:t>
            </w:r>
            <w:r>
              <w:rPr>
                <w:bCs/>
                <w:szCs w:val="21"/>
              </w:rPr>
              <w:fldChar w:fldCharType="end"/>
            </w:r>
            <w:r>
              <w:rPr>
                <w:bCs/>
                <w:szCs w:val="21"/>
              </w:rPr>
              <w:t>s</w:t>
            </w:r>
          </w:p>
        </w:tc>
        <w:tc>
          <w:tcPr>
            <w:tcW w:w="70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lastRenderedPageBreak/>
              <w:t>结构面发</w:t>
            </w:r>
            <w:r>
              <w:rPr>
                <w:bCs/>
                <w:szCs w:val="21"/>
              </w:rPr>
              <w:lastRenderedPageBreak/>
              <w:t>育程度</w:t>
            </w:r>
          </w:p>
        </w:tc>
        <w:tc>
          <w:tcPr>
            <w:tcW w:w="784" w:type="dxa"/>
            <w:tcBorders>
              <w:top w:val="single" w:sz="8"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lastRenderedPageBreak/>
              <w:t>组数</w:t>
            </w:r>
          </w:p>
        </w:tc>
        <w:tc>
          <w:tcPr>
            <w:tcW w:w="1058" w:type="dxa"/>
            <w:tcBorders>
              <w:top w:val="single" w:sz="8"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1~2</w:t>
            </w: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1~2</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2~3</w:t>
            </w: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2~3</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≥3</w:t>
            </w:r>
          </w:p>
        </w:tc>
        <w:tc>
          <w:tcPr>
            <w:tcW w:w="1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≥3</w:t>
            </w:r>
          </w:p>
        </w:tc>
        <w:tc>
          <w:tcPr>
            <w:tcW w:w="866"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73700B" w:rsidRDefault="001A2FFC">
            <w:pPr>
              <w:jc w:val="center"/>
              <w:rPr>
                <w:bCs/>
                <w:szCs w:val="21"/>
              </w:rPr>
            </w:pPr>
            <w:r>
              <w:rPr>
                <w:bCs/>
                <w:szCs w:val="21"/>
              </w:rPr>
              <w:t>无序</w:t>
            </w:r>
          </w:p>
        </w:tc>
      </w:tr>
      <w:tr w:rsidR="0073700B">
        <w:trPr>
          <w:trHeight w:val="726"/>
        </w:trPr>
        <w:tc>
          <w:tcPr>
            <w:tcW w:w="992" w:type="dxa"/>
            <w:vMerge/>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平均间距</w:t>
            </w:r>
            <w:r>
              <w:rPr>
                <w:bCs/>
                <w:szCs w:val="21"/>
              </w:rPr>
              <w:t>(m)</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0.2~0.4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0.2~0.4</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≤0.2</w:t>
            </w:r>
          </w:p>
        </w:tc>
        <w:tc>
          <w:tcPr>
            <w:tcW w:w="866" w:type="dxa"/>
            <w:vMerge/>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73700B">
            <w:pPr>
              <w:jc w:val="center"/>
              <w:rPr>
                <w:bCs/>
                <w:szCs w:val="21"/>
              </w:rPr>
            </w:pPr>
          </w:p>
        </w:tc>
      </w:tr>
      <w:tr w:rsidR="0073700B">
        <w:trPr>
          <w:trHeight w:val="726"/>
        </w:trPr>
        <w:tc>
          <w:tcPr>
            <w:tcW w:w="992" w:type="dxa"/>
            <w:vMerge/>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1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主要结构面结合程</w:t>
            </w:r>
            <w:r>
              <w:rPr>
                <w:bCs/>
                <w:szCs w:val="21"/>
              </w:rPr>
              <w:t>度</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好或一般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好或一般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好或一般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差</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一般或差</w:t>
            </w:r>
          </w:p>
        </w:tc>
        <w:tc>
          <w:tcPr>
            <w:tcW w:w="866" w:type="dxa"/>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1A2FFC">
            <w:pPr>
              <w:jc w:val="center"/>
              <w:rPr>
                <w:bCs/>
                <w:szCs w:val="21"/>
              </w:rPr>
            </w:pPr>
            <w:r>
              <w:rPr>
                <w:bCs/>
                <w:szCs w:val="21"/>
              </w:rPr>
              <w:t>很差</w:t>
            </w:r>
          </w:p>
        </w:tc>
      </w:tr>
      <w:tr w:rsidR="0073700B">
        <w:tc>
          <w:tcPr>
            <w:tcW w:w="992"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《工程岩体分级》（</w:t>
            </w:r>
            <w:r>
              <w:rPr>
                <w:bCs/>
                <w:szCs w:val="21"/>
              </w:rPr>
              <w:t>GB/T 50218-2014</w:t>
            </w:r>
            <w:r>
              <w:rPr>
                <w:bCs/>
                <w:szCs w:val="21"/>
              </w:rPr>
              <w:t>）</w:t>
            </w:r>
            <w:r>
              <w:rPr>
                <w:bCs/>
                <w:szCs w:val="21"/>
              </w:rPr>
              <w:fldChar w:fldCharType="begin"/>
            </w:r>
            <w:r>
              <w:rPr>
                <w:bCs/>
                <w:szCs w:val="21"/>
              </w:rPr>
              <w:instrText xml:space="preserve"> ADDIN NE.Ref.{7150FE23-4CDB-4B3E-A385-27FD69DC21AA}</w:instrText>
            </w:r>
            <w:r>
              <w:rPr>
                <w:bCs/>
                <w:szCs w:val="21"/>
              </w:rPr>
              <w:fldChar w:fldCharType="separate"/>
            </w:r>
            <w:r>
              <w:rPr>
                <w:color w:val="080000"/>
                <w:kern w:val="0"/>
                <w:szCs w:val="21"/>
                <w:vertAlign w:val="superscript"/>
              </w:rPr>
              <w:t>[11]</w:t>
            </w:r>
            <w:r>
              <w:rPr>
                <w:bCs/>
                <w:szCs w:val="21"/>
              </w:rPr>
              <w:fldChar w:fldCharType="end"/>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结构面发育程度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组数</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≥3</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≥3</w:t>
            </w:r>
          </w:p>
        </w:tc>
        <w:tc>
          <w:tcPr>
            <w:tcW w:w="866"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1A2FFC">
            <w:pPr>
              <w:jc w:val="center"/>
              <w:rPr>
                <w:bCs/>
                <w:szCs w:val="21"/>
              </w:rPr>
            </w:pPr>
            <w:r>
              <w:rPr>
                <w:bCs/>
                <w:szCs w:val="21"/>
              </w:rPr>
              <w:t>无序</w:t>
            </w:r>
          </w:p>
        </w:tc>
      </w:tr>
      <w:tr w:rsidR="0073700B">
        <w:tc>
          <w:tcPr>
            <w:tcW w:w="992" w:type="dxa"/>
            <w:vMerge/>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平均间距</w:t>
            </w:r>
            <w:r>
              <w:rPr>
                <w:bCs/>
                <w:szCs w:val="21"/>
              </w:rPr>
              <w:t>(m)</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0.4~0.2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0.4~0.2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&lt;0.2</w:t>
            </w:r>
          </w:p>
        </w:tc>
        <w:tc>
          <w:tcPr>
            <w:tcW w:w="866" w:type="dxa"/>
            <w:vMerge/>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73700B">
            <w:pPr>
              <w:jc w:val="center"/>
              <w:rPr>
                <w:bCs/>
                <w:szCs w:val="21"/>
              </w:rPr>
            </w:pPr>
          </w:p>
        </w:tc>
      </w:tr>
      <w:tr w:rsidR="0073700B">
        <w:tc>
          <w:tcPr>
            <w:tcW w:w="992" w:type="dxa"/>
            <w:vMerge/>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1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主要结构面结合程度</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结合好或结合一般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结合好或结合一般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结合好或结合一般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结合差</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结合好或结合一般</w:t>
            </w:r>
          </w:p>
        </w:tc>
        <w:tc>
          <w:tcPr>
            <w:tcW w:w="866" w:type="dxa"/>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1A2FFC">
            <w:pPr>
              <w:jc w:val="center"/>
              <w:rPr>
                <w:bCs/>
                <w:szCs w:val="21"/>
              </w:rPr>
            </w:pPr>
            <w:r>
              <w:rPr>
                <w:bCs/>
                <w:szCs w:val="21"/>
              </w:rPr>
              <w:t>结合很差</w:t>
            </w:r>
          </w:p>
        </w:tc>
      </w:tr>
      <w:tr w:rsidR="0073700B">
        <w:trPr>
          <w:trHeight w:val="726"/>
        </w:trPr>
        <w:tc>
          <w:tcPr>
            <w:tcW w:w="992"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《铁路隧道设计规范》（</w:t>
            </w:r>
            <w:r>
              <w:rPr>
                <w:bCs/>
                <w:szCs w:val="21"/>
              </w:rPr>
              <w:t>TB 10003-2016</w:t>
            </w:r>
            <w:r>
              <w:rPr>
                <w:bCs/>
                <w:szCs w:val="21"/>
              </w:rPr>
              <w:t>）</w:t>
            </w:r>
            <w:r>
              <w:rPr>
                <w:bCs/>
                <w:szCs w:val="21"/>
              </w:rPr>
              <w:fldChar w:fldCharType="begin"/>
            </w:r>
            <w:r>
              <w:rPr>
                <w:bCs/>
                <w:szCs w:val="21"/>
              </w:rPr>
              <w:instrText xml:space="preserve"> ADDIN NE.Ref.{3269718B-1204-4B7E-8F3C-4ED3BE5448C1}</w:instrText>
            </w:r>
            <w:r>
              <w:rPr>
                <w:bCs/>
                <w:szCs w:val="21"/>
              </w:rPr>
              <w:fldChar w:fldCharType="separate"/>
            </w:r>
            <w:r>
              <w:rPr>
                <w:color w:val="080000"/>
                <w:kern w:val="0"/>
                <w:szCs w:val="21"/>
                <w:vertAlign w:val="superscript"/>
              </w:rPr>
              <w:t>[15]</w:t>
            </w:r>
            <w:r>
              <w:rPr>
                <w:bCs/>
                <w:szCs w:val="21"/>
              </w:rPr>
              <w:fldChar w:fldCharType="end"/>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结构面发育程度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组数</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≥3</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≥3</w:t>
            </w:r>
          </w:p>
        </w:tc>
        <w:tc>
          <w:tcPr>
            <w:tcW w:w="866"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1A2FFC">
            <w:pPr>
              <w:jc w:val="center"/>
              <w:rPr>
                <w:bCs/>
                <w:szCs w:val="21"/>
              </w:rPr>
            </w:pPr>
            <w:r>
              <w:rPr>
                <w:bCs/>
                <w:szCs w:val="21"/>
              </w:rPr>
              <w:t>无序</w:t>
            </w:r>
          </w:p>
        </w:tc>
      </w:tr>
      <w:tr w:rsidR="0073700B">
        <w:trPr>
          <w:trHeight w:val="726"/>
        </w:trPr>
        <w:tc>
          <w:tcPr>
            <w:tcW w:w="992" w:type="dxa"/>
            <w:vMerge/>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平均间距</w:t>
            </w:r>
            <w:r>
              <w:rPr>
                <w:bCs/>
                <w:szCs w:val="21"/>
              </w:rPr>
              <w:t>(m)</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0.4~0.2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0.4~0.2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&lt;0.2</w:t>
            </w:r>
          </w:p>
        </w:tc>
        <w:tc>
          <w:tcPr>
            <w:tcW w:w="866" w:type="dxa"/>
            <w:vMerge/>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73700B">
            <w:pPr>
              <w:jc w:val="center"/>
              <w:rPr>
                <w:bCs/>
                <w:szCs w:val="21"/>
              </w:rPr>
            </w:pPr>
          </w:p>
        </w:tc>
      </w:tr>
      <w:tr w:rsidR="0073700B">
        <w:trPr>
          <w:trHeight w:val="726"/>
        </w:trPr>
        <w:tc>
          <w:tcPr>
            <w:tcW w:w="992" w:type="dxa"/>
            <w:vMerge/>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1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主要结构面结合程</w:t>
            </w:r>
            <w:r>
              <w:rPr>
                <w:bCs/>
                <w:szCs w:val="21"/>
              </w:rPr>
              <w:t>度</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结合好或一般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结合好或一般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结合好或一般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结合差</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结合一般或差</w:t>
            </w:r>
          </w:p>
        </w:tc>
        <w:tc>
          <w:tcPr>
            <w:tcW w:w="866" w:type="dxa"/>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1A2FFC">
            <w:pPr>
              <w:jc w:val="center"/>
              <w:rPr>
                <w:bCs/>
                <w:szCs w:val="21"/>
              </w:rPr>
            </w:pPr>
            <w:r>
              <w:rPr>
                <w:bCs/>
                <w:szCs w:val="21"/>
              </w:rPr>
              <w:t>结合很差</w:t>
            </w:r>
          </w:p>
        </w:tc>
      </w:tr>
      <w:tr w:rsidR="0073700B">
        <w:trPr>
          <w:trHeight w:val="726"/>
        </w:trPr>
        <w:tc>
          <w:tcPr>
            <w:tcW w:w="992"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《公路工程地质勘察规范》（</w:t>
            </w:r>
            <w:r>
              <w:rPr>
                <w:bCs/>
                <w:szCs w:val="21"/>
              </w:rPr>
              <w:t>JTG C20-2011</w:t>
            </w:r>
            <w:r>
              <w:rPr>
                <w:bCs/>
                <w:szCs w:val="21"/>
              </w:rPr>
              <w:t>）</w:t>
            </w:r>
            <w:r>
              <w:rPr>
                <w:bCs/>
                <w:szCs w:val="21"/>
              </w:rPr>
              <w:fldChar w:fldCharType="begin"/>
            </w:r>
            <w:r>
              <w:rPr>
                <w:bCs/>
                <w:szCs w:val="21"/>
              </w:rPr>
              <w:instrText xml:space="preserve"> ADDIN NE.Ref.{4CFE1023-C058-4ABC-A5F3-5E5EE34E828E}</w:instrText>
            </w:r>
            <w:r>
              <w:rPr>
                <w:bCs/>
                <w:szCs w:val="21"/>
              </w:rPr>
              <w:fldChar w:fldCharType="separate"/>
            </w:r>
            <w:r>
              <w:rPr>
                <w:color w:val="080000"/>
                <w:kern w:val="0"/>
                <w:szCs w:val="21"/>
                <w:vertAlign w:val="superscript"/>
              </w:rPr>
              <w:t>[10]</w:t>
            </w:r>
            <w:r>
              <w:rPr>
                <w:bCs/>
                <w:szCs w:val="21"/>
              </w:rPr>
              <w:fldChar w:fldCharType="end"/>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结构面发育程度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组数</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&gt;3</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&gt;3</w:t>
            </w:r>
          </w:p>
        </w:tc>
        <w:tc>
          <w:tcPr>
            <w:tcW w:w="866"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1A2FFC">
            <w:pPr>
              <w:jc w:val="center"/>
              <w:rPr>
                <w:bCs/>
                <w:szCs w:val="21"/>
              </w:rPr>
            </w:pPr>
            <w:r>
              <w:rPr>
                <w:bCs/>
                <w:szCs w:val="21"/>
              </w:rPr>
              <w:t>无序</w:t>
            </w:r>
          </w:p>
        </w:tc>
      </w:tr>
      <w:tr w:rsidR="0073700B">
        <w:trPr>
          <w:trHeight w:val="726"/>
        </w:trPr>
        <w:tc>
          <w:tcPr>
            <w:tcW w:w="992" w:type="dxa"/>
            <w:vMerge/>
            <w:tcBorders>
              <w:top w:val="single" w:sz="4" w:space="0" w:color="auto"/>
              <w:left w:val="single" w:sz="8"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73700B">
            <w:pPr>
              <w:jc w:val="center"/>
              <w:rPr>
                <w:bCs/>
                <w:szCs w:val="21"/>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平均间距</w:t>
            </w:r>
            <w:r>
              <w:rPr>
                <w:bCs/>
                <w:szCs w:val="21"/>
              </w:rPr>
              <w:t>(m)</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&gt;1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0.4~0.2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0.4~0.2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3700B" w:rsidRDefault="001A2FFC">
            <w:pPr>
              <w:jc w:val="center"/>
              <w:rPr>
                <w:bCs/>
                <w:szCs w:val="21"/>
              </w:rPr>
            </w:pPr>
            <w:r>
              <w:rPr>
                <w:bCs/>
                <w:szCs w:val="21"/>
              </w:rPr>
              <w:t>&lt;0.2</w:t>
            </w:r>
          </w:p>
        </w:tc>
        <w:tc>
          <w:tcPr>
            <w:tcW w:w="866" w:type="dxa"/>
            <w:vMerge/>
            <w:tcBorders>
              <w:top w:val="single" w:sz="4" w:space="0" w:color="auto"/>
              <w:left w:val="single" w:sz="4" w:space="0" w:color="auto"/>
              <w:bottom w:val="single" w:sz="4" w:space="0" w:color="auto"/>
              <w:right w:val="single" w:sz="8" w:space="0" w:color="auto"/>
            </w:tcBorders>
            <w:shd w:val="clear" w:color="auto" w:fill="auto"/>
            <w:vAlign w:val="center"/>
          </w:tcPr>
          <w:p w:rsidR="0073700B" w:rsidRDefault="0073700B">
            <w:pPr>
              <w:jc w:val="center"/>
              <w:rPr>
                <w:bCs/>
                <w:szCs w:val="21"/>
              </w:rPr>
            </w:pPr>
          </w:p>
        </w:tc>
      </w:tr>
      <w:tr w:rsidR="0073700B">
        <w:trPr>
          <w:trHeight w:val="726"/>
        </w:trPr>
        <w:tc>
          <w:tcPr>
            <w:tcW w:w="992" w:type="dxa"/>
            <w:vMerge/>
            <w:tcBorders>
              <w:top w:val="single" w:sz="4" w:space="0" w:color="auto"/>
              <w:left w:val="single" w:sz="8" w:space="0" w:color="auto"/>
              <w:bottom w:val="single" w:sz="8" w:space="0" w:color="auto"/>
              <w:right w:val="single" w:sz="4" w:space="0" w:color="auto"/>
            </w:tcBorders>
            <w:shd w:val="clear" w:color="auto" w:fill="auto"/>
            <w:vAlign w:val="center"/>
          </w:tcPr>
          <w:p w:rsidR="0073700B" w:rsidRDefault="0073700B">
            <w:pPr>
              <w:jc w:val="center"/>
              <w:rPr>
                <w:bCs/>
                <w:szCs w:val="21"/>
              </w:rPr>
            </w:pPr>
          </w:p>
        </w:tc>
        <w:tc>
          <w:tcPr>
            <w:tcW w:w="1491"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主要结构面结合程</w:t>
            </w:r>
            <w:r>
              <w:rPr>
                <w:bCs/>
                <w:szCs w:val="21"/>
              </w:rPr>
              <w:t>度</w:t>
            </w:r>
          </w:p>
        </w:tc>
        <w:tc>
          <w:tcPr>
            <w:tcW w:w="1058" w:type="dxa"/>
            <w:tcBorders>
              <w:top w:val="single" w:sz="4"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好或一般</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差</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好或一般</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差</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好或一般</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差</w:t>
            </w:r>
          </w:p>
        </w:tc>
        <w:tc>
          <w:tcPr>
            <w:tcW w:w="835" w:type="dxa"/>
            <w:tcBorders>
              <w:top w:val="single" w:sz="4" w:space="0" w:color="auto"/>
              <w:left w:val="single" w:sz="4" w:space="0" w:color="auto"/>
              <w:bottom w:val="single" w:sz="8" w:space="0" w:color="auto"/>
              <w:right w:val="single" w:sz="4" w:space="0" w:color="auto"/>
            </w:tcBorders>
            <w:shd w:val="clear" w:color="auto" w:fill="auto"/>
            <w:vAlign w:val="center"/>
          </w:tcPr>
          <w:p w:rsidR="0073700B" w:rsidRDefault="001A2FFC">
            <w:pPr>
              <w:jc w:val="center"/>
              <w:rPr>
                <w:bCs/>
                <w:szCs w:val="21"/>
              </w:rPr>
            </w:pPr>
            <w:r>
              <w:rPr>
                <w:bCs/>
                <w:szCs w:val="21"/>
              </w:rPr>
              <w:t>一般或差</w:t>
            </w:r>
          </w:p>
        </w:tc>
        <w:tc>
          <w:tcPr>
            <w:tcW w:w="866" w:type="dxa"/>
            <w:tcBorders>
              <w:top w:val="single" w:sz="4" w:space="0" w:color="auto"/>
              <w:left w:val="single" w:sz="4" w:space="0" w:color="auto"/>
              <w:bottom w:val="single" w:sz="8" w:space="0" w:color="auto"/>
              <w:right w:val="single" w:sz="8" w:space="0" w:color="auto"/>
            </w:tcBorders>
            <w:shd w:val="clear" w:color="auto" w:fill="auto"/>
            <w:vAlign w:val="center"/>
          </w:tcPr>
          <w:p w:rsidR="0073700B" w:rsidRDefault="001A2FFC">
            <w:pPr>
              <w:jc w:val="center"/>
              <w:rPr>
                <w:bCs/>
                <w:szCs w:val="21"/>
              </w:rPr>
            </w:pPr>
            <w:r>
              <w:rPr>
                <w:bCs/>
                <w:szCs w:val="21"/>
              </w:rPr>
              <w:t>很差</w:t>
            </w:r>
          </w:p>
        </w:tc>
      </w:tr>
    </w:tbl>
    <w:p w:rsidR="0073700B" w:rsidRDefault="001A2FFC" w:rsidP="00F80BAC">
      <w:pPr>
        <w:spacing w:beforeLines="50" w:before="156" w:line="312" w:lineRule="auto"/>
        <w:rPr>
          <w:bCs/>
          <w:sz w:val="24"/>
          <w:szCs w:val="24"/>
        </w:rPr>
      </w:pPr>
      <w:r>
        <w:rPr>
          <w:bCs/>
          <w:sz w:val="24"/>
          <w:szCs w:val="24"/>
        </w:rPr>
        <w:t>参考表</w:t>
      </w:r>
      <w:bookmarkStart w:id="120" w:name="_Hlk536183555"/>
      <w:r>
        <w:rPr>
          <w:bCs/>
          <w:sz w:val="24"/>
          <w:szCs w:val="24"/>
        </w:rPr>
        <w:t>A-</w:t>
      </w:r>
      <w:bookmarkEnd w:id="120"/>
      <w:r>
        <w:rPr>
          <w:bCs/>
          <w:sz w:val="24"/>
          <w:szCs w:val="24"/>
        </w:rPr>
        <w:t>6</w:t>
      </w:r>
      <w:r>
        <w:rPr>
          <w:bCs/>
          <w:sz w:val="24"/>
          <w:szCs w:val="24"/>
        </w:rPr>
        <w:t>中规范，结构面的结合程度按表</w:t>
      </w:r>
      <w:bookmarkStart w:id="121" w:name="_Hlk536183825"/>
      <w:r>
        <w:rPr>
          <w:bCs/>
          <w:sz w:val="24"/>
          <w:szCs w:val="24"/>
        </w:rPr>
        <w:t>A-</w:t>
      </w:r>
      <w:bookmarkEnd w:id="121"/>
      <w:r>
        <w:rPr>
          <w:bCs/>
          <w:sz w:val="24"/>
          <w:szCs w:val="24"/>
        </w:rPr>
        <w:t>7</w:t>
      </w:r>
      <w:r>
        <w:rPr>
          <w:bCs/>
          <w:sz w:val="24"/>
          <w:szCs w:val="24"/>
        </w:rPr>
        <w:t>确定。</w:t>
      </w:r>
    </w:p>
    <w:p w:rsidR="0073700B" w:rsidRDefault="0073700B">
      <w:pPr>
        <w:spacing w:line="312" w:lineRule="auto"/>
        <w:jc w:val="center"/>
        <w:rPr>
          <w:rFonts w:ascii="黑体" w:eastAsia="黑体" w:hAnsi="黑体"/>
          <w:b/>
          <w:sz w:val="24"/>
          <w:szCs w:val="24"/>
        </w:rPr>
      </w:pPr>
    </w:p>
    <w:p w:rsidR="0073700B" w:rsidRDefault="0073700B">
      <w:pPr>
        <w:spacing w:line="312" w:lineRule="auto"/>
        <w:jc w:val="center"/>
        <w:rPr>
          <w:rFonts w:ascii="黑体" w:eastAsia="黑体" w:hAnsi="黑体"/>
          <w:b/>
          <w:sz w:val="24"/>
          <w:szCs w:val="24"/>
        </w:rPr>
      </w:pPr>
    </w:p>
    <w:p w:rsidR="0073700B" w:rsidRDefault="001A2FFC">
      <w:pPr>
        <w:spacing w:line="312" w:lineRule="auto"/>
        <w:jc w:val="center"/>
        <w:rPr>
          <w:rFonts w:ascii="黑体" w:eastAsia="黑体" w:hAnsi="黑体"/>
          <w:bCs/>
          <w:sz w:val="24"/>
          <w:szCs w:val="24"/>
        </w:rPr>
      </w:pPr>
      <w:r>
        <w:rPr>
          <w:rFonts w:ascii="黑体" w:eastAsia="黑体" w:hAnsi="黑体"/>
          <w:bCs/>
          <w:sz w:val="24"/>
          <w:szCs w:val="24"/>
        </w:rPr>
        <w:t>表</w:t>
      </w:r>
      <w:r>
        <w:rPr>
          <w:rFonts w:ascii="黑体" w:eastAsia="黑体" w:hAnsi="黑体"/>
          <w:bCs/>
          <w:sz w:val="24"/>
          <w:szCs w:val="24"/>
        </w:rPr>
        <w:t xml:space="preserve">A-7  </w:t>
      </w:r>
      <w:r>
        <w:rPr>
          <w:rFonts w:ascii="黑体" w:eastAsia="黑体" w:hAnsi="黑体"/>
          <w:bCs/>
          <w:sz w:val="24"/>
          <w:szCs w:val="24"/>
        </w:rPr>
        <w:t>结构面结合程度的划分</w:t>
      </w:r>
    </w:p>
    <w:tbl>
      <w:tblPr>
        <w:tblW w:w="828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0"/>
        <w:gridCol w:w="7016"/>
      </w:tblGrid>
      <w:tr w:rsidR="0073700B">
        <w:tc>
          <w:tcPr>
            <w:tcW w:w="1270" w:type="dxa"/>
            <w:tcBorders>
              <w:top w:val="single" w:sz="8" w:space="0" w:color="auto"/>
              <w:bottom w:val="single" w:sz="8" w:space="0" w:color="auto"/>
            </w:tcBorders>
            <w:shd w:val="clear" w:color="auto" w:fill="auto"/>
            <w:vAlign w:val="center"/>
          </w:tcPr>
          <w:p w:rsidR="0073700B" w:rsidRDefault="001A2FFC">
            <w:pPr>
              <w:jc w:val="center"/>
              <w:rPr>
                <w:bCs/>
              </w:rPr>
            </w:pPr>
            <w:r>
              <w:rPr>
                <w:bCs/>
              </w:rPr>
              <w:t>结合程度</w:t>
            </w:r>
          </w:p>
        </w:tc>
        <w:tc>
          <w:tcPr>
            <w:tcW w:w="7016" w:type="dxa"/>
            <w:tcBorders>
              <w:top w:val="single" w:sz="8" w:space="0" w:color="auto"/>
              <w:bottom w:val="single" w:sz="8" w:space="0" w:color="auto"/>
            </w:tcBorders>
            <w:shd w:val="clear" w:color="auto" w:fill="auto"/>
            <w:vAlign w:val="center"/>
          </w:tcPr>
          <w:p w:rsidR="0073700B" w:rsidRDefault="001A2FFC">
            <w:pPr>
              <w:jc w:val="center"/>
              <w:rPr>
                <w:bCs/>
              </w:rPr>
            </w:pPr>
            <w:r>
              <w:rPr>
                <w:bCs/>
              </w:rPr>
              <w:t>结构面特征</w:t>
            </w:r>
          </w:p>
        </w:tc>
      </w:tr>
      <w:tr w:rsidR="0073700B">
        <w:tc>
          <w:tcPr>
            <w:tcW w:w="1270" w:type="dxa"/>
            <w:tcBorders>
              <w:top w:val="single" w:sz="8" w:space="0" w:color="auto"/>
            </w:tcBorders>
            <w:shd w:val="clear" w:color="auto" w:fill="auto"/>
            <w:vAlign w:val="center"/>
          </w:tcPr>
          <w:p w:rsidR="0073700B" w:rsidRDefault="001A2FFC">
            <w:pPr>
              <w:jc w:val="center"/>
              <w:rPr>
                <w:bCs/>
              </w:rPr>
            </w:pPr>
            <w:r>
              <w:rPr>
                <w:bCs/>
              </w:rPr>
              <w:t>结合好</w:t>
            </w:r>
          </w:p>
        </w:tc>
        <w:tc>
          <w:tcPr>
            <w:tcW w:w="7016" w:type="dxa"/>
            <w:tcBorders>
              <w:top w:val="single" w:sz="8" w:space="0" w:color="auto"/>
            </w:tcBorders>
            <w:shd w:val="clear" w:color="auto" w:fill="auto"/>
            <w:vAlign w:val="center"/>
          </w:tcPr>
          <w:p w:rsidR="0073700B" w:rsidRDefault="001A2FFC">
            <w:pPr>
              <w:jc w:val="center"/>
              <w:rPr>
                <w:bCs/>
              </w:rPr>
            </w:pPr>
            <w:r>
              <w:rPr>
                <w:bCs/>
              </w:rPr>
              <w:t>张开度小于</w:t>
            </w:r>
            <w:r>
              <w:rPr>
                <w:bCs/>
              </w:rPr>
              <w:t>1mm</w:t>
            </w:r>
            <w:r>
              <w:rPr>
                <w:bCs/>
              </w:rPr>
              <w:t>，为硅质、铁质或钙质胶结，或结构面粗糙，无充填物；</w:t>
            </w:r>
          </w:p>
          <w:p w:rsidR="0073700B" w:rsidRDefault="001A2FFC">
            <w:pPr>
              <w:jc w:val="center"/>
              <w:rPr>
                <w:bCs/>
              </w:rPr>
            </w:pPr>
            <w:r>
              <w:rPr>
                <w:bCs/>
              </w:rPr>
              <w:t>张开度</w:t>
            </w:r>
            <w:r>
              <w:rPr>
                <w:bCs/>
              </w:rPr>
              <w:t>1mm~3mm</w:t>
            </w:r>
            <w:r>
              <w:rPr>
                <w:bCs/>
              </w:rPr>
              <w:t>，为硅质或铁质胶结；</w:t>
            </w:r>
          </w:p>
          <w:p w:rsidR="0073700B" w:rsidRDefault="001A2FFC">
            <w:pPr>
              <w:jc w:val="center"/>
              <w:rPr>
                <w:bCs/>
              </w:rPr>
            </w:pPr>
            <w:r>
              <w:rPr>
                <w:bCs/>
              </w:rPr>
              <w:t>张开度大于</w:t>
            </w:r>
            <w:r>
              <w:rPr>
                <w:bCs/>
              </w:rPr>
              <w:t>3mm</w:t>
            </w:r>
            <w:r>
              <w:rPr>
                <w:bCs/>
              </w:rPr>
              <w:t>，结构面粗糙，为硅质胶结</w:t>
            </w:r>
          </w:p>
        </w:tc>
      </w:tr>
      <w:tr w:rsidR="0073700B">
        <w:tc>
          <w:tcPr>
            <w:tcW w:w="1270" w:type="dxa"/>
            <w:shd w:val="clear" w:color="auto" w:fill="auto"/>
            <w:vAlign w:val="center"/>
          </w:tcPr>
          <w:p w:rsidR="0073700B" w:rsidRDefault="001A2FFC">
            <w:pPr>
              <w:jc w:val="center"/>
              <w:rPr>
                <w:bCs/>
              </w:rPr>
            </w:pPr>
            <w:r>
              <w:rPr>
                <w:bCs/>
              </w:rPr>
              <w:t>结合一般</w:t>
            </w:r>
          </w:p>
        </w:tc>
        <w:tc>
          <w:tcPr>
            <w:tcW w:w="7016" w:type="dxa"/>
            <w:shd w:val="clear" w:color="auto" w:fill="auto"/>
            <w:vAlign w:val="center"/>
          </w:tcPr>
          <w:p w:rsidR="0073700B" w:rsidRDefault="001A2FFC">
            <w:pPr>
              <w:jc w:val="center"/>
              <w:rPr>
                <w:bCs/>
              </w:rPr>
            </w:pPr>
            <w:r>
              <w:rPr>
                <w:bCs/>
              </w:rPr>
              <w:t>张开度小于</w:t>
            </w:r>
            <w:r>
              <w:rPr>
                <w:bCs/>
              </w:rPr>
              <w:t>1mm</w:t>
            </w:r>
            <w:r>
              <w:rPr>
                <w:bCs/>
              </w:rPr>
              <w:t>，结构面平直，钙泥质胶结或无充填物；</w:t>
            </w:r>
          </w:p>
          <w:p w:rsidR="0073700B" w:rsidRDefault="001A2FFC">
            <w:pPr>
              <w:jc w:val="center"/>
              <w:rPr>
                <w:bCs/>
              </w:rPr>
            </w:pPr>
            <w:r>
              <w:rPr>
                <w:bCs/>
              </w:rPr>
              <w:t>张开度</w:t>
            </w:r>
            <w:r>
              <w:rPr>
                <w:bCs/>
              </w:rPr>
              <w:t>1mm~3mm</w:t>
            </w:r>
            <w:r>
              <w:rPr>
                <w:bCs/>
              </w:rPr>
              <w:t>，为钙质胶结；</w:t>
            </w:r>
          </w:p>
          <w:p w:rsidR="0073700B" w:rsidRDefault="001A2FFC">
            <w:pPr>
              <w:jc w:val="center"/>
              <w:rPr>
                <w:bCs/>
              </w:rPr>
            </w:pPr>
            <w:r>
              <w:rPr>
                <w:bCs/>
              </w:rPr>
              <w:lastRenderedPageBreak/>
              <w:t>张开度大于</w:t>
            </w:r>
            <w:r>
              <w:rPr>
                <w:bCs/>
              </w:rPr>
              <w:t>3mm</w:t>
            </w:r>
            <w:r>
              <w:rPr>
                <w:bCs/>
              </w:rPr>
              <w:t>，结构面粗糙，为铁质或钙质胶结</w:t>
            </w:r>
          </w:p>
        </w:tc>
      </w:tr>
      <w:tr w:rsidR="0073700B">
        <w:tc>
          <w:tcPr>
            <w:tcW w:w="1270" w:type="dxa"/>
            <w:shd w:val="clear" w:color="auto" w:fill="auto"/>
            <w:vAlign w:val="center"/>
          </w:tcPr>
          <w:p w:rsidR="0073700B" w:rsidRDefault="001A2FFC">
            <w:pPr>
              <w:jc w:val="center"/>
              <w:rPr>
                <w:bCs/>
              </w:rPr>
            </w:pPr>
            <w:r>
              <w:rPr>
                <w:bCs/>
              </w:rPr>
              <w:lastRenderedPageBreak/>
              <w:t>结合差</w:t>
            </w:r>
          </w:p>
        </w:tc>
        <w:tc>
          <w:tcPr>
            <w:tcW w:w="7016" w:type="dxa"/>
            <w:shd w:val="clear" w:color="auto" w:fill="auto"/>
            <w:vAlign w:val="center"/>
          </w:tcPr>
          <w:p w:rsidR="0073700B" w:rsidRDefault="001A2FFC">
            <w:pPr>
              <w:jc w:val="center"/>
              <w:rPr>
                <w:bCs/>
              </w:rPr>
            </w:pPr>
            <w:r>
              <w:rPr>
                <w:bCs/>
              </w:rPr>
              <w:t>张开度</w:t>
            </w:r>
            <w:r>
              <w:rPr>
                <w:bCs/>
              </w:rPr>
              <w:t>1mm~3mm</w:t>
            </w:r>
            <w:r>
              <w:rPr>
                <w:bCs/>
              </w:rPr>
              <w:t>，结构面平直，为泥质胶结或钙泥质胶结；</w:t>
            </w:r>
          </w:p>
          <w:p w:rsidR="0073700B" w:rsidRDefault="001A2FFC">
            <w:pPr>
              <w:jc w:val="center"/>
              <w:rPr>
                <w:bCs/>
              </w:rPr>
            </w:pPr>
            <w:r>
              <w:rPr>
                <w:bCs/>
              </w:rPr>
              <w:t>张开度大于</w:t>
            </w:r>
            <w:r>
              <w:rPr>
                <w:bCs/>
              </w:rPr>
              <w:t>3mm</w:t>
            </w:r>
            <w:r>
              <w:rPr>
                <w:bCs/>
              </w:rPr>
              <w:t>，多为泥质或岩屑充填</w:t>
            </w:r>
          </w:p>
        </w:tc>
      </w:tr>
      <w:tr w:rsidR="0073700B">
        <w:tc>
          <w:tcPr>
            <w:tcW w:w="1270" w:type="dxa"/>
            <w:shd w:val="clear" w:color="auto" w:fill="auto"/>
            <w:vAlign w:val="center"/>
          </w:tcPr>
          <w:p w:rsidR="0073700B" w:rsidRDefault="001A2FFC">
            <w:pPr>
              <w:jc w:val="center"/>
              <w:rPr>
                <w:bCs/>
              </w:rPr>
            </w:pPr>
            <w:r>
              <w:rPr>
                <w:bCs/>
              </w:rPr>
              <w:t>结合很差</w:t>
            </w:r>
          </w:p>
        </w:tc>
        <w:tc>
          <w:tcPr>
            <w:tcW w:w="7016" w:type="dxa"/>
            <w:shd w:val="clear" w:color="auto" w:fill="auto"/>
            <w:vAlign w:val="center"/>
          </w:tcPr>
          <w:p w:rsidR="0073700B" w:rsidRDefault="001A2FFC">
            <w:pPr>
              <w:jc w:val="center"/>
              <w:rPr>
                <w:bCs/>
              </w:rPr>
            </w:pPr>
            <w:r>
              <w:rPr>
                <w:bCs/>
              </w:rPr>
              <w:t>泥质充填或泥夹岩屑充填，充填物厚度大于起伏差</w:t>
            </w:r>
          </w:p>
        </w:tc>
      </w:tr>
      <w:bookmarkEnd w:id="116"/>
    </w:tbl>
    <w:p w:rsidR="0073700B" w:rsidRDefault="0073700B">
      <w:pPr>
        <w:autoSpaceDE w:val="0"/>
        <w:autoSpaceDN w:val="0"/>
        <w:adjustRightInd w:val="0"/>
        <w:jc w:val="left"/>
        <w:rPr>
          <w:bCs/>
          <w:szCs w:val="20"/>
        </w:rPr>
      </w:pPr>
    </w:p>
    <w:p w:rsidR="0073700B" w:rsidRDefault="001A2FFC">
      <w:pPr>
        <w:widowControl/>
        <w:jc w:val="left"/>
        <w:rPr>
          <w:bCs/>
          <w:kern w:val="44"/>
          <w:sz w:val="30"/>
          <w:szCs w:val="30"/>
        </w:rPr>
      </w:pPr>
      <w:r>
        <w:rPr>
          <w:b/>
          <w:sz w:val="30"/>
          <w:szCs w:val="30"/>
        </w:rPr>
        <w:br w:type="page"/>
      </w:r>
    </w:p>
    <w:p w:rsidR="0073700B" w:rsidRDefault="001A2FFC" w:rsidP="00F80BAC">
      <w:pPr>
        <w:pStyle w:val="1"/>
        <w:spacing w:before="0" w:after="0" w:line="360" w:lineRule="auto"/>
        <w:ind w:firstLineChars="200" w:firstLine="602"/>
        <w:rPr>
          <w:rFonts w:ascii="黑体" w:eastAsia="黑体" w:hAnsi="黑体"/>
          <w:bCs w:val="0"/>
          <w:sz w:val="30"/>
          <w:szCs w:val="30"/>
        </w:rPr>
      </w:pPr>
      <w:bookmarkStart w:id="122" w:name="_Toc32321803"/>
      <w:r>
        <w:rPr>
          <w:rFonts w:ascii="黑体" w:eastAsia="黑体" w:hAnsi="黑体" w:hint="eastAsia"/>
          <w:bCs w:val="0"/>
          <w:sz w:val="30"/>
          <w:szCs w:val="30"/>
        </w:rPr>
        <w:lastRenderedPageBreak/>
        <w:t>三</w:t>
      </w:r>
      <w:r>
        <w:rPr>
          <w:rFonts w:ascii="黑体" w:eastAsia="黑体" w:hAnsi="黑体"/>
          <w:bCs w:val="0"/>
          <w:sz w:val="30"/>
          <w:szCs w:val="30"/>
        </w:rPr>
        <w:t>、预期经济、社会效益</w:t>
      </w:r>
      <w:bookmarkEnd w:id="122"/>
    </w:p>
    <w:p w:rsidR="0073700B" w:rsidRDefault="001A2FFC" w:rsidP="00F80BAC">
      <w:pPr>
        <w:spacing w:beforeLines="50" w:before="156" w:line="360" w:lineRule="auto"/>
        <w:ind w:firstLineChars="200" w:firstLine="480"/>
        <w:rPr>
          <w:bCs/>
          <w:sz w:val="24"/>
          <w:szCs w:val="20"/>
        </w:rPr>
      </w:pPr>
      <w:bookmarkStart w:id="123" w:name="_Hlk13504943"/>
      <w:r>
        <w:rPr>
          <w:bCs/>
          <w:sz w:val="24"/>
          <w:szCs w:val="20"/>
        </w:rPr>
        <w:t>近年来，我国公路隧道建设发展迅速，随着高速公路进一步向西部地区延伸，长大深埋隧道将会越来越多，隧道工程施工条件更加复杂，作业安全风险更加突出。本标准的实施能够加强</w:t>
      </w:r>
      <w:bookmarkStart w:id="124" w:name="_Hlk13481332"/>
      <w:r>
        <w:rPr>
          <w:bCs/>
          <w:sz w:val="24"/>
          <w:szCs w:val="20"/>
        </w:rPr>
        <w:t>隧道</w:t>
      </w:r>
      <w:bookmarkEnd w:id="124"/>
      <w:r>
        <w:rPr>
          <w:bCs/>
          <w:sz w:val="24"/>
          <w:szCs w:val="20"/>
        </w:rPr>
        <w:t>工程施工安全风险预控管理，增强隧道工程参建单位的风险管理意识，指导隧道工程施工安全风险辨识、分析、评估工作，提高施工安全风险防控能力</w:t>
      </w:r>
      <w:bookmarkEnd w:id="123"/>
      <w:r>
        <w:rPr>
          <w:bCs/>
          <w:sz w:val="24"/>
          <w:szCs w:val="20"/>
        </w:rPr>
        <w:t>，有助于防范和减少隧道工程施工安全事故发生。</w:t>
      </w:r>
    </w:p>
    <w:p w:rsidR="0073700B" w:rsidRDefault="0073700B">
      <w:pPr>
        <w:spacing w:line="360" w:lineRule="auto"/>
        <w:ind w:firstLineChars="200" w:firstLine="480"/>
        <w:rPr>
          <w:bCs/>
          <w:sz w:val="24"/>
          <w:szCs w:val="20"/>
        </w:rPr>
      </w:pPr>
    </w:p>
    <w:p w:rsidR="0073700B" w:rsidRDefault="001A2FFC" w:rsidP="00F80BAC">
      <w:pPr>
        <w:pStyle w:val="1"/>
        <w:spacing w:before="0" w:after="0" w:line="360" w:lineRule="auto"/>
        <w:ind w:firstLineChars="200" w:firstLine="602"/>
        <w:rPr>
          <w:rFonts w:ascii="黑体" w:eastAsia="黑体" w:hAnsi="黑体"/>
          <w:bCs w:val="0"/>
          <w:sz w:val="30"/>
          <w:szCs w:val="30"/>
        </w:rPr>
      </w:pPr>
      <w:bookmarkStart w:id="125" w:name="_Toc32321804"/>
      <w:bookmarkStart w:id="126" w:name="_Toc494537413"/>
      <w:r>
        <w:rPr>
          <w:rFonts w:ascii="黑体" w:eastAsia="黑体" w:hAnsi="黑体" w:hint="eastAsia"/>
          <w:bCs w:val="0"/>
          <w:sz w:val="30"/>
          <w:szCs w:val="30"/>
        </w:rPr>
        <w:t>四</w:t>
      </w:r>
      <w:r>
        <w:rPr>
          <w:rFonts w:ascii="黑体" w:eastAsia="黑体" w:hAnsi="黑体"/>
          <w:bCs w:val="0"/>
          <w:sz w:val="30"/>
          <w:szCs w:val="30"/>
        </w:rPr>
        <w:t>、采用国际、国内标准的程度</w:t>
      </w:r>
      <w:bookmarkEnd w:id="125"/>
      <w:bookmarkEnd w:id="126"/>
    </w:p>
    <w:p w:rsidR="0073700B" w:rsidRDefault="001A2FFC" w:rsidP="00F80BAC">
      <w:pPr>
        <w:spacing w:beforeLines="50" w:before="156" w:line="360" w:lineRule="auto"/>
        <w:ind w:firstLineChars="200" w:firstLine="480"/>
        <w:rPr>
          <w:bCs/>
          <w:sz w:val="24"/>
          <w:szCs w:val="20"/>
        </w:rPr>
      </w:pPr>
      <w:r>
        <w:rPr>
          <w:bCs/>
          <w:sz w:val="24"/>
          <w:szCs w:val="20"/>
        </w:rPr>
        <w:t>本标准基于《公路桥梁和隧道工程施工安全风险评估指南（试行）》以及该指南的实践应用成果，并参考相关标准规范等进行制定，为</w:t>
      </w:r>
      <w:r>
        <w:rPr>
          <w:bCs/>
          <w:sz w:val="24"/>
          <w:szCs w:val="20"/>
        </w:rPr>
        <w:t>“</w:t>
      </w:r>
      <w:r>
        <w:rPr>
          <w:bCs/>
          <w:sz w:val="24"/>
          <w:szCs w:val="20"/>
        </w:rPr>
        <w:t>全面修改、局部采用</w:t>
      </w:r>
      <w:r>
        <w:rPr>
          <w:bCs/>
          <w:sz w:val="24"/>
          <w:szCs w:val="20"/>
        </w:rPr>
        <w:t>”</w:t>
      </w:r>
      <w:r>
        <w:rPr>
          <w:bCs/>
          <w:sz w:val="24"/>
          <w:szCs w:val="20"/>
        </w:rPr>
        <w:t>。</w:t>
      </w:r>
    </w:p>
    <w:p w:rsidR="0073700B" w:rsidRDefault="001A2FFC" w:rsidP="00F80BAC">
      <w:pPr>
        <w:spacing w:beforeLines="50" w:before="156" w:line="360" w:lineRule="auto"/>
        <w:ind w:firstLineChars="200" w:firstLine="480"/>
        <w:rPr>
          <w:bCs/>
          <w:sz w:val="24"/>
          <w:szCs w:val="20"/>
        </w:rPr>
      </w:pPr>
      <w:r>
        <w:rPr>
          <w:bCs/>
          <w:sz w:val="24"/>
          <w:szCs w:val="20"/>
        </w:rPr>
        <w:t>参考的其它风险评估标准还有：《港口工程施工安全风险评估指南》、《铁路隧道风险评估暂行规定》、《高速公路路堑高边坡工程施工安全风险评估指南》、《公路水路行业安全生产风险辨识评估管控基本规范</w:t>
      </w:r>
      <w:r>
        <w:rPr>
          <w:bCs/>
          <w:sz w:val="24"/>
          <w:szCs w:val="20"/>
        </w:rPr>
        <w:t>(</w:t>
      </w:r>
      <w:r>
        <w:rPr>
          <w:bCs/>
          <w:sz w:val="24"/>
          <w:szCs w:val="20"/>
        </w:rPr>
        <w:t>试行</w:t>
      </w:r>
      <w:r>
        <w:rPr>
          <w:bCs/>
          <w:sz w:val="24"/>
          <w:szCs w:val="20"/>
        </w:rPr>
        <w:t>)</w:t>
      </w:r>
      <w:r>
        <w:rPr>
          <w:bCs/>
          <w:sz w:val="24"/>
          <w:szCs w:val="20"/>
        </w:rPr>
        <w:t>》、《地铁及地下工程建设风险管理指南》、《</w:t>
      </w:r>
      <w:r>
        <w:rPr>
          <w:bCs/>
          <w:sz w:val="24"/>
          <w:szCs w:val="20"/>
        </w:rPr>
        <w:t>Guidelines for Tunneling Ri</w:t>
      </w:r>
      <w:r>
        <w:rPr>
          <w:bCs/>
          <w:sz w:val="24"/>
          <w:szCs w:val="20"/>
        </w:rPr>
        <w:t>sk Management</w:t>
      </w:r>
      <w:r>
        <w:rPr>
          <w:bCs/>
          <w:sz w:val="24"/>
          <w:szCs w:val="20"/>
        </w:rPr>
        <w:t>》、《铁路建设工程风险管理技术规范》、《城市轨道交通地下工程建设风险管理规范》等。</w:t>
      </w:r>
    </w:p>
    <w:p w:rsidR="0073700B" w:rsidRDefault="0073700B">
      <w:pPr>
        <w:spacing w:line="360" w:lineRule="auto"/>
        <w:ind w:firstLineChars="200" w:firstLine="480"/>
        <w:rPr>
          <w:bCs/>
          <w:sz w:val="24"/>
          <w:szCs w:val="20"/>
        </w:rPr>
      </w:pPr>
    </w:p>
    <w:p w:rsidR="0073700B" w:rsidRDefault="001A2FFC" w:rsidP="00F80BAC">
      <w:pPr>
        <w:pStyle w:val="1"/>
        <w:spacing w:before="0" w:after="0" w:line="360" w:lineRule="auto"/>
        <w:ind w:firstLineChars="200" w:firstLine="602"/>
        <w:rPr>
          <w:rFonts w:eastAsia="黑体"/>
          <w:bCs w:val="0"/>
          <w:sz w:val="30"/>
          <w:szCs w:val="30"/>
        </w:rPr>
      </w:pPr>
      <w:bookmarkStart w:id="127" w:name="_Toc32321805"/>
      <w:r>
        <w:rPr>
          <w:rFonts w:eastAsia="黑体" w:hint="eastAsia"/>
          <w:bCs w:val="0"/>
          <w:sz w:val="30"/>
          <w:szCs w:val="30"/>
        </w:rPr>
        <w:t>五</w:t>
      </w:r>
      <w:r>
        <w:rPr>
          <w:rFonts w:eastAsia="黑体"/>
          <w:bCs w:val="0"/>
          <w:sz w:val="30"/>
          <w:szCs w:val="30"/>
        </w:rPr>
        <w:t>、与现行法律法规和标准的关系</w:t>
      </w:r>
      <w:bookmarkEnd w:id="127"/>
    </w:p>
    <w:p w:rsidR="0073700B" w:rsidRDefault="001A2FFC" w:rsidP="00F80BAC">
      <w:pPr>
        <w:spacing w:beforeLines="50" w:before="156" w:line="360" w:lineRule="auto"/>
        <w:ind w:firstLineChars="200" w:firstLine="480"/>
        <w:rPr>
          <w:bCs/>
          <w:sz w:val="24"/>
          <w:szCs w:val="20"/>
        </w:rPr>
      </w:pPr>
      <w:r>
        <w:rPr>
          <w:bCs/>
          <w:sz w:val="24"/>
          <w:szCs w:val="20"/>
        </w:rPr>
        <w:t>本标准在起草过程中注意了与《公路水运工程安全生产监督管理办法》（中华人民共和国交通运输部令</w:t>
      </w:r>
      <w:r>
        <w:rPr>
          <w:bCs/>
          <w:sz w:val="24"/>
          <w:szCs w:val="20"/>
        </w:rPr>
        <w:t>2017</w:t>
      </w:r>
      <w:r>
        <w:rPr>
          <w:bCs/>
          <w:sz w:val="24"/>
          <w:szCs w:val="20"/>
        </w:rPr>
        <w:t>年第</w:t>
      </w:r>
      <w:r>
        <w:rPr>
          <w:bCs/>
          <w:sz w:val="24"/>
          <w:szCs w:val="20"/>
        </w:rPr>
        <w:t>25</w:t>
      </w:r>
      <w:r>
        <w:rPr>
          <w:bCs/>
          <w:sz w:val="24"/>
          <w:szCs w:val="20"/>
        </w:rPr>
        <w:t>号）、《公路水路行业安全生产风险管理暂行办法》（交安监发</w:t>
      </w:r>
      <w:r>
        <w:rPr>
          <w:bCs/>
          <w:sz w:val="24"/>
          <w:szCs w:val="20"/>
        </w:rPr>
        <w:t>[2017]60</w:t>
      </w:r>
      <w:r>
        <w:rPr>
          <w:bCs/>
          <w:sz w:val="24"/>
          <w:szCs w:val="20"/>
        </w:rPr>
        <w:t>号）、《生产安全事故报告和调查处理条例》（中华人民共和国国务院令第</w:t>
      </w:r>
      <w:r>
        <w:rPr>
          <w:bCs/>
          <w:sz w:val="24"/>
          <w:szCs w:val="20"/>
        </w:rPr>
        <w:t>493</w:t>
      </w:r>
      <w:r>
        <w:rPr>
          <w:bCs/>
          <w:sz w:val="24"/>
          <w:szCs w:val="20"/>
        </w:rPr>
        <w:t>号）等现行法规、制度、标准的衔接和内容一致，没有互相矛盾的内容。</w:t>
      </w:r>
    </w:p>
    <w:p w:rsidR="0073700B" w:rsidRDefault="0073700B">
      <w:pPr>
        <w:spacing w:line="360" w:lineRule="auto"/>
        <w:ind w:firstLineChars="200" w:firstLine="480"/>
        <w:rPr>
          <w:bCs/>
          <w:sz w:val="24"/>
          <w:szCs w:val="20"/>
        </w:rPr>
      </w:pPr>
    </w:p>
    <w:p w:rsidR="0073700B" w:rsidRDefault="001A2FFC" w:rsidP="00F80BAC">
      <w:pPr>
        <w:pStyle w:val="1"/>
        <w:spacing w:before="0" w:after="0" w:line="360" w:lineRule="auto"/>
        <w:ind w:firstLineChars="200" w:firstLine="602"/>
        <w:rPr>
          <w:rFonts w:eastAsia="黑体"/>
          <w:bCs w:val="0"/>
          <w:sz w:val="30"/>
          <w:szCs w:val="30"/>
        </w:rPr>
      </w:pPr>
      <w:bookmarkStart w:id="128" w:name="_Toc32321806"/>
      <w:r>
        <w:rPr>
          <w:rFonts w:eastAsia="黑体" w:hint="eastAsia"/>
          <w:bCs w:val="0"/>
          <w:sz w:val="30"/>
          <w:szCs w:val="30"/>
        </w:rPr>
        <w:lastRenderedPageBreak/>
        <w:t>六</w:t>
      </w:r>
      <w:r>
        <w:rPr>
          <w:rFonts w:eastAsia="黑体"/>
          <w:bCs w:val="0"/>
          <w:sz w:val="30"/>
          <w:szCs w:val="30"/>
        </w:rPr>
        <w:t>、重大分歧意见的处理经过和依据</w:t>
      </w:r>
      <w:bookmarkEnd w:id="128"/>
    </w:p>
    <w:p w:rsidR="0073700B" w:rsidRDefault="001A2FFC" w:rsidP="00F80BAC">
      <w:pPr>
        <w:spacing w:beforeLines="50" w:before="156" w:line="360" w:lineRule="auto"/>
        <w:ind w:firstLineChars="200" w:firstLine="480"/>
        <w:rPr>
          <w:bCs/>
          <w:sz w:val="24"/>
          <w:szCs w:val="20"/>
        </w:rPr>
      </w:pPr>
      <w:r>
        <w:rPr>
          <w:bCs/>
          <w:sz w:val="24"/>
          <w:szCs w:val="20"/>
        </w:rPr>
        <w:t xml:space="preserve">1. </w:t>
      </w:r>
      <w:r>
        <w:rPr>
          <w:bCs/>
          <w:sz w:val="24"/>
          <w:szCs w:val="20"/>
        </w:rPr>
        <w:t>专项风险评估中风险估测、一般风险源估测以及重大风险源估测的关系：</w:t>
      </w:r>
    </w:p>
    <w:p w:rsidR="0073700B" w:rsidRDefault="001A2FFC" w:rsidP="00F80BAC">
      <w:pPr>
        <w:spacing w:beforeLines="50" w:before="156" w:line="360" w:lineRule="auto"/>
        <w:ind w:firstLineChars="200" w:firstLine="480"/>
        <w:rPr>
          <w:bCs/>
          <w:sz w:val="24"/>
          <w:szCs w:val="20"/>
        </w:rPr>
      </w:pPr>
      <w:r>
        <w:rPr>
          <w:bCs/>
          <w:sz w:val="24"/>
          <w:szCs w:val="20"/>
        </w:rPr>
        <w:t>在现行指南中，风险估测部分只包含</w:t>
      </w:r>
      <w:r>
        <w:rPr>
          <w:bCs/>
          <w:sz w:val="24"/>
          <w:szCs w:val="20"/>
        </w:rPr>
        <w:t>“</w:t>
      </w:r>
      <w:r>
        <w:rPr>
          <w:bCs/>
          <w:sz w:val="24"/>
          <w:szCs w:val="20"/>
        </w:rPr>
        <w:t>风险估测</w:t>
      </w:r>
      <w:r>
        <w:rPr>
          <w:bCs/>
          <w:sz w:val="24"/>
          <w:szCs w:val="20"/>
        </w:rPr>
        <w:t>”</w:t>
      </w:r>
      <w:r>
        <w:rPr>
          <w:bCs/>
          <w:sz w:val="24"/>
          <w:szCs w:val="20"/>
        </w:rPr>
        <w:t>和</w:t>
      </w:r>
      <w:r>
        <w:rPr>
          <w:bCs/>
          <w:sz w:val="24"/>
          <w:szCs w:val="20"/>
        </w:rPr>
        <w:t>“</w:t>
      </w:r>
      <w:r>
        <w:rPr>
          <w:bCs/>
          <w:sz w:val="24"/>
          <w:szCs w:val="20"/>
        </w:rPr>
        <w:t>重大风险源风险估测</w:t>
      </w:r>
      <w:r>
        <w:rPr>
          <w:bCs/>
          <w:sz w:val="24"/>
          <w:szCs w:val="20"/>
        </w:rPr>
        <w:t>”</w:t>
      </w:r>
      <w:r>
        <w:rPr>
          <w:bCs/>
          <w:sz w:val="24"/>
          <w:szCs w:val="20"/>
        </w:rPr>
        <w:t>两个章节。</w:t>
      </w:r>
      <w:r>
        <w:rPr>
          <w:bCs/>
          <w:sz w:val="24"/>
          <w:szCs w:val="20"/>
        </w:rPr>
        <w:t>“</w:t>
      </w:r>
      <w:r>
        <w:rPr>
          <w:bCs/>
          <w:sz w:val="24"/>
          <w:szCs w:val="20"/>
        </w:rPr>
        <w:t>风险估测</w:t>
      </w:r>
      <w:r>
        <w:rPr>
          <w:bCs/>
          <w:sz w:val="24"/>
          <w:szCs w:val="20"/>
        </w:rPr>
        <w:t>”</w:t>
      </w:r>
      <w:r>
        <w:rPr>
          <w:bCs/>
          <w:sz w:val="24"/>
          <w:szCs w:val="20"/>
        </w:rPr>
        <w:t>章节中提及一般风险源和重大风险源的风险估测推荐方法，但未指出一般风险源和重大风险源的关系，致使风险估测部分逻辑关系不够清晰，如何建立风险估测的条款框架分歧较大。</w:t>
      </w:r>
    </w:p>
    <w:p w:rsidR="0073700B" w:rsidRDefault="001A2FFC" w:rsidP="00F80BAC">
      <w:pPr>
        <w:spacing w:beforeLines="50" w:before="156" w:line="360" w:lineRule="auto"/>
        <w:ind w:firstLineChars="200" w:firstLine="480"/>
        <w:rPr>
          <w:bCs/>
          <w:sz w:val="24"/>
          <w:szCs w:val="20"/>
        </w:rPr>
      </w:pPr>
      <w:r>
        <w:rPr>
          <w:bCs/>
          <w:sz w:val="24"/>
          <w:szCs w:val="20"/>
        </w:rPr>
        <w:t>在深入研究专项风险评估流程后，编制组开展多次研讨会，决定将</w:t>
      </w:r>
      <w:r>
        <w:rPr>
          <w:bCs/>
          <w:sz w:val="24"/>
          <w:szCs w:val="20"/>
        </w:rPr>
        <w:t>“</w:t>
      </w:r>
      <w:r>
        <w:rPr>
          <w:bCs/>
          <w:sz w:val="24"/>
          <w:szCs w:val="20"/>
        </w:rPr>
        <w:t>风险估测</w:t>
      </w:r>
      <w:r>
        <w:rPr>
          <w:bCs/>
          <w:sz w:val="24"/>
          <w:szCs w:val="20"/>
        </w:rPr>
        <w:t>”</w:t>
      </w:r>
      <w:r>
        <w:rPr>
          <w:bCs/>
          <w:sz w:val="24"/>
          <w:szCs w:val="20"/>
        </w:rPr>
        <w:t>、</w:t>
      </w:r>
      <w:r>
        <w:rPr>
          <w:bCs/>
          <w:sz w:val="24"/>
          <w:szCs w:val="20"/>
        </w:rPr>
        <w:t>“</w:t>
      </w:r>
      <w:r>
        <w:rPr>
          <w:bCs/>
          <w:sz w:val="24"/>
          <w:szCs w:val="20"/>
        </w:rPr>
        <w:t>一般风险源风险估测</w:t>
      </w:r>
      <w:r>
        <w:rPr>
          <w:bCs/>
          <w:sz w:val="24"/>
          <w:szCs w:val="20"/>
        </w:rPr>
        <w:t>”</w:t>
      </w:r>
      <w:r>
        <w:rPr>
          <w:bCs/>
          <w:sz w:val="24"/>
          <w:szCs w:val="20"/>
        </w:rPr>
        <w:t>、</w:t>
      </w:r>
      <w:r>
        <w:rPr>
          <w:bCs/>
          <w:sz w:val="24"/>
          <w:szCs w:val="20"/>
        </w:rPr>
        <w:t>“</w:t>
      </w:r>
      <w:r>
        <w:rPr>
          <w:bCs/>
          <w:sz w:val="24"/>
          <w:szCs w:val="20"/>
        </w:rPr>
        <w:t>重大风险源风险估测</w:t>
      </w:r>
      <w:r>
        <w:rPr>
          <w:bCs/>
          <w:sz w:val="24"/>
          <w:szCs w:val="20"/>
        </w:rPr>
        <w:t>”</w:t>
      </w:r>
      <w:r>
        <w:rPr>
          <w:bCs/>
          <w:sz w:val="24"/>
          <w:szCs w:val="20"/>
        </w:rPr>
        <w:t>并列为专项风险评估中的三个小节。</w:t>
      </w:r>
      <w:r>
        <w:rPr>
          <w:bCs/>
          <w:sz w:val="24"/>
          <w:szCs w:val="20"/>
        </w:rPr>
        <w:t>“</w:t>
      </w:r>
      <w:r>
        <w:rPr>
          <w:bCs/>
          <w:sz w:val="24"/>
          <w:szCs w:val="20"/>
        </w:rPr>
        <w:t>风险估测</w:t>
      </w:r>
      <w:r>
        <w:rPr>
          <w:bCs/>
          <w:sz w:val="24"/>
          <w:szCs w:val="20"/>
        </w:rPr>
        <w:t>”</w:t>
      </w:r>
      <w:r>
        <w:rPr>
          <w:bCs/>
          <w:sz w:val="24"/>
          <w:szCs w:val="20"/>
        </w:rPr>
        <w:t>中主要对风险估测的一般原则进行说</w:t>
      </w:r>
      <w:r>
        <w:rPr>
          <w:bCs/>
          <w:sz w:val="24"/>
          <w:szCs w:val="20"/>
        </w:rPr>
        <w:t>明，并指出重大风险源由一般风险源估测产生；</w:t>
      </w:r>
      <w:r>
        <w:rPr>
          <w:bCs/>
          <w:sz w:val="24"/>
          <w:szCs w:val="20"/>
        </w:rPr>
        <w:t>“</w:t>
      </w:r>
      <w:r>
        <w:rPr>
          <w:bCs/>
          <w:sz w:val="24"/>
          <w:szCs w:val="20"/>
        </w:rPr>
        <w:t>一般风险源风险估测</w:t>
      </w:r>
      <w:r>
        <w:rPr>
          <w:bCs/>
          <w:sz w:val="24"/>
          <w:szCs w:val="20"/>
        </w:rPr>
        <w:t>”</w:t>
      </w:r>
      <w:r>
        <w:rPr>
          <w:bCs/>
          <w:sz w:val="24"/>
          <w:szCs w:val="20"/>
        </w:rPr>
        <w:t>和</w:t>
      </w:r>
      <w:r>
        <w:rPr>
          <w:bCs/>
          <w:sz w:val="24"/>
          <w:szCs w:val="20"/>
        </w:rPr>
        <w:t>“</w:t>
      </w:r>
      <w:r>
        <w:rPr>
          <w:bCs/>
          <w:sz w:val="24"/>
          <w:szCs w:val="20"/>
        </w:rPr>
        <w:t>重大风险源风险估测</w:t>
      </w:r>
      <w:r>
        <w:rPr>
          <w:bCs/>
          <w:sz w:val="24"/>
          <w:szCs w:val="20"/>
        </w:rPr>
        <w:t>”</w:t>
      </w:r>
      <w:r>
        <w:rPr>
          <w:bCs/>
          <w:sz w:val="24"/>
          <w:szCs w:val="20"/>
        </w:rPr>
        <w:t>分别具体说明一般风险源和重大风险源的估测办法。通过以上架构，既明确了一般风险源和重大风险源的关系，也使风险估测部分逻辑严密、流程清晰。</w:t>
      </w:r>
    </w:p>
    <w:p w:rsidR="0073700B" w:rsidRDefault="001A2FFC" w:rsidP="00F80BAC">
      <w:pPr>
        <w:spacing w:beforeLines="50" w:before="156" w:line="360" w:lineRule="auto"/>
        <w:ind w:firstLineChars="200" w:firstLine="480"/>
        <w:rPr>
          <w:bCs/>
          <w:sz w:val="24"/>
          <w:szCs w:val="20"/>
        </w:rPr>
      </w:pPr>
      <w:r>
        <w:rPr>
          <w:bCs/>
          <w:sz w:val="24"/>
          <w:szCs w:val="20"/>
        </w:rPr>
        <w:t xml:space="preserve">2. </w:t>
      </w:r>
      <w:r>
        <w:rPr>
          <w:bCs/>
          <w:sz w:val="24"/>
          <w:szCs w:val="20"/>
        </w:rPr>
        <w:t>专项风险评估中重大风险事件后果严重程度评估方法：</w:t>
      </w:r>
    </w:p>
    <w:p w:rsidR="0073700B" w:rsidRDefault="001A2FFC" w:rsidP="00F80BAC">
      <w:pPr>
        <w:spacing w:beforeLines="50" w:before="156" w:line="360" w:lineRule="auto"/>
        <w:ind w:firstLineChars="200" w:firstLine="480"/>
        <w:rPr>
          <w:bCs/>
          <w:sz w:val="24"/>
          <w:szCs w:val="20"/>
        </w:rPr>
      </w:pPr>
      <w:r>
        <w:rPr>
          <w:bCs/>
          <w:sz w:val="24"/>
          <w:szCs w:val="20"/>
        </w:rPr>
        <w:t>现行指南中风险事件后果严重程度主要考虑人员伤亡和直接经济损失，且采用就高原则确定，本标准引入后果当量法，综合考虑人员伤亡、直接经济损失、社会影响、环境影响、工期延误等后果。关于方法的合理性以及五种后果量化统一的换算标准分歧较大。</w:t>
      </w:r>
    </w:p>
    <w:p w:rsidR="0073700B" w:rsidRDefault="001A2FFC" w:rsidP="00F80BAC">
      <w:pPr>
        <w:spacing w:beforeLines="50" w:before="156" w:line="360" w:lineRule="auto"/>
        <w:ind w:firstLineChars="200" w:firstLine="480"/>
        <w:rPr>
          <w:bCs/>
          <w:sz w:val="24"/>
          <w:szCs w:val="20"/>
        </w:rPr>
      </w:pPr>
      <w:r>
        <w:rPr>
          <w:bCs/>
          <w:sz w:val="24"/>
          <w:szCs w:val="20"/>
        </w:rPr>
        <w:t>经</w:t>
      </w:r>
      <w:r>
        <w:rPr>
          <w:bCs/>
          <w:sz w:val="24"/>
          <w:szCs w:val="20"/>
        </w:rPr>
        <w:t>参考引用多篇法律法规和相关规范，确定五种后果的换算标准，使其有据可依，并在此基础上试算验证。考虑一般情况下，保留就高原则（考虑人员伤亡、直接经济损失两种后果）确定后果的方法，当多种后果同时产生时，宜采用后果当量法确定风险事件严重程度等级。</w:t>
      </w:r>
    </w:p>
    <w:p w:rsidR="0073700B" w:rsidRDefault="0073700B">
      <w:pPr>
        <w:spacing w:line="360" w:lineRule="auto"/>
        <w:ind w:firstLineChars="200" w:firstLine="480"/>
        <w:rPr>
          <w:bCs/>
          <w:sz w:val="24"/>
          <w:szCs w:val="20"/>
        </w:rPr>
      </w:pPr>
    </w:p>
    <w:p w:rsidR="0073700B" w:rsidRDefault="001A2FFC" w:rsidP="00F80BAC">
      <w:pPr>
        <w:pStyle w:val="1"/>
        <w:spacing w:before="0" w:after="0" w:line="360" w:lineRule="auto"/>
        <w:ind w:firstLineChars="200" w:firstLine="602"/>
        <w:rPr>
          <w:rFonts w:eastAsia="黑体"/>
          <w:bCs w:val="0"/>
          <w:sz w:val="30"/>
          <w:szCs w:val="30"/>
        </w:rPr>
      </w:pPr>
      <w:bookmarkStart w:id="129" w:name="_Toc32321807"/>
      <w:bookmarkStart w:id="130" w:name="_Toc494537417"/>
      <w:r>
        <w:rPr>
          <w:rFonts w:eastAsia="黑体" w:hint="eastAsia"/>
          <w:bCs w:val="0"/>
          <w:sz w:val="30"/>
          <w:szCs w:val="30"/>
        </w:rPr>
        <w:t>七</w:t>
      </w:r>
      <w:r>
        <w:rPr>
          <w:rFonts w:eastAsia="黑体"/>
          <w:bCs w:val="0"/>
          <w:sz w:val="30"/>
          <w:szCs w:val="30"/>
        </w:rPr>
        <w:t>、其它应予说明的事项</w:t>
      </w:r>
      <w:bookmarkEnd w:id="129"/>
      <w:bookmarkEnd w:id="130"/>
    </w:p>
    <w:p w:rsidR="0073700B" w:rsidRDefault="001A2FFC">
      <w:pPr>
        <w:spacing w:line="360" w:lineRule="auto"/>
        <w:ind w:firstLineChars="200" w:firstLine="480"/>
        <w:rPr>
          <w:bCs/>
          <w:sz w:val="24"/>
          <w:szCs w:val="20"/>
        </w:rPr>
      </w:pPr>
      <w:r>
        <w:rPr>
          <w:bCs/>
          <w:sz w:val="24"/>
          <w:szCs w:val="20"/>
        </w:rPr>
        <w:t>无。</w:t>
      </w:r>
    </w:p>
    <w:p w:rsidR="0073700B" w:rsidRDefault="0073700B">
      <w:pPr>
        <w:autoSpaceDE w:val="0"/>
        <w:autoSpaceDN w:val="0"/>
        <w:adjustRightInd w:val="0"/>
        <w:jc w:val="left"/>
        <w:rPr>
          <w:bCs/>
          <w:szCs w:val="20"/>
        </w:rPr>
      </w:pPr>
    </w:p>
    <w:p w:rsidR="0073700B" w:rsidRDefault="0073700B">
      <w:pPr>
        <w:autoSpaceDE w:val="0"/>
        <w:autoSpaceDN w:val="0"/>
        <w:adjustRightInd w:val="0"/>
        <w:jc w:val="left"/>
        <w:rPr>
          <w:bCs/>
          <w:szCs w:val="20"/>
        </w:rPr>
      </w:pPr>
    </w:p>
    <w:p w:rsidR="0073700B" w:rsidRDefault="001A2FFC" w:rsidP="00F80BAC">
      <w:pPr>
        <w:autoSpaceDE w:val="0"/>
        <w:autoSpaceDN w:val="0"/>
        <w:adjustRightInd w:val="0"/>
        <w:spacing w:beforeLines="50" w:before="156" w:line="360" w:lineRule="auto"/>
        <w:jc w:val="left"/>
        <w:rPr>
          <w:rFonts w:eastAsia="黑体"/>
          <w:kern w:val="0"/>
          <w:sz w:val="24"/>
          <w:szCs w:val="24"/>
        </w:rPr>
      </w:pPr>
      <w:r>
        <w:rPr>
          <w:bCs/>
          <w:szCs w:val="20"/>
        </w:rPr>
        <w:fldChar w:fldCharType="begin"/>
      </w:r>
      <w:r>
        <w:rPr>
          <w:bCs/>
          <w:szCs w:val="20"/>
        </w:rPr>
        <w:instrText xml:space="preserve"> ADDIN NE.Bib</w:instrText>
      </w:r>
      <w:r>
        <w:rPr>
          <w:bCs/>
          <w:szCs w:val="20"/>
        </w:rPr>
        <w:fldChar w:fldCharType="separate"/>
      </w:r>
    </w:p>
    <w:p w:rsidR="0073700B" w:rsidRDefault="001A2FFC" w:rsidP="00F80BAC">
      <w:pPr>
        <w:autoSpaceDE w:val="0"/>
        <w:autoSpaceDN w:val="0"/>
        <w:adjustRightInd w:val="0"/>
        <w:spacing w:beforeLines="50" w:before="156" w:after="340" w:line="360" w:lineRule="auto"/>
        <w:jc w:val="center"/>
        <w:rPr>
          <w:rFonts w:eastAsia="黑体"/>
          <w:kern w:val="0"/>
          <w:sz w:val="24"/>
          <w:szCs w:val="24"/>
        </w:rPr>
      </w:pPr>
      <w:r>
        <w:rPr>
          <w:rFonts w:eastAsia="黑体"/>
          <w:b/>
          <w:bCs/>
          <w:color w:val="000000"/>
          <w:kern w:val="0"/>
          <w:sz w:val="30"/>
          <w:szCs w:val="30"/>
        </w:rPr>
        <w:lastRenderedPageBreak/>
        <w:t>参考文献</w:t>
      </w:r>
    </w:p>
    <w:p w:rsidR="0073700B" w:rsidRDefault="001A2FFC" w:rsidP="00F80BAC">
      <w:pPr>
        <w:autoSpaceDE w:val="0"/>
        <w:autoSpaceDN w:val="0"/>
        <w:adjustRightInd w:val="0"/>
        <w:spacing w:beforeLines="50" w:before="156" w:line="360" w:lineRule="auto"/>
        <w:ind w:left="561" w:hanging="561"/>
        <w:rPr>
          <w:rFonts w:eastAsia="黑体"/>
          <w:kern w:val="0"/>
          <w:sz w:val="24"/>
          <w:szCs w:val="24"/>
        </w:rPr>
      </w:pPr>
      <w:r>
        <w:rPr>
          <w:rFonts w:eastAsia="黑体"/>
          <w:color w:val="000000"/>
          <w:kern w:val="0"/>
          <w:sz w:val="24"/>
          <w:szCs w:val="24"/>
        </w:rPr>
        <w:t xml:space="preserve"> [1]</w:t>
      </w:r>
      <w:r>
        <w:rPr>
          <w:rFonts w:eastAsia="黑体"/>
          <w:color w:val="000000"/>
          <w:kern w:val="0"/>
          <w:sz w:val="24"/>
          <w:szCs w:val="24"/>
        </w:rPr>
        <w:tab/>
      </w:r>
      <w:r>
        <w:rPr>
          <w:color w:val="000000"/>
          <w:kern w:val="0"/>
          <w:sz w:val="24"/>
          <w:szCs w:val="24"/>
        </w:rPr>
        <w:t>林志，李洪建，李真真．公路隧道施工总体风险评估方法优化研究</w:t>
      </w:r>
      <w:r>
        <w:rPr>
          <w:rFonts w:eastAsia="黑体"/>
          <w:color w:val="000000"/>
          <w:kern w:val="0"/>
          <w:sz w:val="24"/>
          <w:szCs w:val="24"/>
        </w:rPr>
        <w:t>[J]</w:t>
      </w:r>
      <w:r>
        <w:rPr>
          <w:color w:val="000000"/>
          <w:kern w:val="0"/>
          <w:sz w:val="24"/>
          <w:szCs w:val="24"/>
        </w:rPr>
        <w:t>．工程建设，</w:t>
      </w:r>
      <w:r>
        <w:rPr>
          <w:rFonts w:eastAsia="黑体"/>
          <w:color w:val="000000"/>
          <w:kern w:val="0"/>
          <w:sz w:val="24"/>
          <w:szCs w:val="24"/>
        </w:rPr>
        <w:t>2017</w:t>
      </w:r>
      <w:r>
        <w:rPr>
          <w:color w:val="000000"/>
          <w:kern w:val="0"/>
          <w:sz w:val="24"/>
          <w:szCs w:val="24"/>
        </w:rPr>
        <w:t>，</w:t>
      </w:r>
      <w:r>
        <w:rPr>
          <w:rFonts w:eastAsia="黑体"/>
          <w:color w:val="000000"/>
          <w:kern w:val="0"/>
          <w:sz w:val="24"/>
          <w:szCs w:val="24"/>
        </w:rPr>
        <w:t>49(8)</w:t>
      </w:r>
      <w:r>
        <w:rPr>
          <w:color w:val="000000"/>
          <w:kern w:val="0"/>
          <w:sz w:val="24"/>
          <w:szCs w:val="24"/>
        </w:rPr>
        <w:t>：</w:t>
      </w:r>
      <w:r>
        <w:rPr>
          <w:rFonts w:eastAsia="黑体"/>
          <w:color w:val="000000"/>
          <w:kern w:val="0"/>
          <w:sz w:val="24"/>
          <w:szCs w:val="24"/>
        </w:rPr>
        <w:t>16-20</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 xml:space="preserve"> [2]</w:t>
      </w:r>
      <w:r>
        <w:rPr>
          <w:rFonts w:eastAsia="黑体"/>
          <w:color w:val="000000"/>
          <w:kern w:val="0"/>
          <w:sz w:val="24"/>
          <w:szCs w:val="24"/>
        </w:rPr>
        <w:tab/>
      </w:r>
      <w:r>
        <w:rPr>
          <w:color w:val="000000"/>
          <w:kern w:val="0"/>
          <w:sz w:val="24"/>
          <w:szCs w:val="24"/>
        </w:rPr>
        <w:t>交通运输部公路科学研究院．</w:t>
      </w:r>
      <w:r>
        <w:rPr>
          <w:rFonts w:eastAsia="黑体"/>
          <w:color w:val="000000"/>
          <w:kern w:val="0"/>
          <w:sz w:val="24"/>
          <w:szCs w:val="24"/>
        </w:rPr>
        <w:t xml:space="preserve">JTG F80/1-2017 </w:t>
      </w:r>
      <w:r>
        <w:rPr>
          <w:color w:val="000000"/>
          <w:kern w:val="0"/>
          <w:sz w:val="24"/>
          <w:szCs w:val="24"/>
        </w:rPr>
        <w:t>公路工程质量检验评定标准</w:t>
      </w:r>
      <w:r>
        <w:rPr>
          <w:rFonts w:eastAsia="黑体"/>
          <w:color w:val="000000"/>
          <w:kern w:val="0"/>
          <w:sz w:val="24"/>
          <w:szCs w:val="24"/>
        </w:rPr>
        <w:t xml:space="preserve"> </w:t>
      </w:r>
      <w:r>
        <w:rPr>
          <w:color w:val="000000"/>
          <w:kern w:val="0"/>
          <w:sz w:val="24"/>
          <w:szCs w:val="24"/>
        </w:rPr>
        <w:t>第</w:t>
      </w:r>
      <w:r>
        <w:rPr>
          <w:rFonts w:eastAsia="黑体"/>
          <w:color w:val="000000"/>
          <w:kern w:val="0"/>
          <w:sz w:val="24"/>
          <w:szCs w:val="24"/>
        </w:rPr>
        <w:t>1</w:t>
      </w:r>
      <w:r>
        <w:rPr>
          <w:color w:val="000000"/>
          <w:kern w:val="0"/>
          <w:sz w:val="24"/>
          <w:szCs w:val="24"/>
        </w:rPr>
        <w:t>册</w:t>
      </w:r>
      <w:r>
        <w:rPr>
          <w:rFonts w:eastAsia="黑体"/>
          <w:color w:val="000000"/>
          <w:kern w:val="0"/>
          <w:sz w:val="24"/>
          <w:szCs w:val="24"/>
        </w:rPr>
        <w:t xml:space="preserve"> </w:t>
      </w:r>
      <w:r>
        <w:rPr>
          <w:color w:val="000000"/>
          <w:kern w:val="0"/>
          <w:sz w:val="24"/>
          <w:szCs w:val="24"/>
        </w:rPr>
        <w:t>土建工程</w:t>
      </w:r>
      <w:r>
        <w:rPr>
          <w:rFonts w:eastAsia="黑体"/>
          <w:color w:val="000000"/>
          <w:kern w:val="0"/>
          <w:sz w:val="24"/>
          <w:szCs w:val="24"/>
        </w:rPr>
        <w:t xml:space="preserve"> [S]</w:t>
      </w:r>
      <w:r>
        <w:rPr>
          <w:color w:val="000000"/>
          <w:kern w:val="0"/>
          <w:sz w:val="24"/>
          <w:szCs w:val="24"/>
        </w:rPr>
        <w:t>．北京：人民交通出版社，</w:t>
      </w:r>
      <w:r>
        <w:rPr>
          <w:rFonts w:eastAsia="黑体"/>
          <w:color w:val="000000"/>
          <w:kern w:val="0"/>
          <w:sz w:val="24"/>
          <w:szCs w:val="24"/>
        </w:rPr>
        <w:t>2017</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 xml:space="preserve"> [3]</w:t>
      </w:r>
      <w:r>
        <w:rPr>
          <w:rFonts w:eastAsia="黑体"/>
          <w:color w:val="000000"/>
          <w:kern w:val="0"/>
          <w:sz w:val="24"/>
          <w:szCs w:val="24"/>
        </w:rPr>
        <w:tab/>
      </w:r>
      <w:r>
        <w:rPr>
          <w:color w:val="000000"/>
          <w:kern w:val="0"/>
          <w:sz w:val="24"/>
          <w:szCs w:val="24"/>
        </w:rPr>
        <w:t>国家标准局．</w:t>
      </w:r>
      <w:r>
        <w:rPr>
          <w:rFonts w:eastAsia="黑体"/>
          <w:color w:val="000000"/>
          <w:kern w:val="0"/>
          <w:sz w:val="24"/>
          <w:szCs w:val="24"/>
        </w:rPr>
        <w:t xml:space="preserve">GB/T 6441-1986 </w:t>
      </w:r>
      <w:r>
        <w:rPr>
          <w:color w:val="000000"/>
          <w:kern w:val="0"/>
          <w:sz w:val="24"/>
          <w:szCs w:val="24"/>
        </w:rPr>
        <w:t>企业职工伤亡事故分类</w:t>
      </w:r>
      <w:r>
        <w:rPr>
          <w:rFonts w:eastAsia="黑体"/>
          <w:color w:val="000000"/>
          <w:kern w:val="0"/>
          <w:sz w:val="24"/>
          <w:szCs w:val="24"/>
        </w:rPr>
        <w:t>[S]</w:t>
      </w:r>
      <w:r>
        <w:rPr>
          <w:color w:val="000000"/>
          <w:kern w:val="0"/>
          <w:sz w:val="24"/>
          <w:szCs w:val="24"/>
        </w:rPr>
        <w:t>．北京：中国标准出版社，</w:t>
      </w:r>
      <w:r>
        <w:rPr>
          <w:rFonts w:eastAsia="黑体"/>
          <w:color w:val="000000"/>
          <w:kern w:val="0"/>
          <w:sz w:val="24"/>
          <w:szCs w:val="24"/>
        </w:rPr>
        <w:t>1986</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 xml:space="preserve"> [4]</w:t>
      </w:r>
      <w:r>
        <w:rPr>
          <w:rFonts w:eastAsia="黑体"/>
          <w:color w:val="000000"/>
          <w:kern w:val="0"/>
          <w:sz w:val="24"/>
          <w:szCs w:val="24"/>
        </w:rPr>
        <w:tab/>
      </w:r>
      <w:bookmarkStart w:id="131" w:name="_neb186C33C3_95BB_472F_B0C5_D1BCCB29B45D"/>
      <w:r>
        <w:rPr>
          <w:color w:val="000000"/>
          <w:kern w:val="0"/>
          <w:sz w:val="24"/>
          <w:szCs w:val="24"/>
        </w:rPr>
        <w:t>国务院法制办公室．生产安全事故报告和调查处理条例</w:t>
      </w:r>
      <w:r>
        <w:rPr>
          <w:rFonts w:eastAsia="黑体"/>
          <w:color w:val="000000"/>
          <w:kern w:val="0"/>
          <w:sz w:val="24"/>
          <w:szCs w:val="24"/>
        </w:rPr>
        <w:t>[M]</w:t>
      </w:r>
      <w:r>
        <w:rPr>
          <w:color w:val="000000"/>
          <w:kern w:val="0"/>
          <w:sz w:val="24"/>
          <w:szCs w:val="24"/>
        </w:rPr>
        <w:t>．北京：中国法制出版社，</w:t>
      </w:r>
      <w:r>
        <w:rPr>
          <w:rFonts w:eastAsia="黑体"/>
          <w:color w:val="000000"/>
          <w:kern w:val="0"/>
          <w:sz w:val="24"/>
          <w:szCs w:val="24"/>
        </w:rPr>
        <w:t>2007</w:t>
      </w:r>
      <w:r>
        <w:rPr>
          <w:color w:val="000000"/>
          <w:kern w:val="0"/>
          <w:sz w:val="24"/>
          <w:szCs w:val="24"/>
        </w:rPr>
        <w:t>．</w:t>
      </w:r>
      <w:bookmarkEnd w:id="131"/>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 xml:space="preserve"> [5]</w:t>
      </w:r>
      <w:r>
        <w:rPr>
          <w:rFonts w:eastAsia="黑体"/>
          <w:color w:val="000000"/>
          <w:kern w:val="0"/>
          <w:sz w:val="24"/>
          <w:szCs w:val="24"/>
        </w:rPr>
        <w:tab/>
      </w:r>
      <w:r>
        <w:rPr>
          <w:color w:val="000000"/>
          <w:kern w:val="0"/>
          <w:sz w:val="24"/>
          <w:szCs w:val="24"/>
        </w:rPr>
        <w:t>蒋树屏，林志，王少飞．</w:t>
      </w:r>
      <w:r>
        <w:rPr>
          <w:rFonts w:eastAsia="黑体"/>
          <w:color w:val="000000"/>
          <w:kern w:val="0"/>
          <w:sz w:val="24"/>
          <w:szCs w:val="24"/>
        </w:rPr>
        <w:t>2018</w:t>
      </w:r>
      <w:r>
        <w:rPr>
          <w:color w:val="000000"/>
          <w:kern w:val="0"/>
          <w:sz w:val="24"/>
          <w:szCs w:val="24"/>
        </w:rPr>
        <w:t>年中国公路隧道发展</w:t>
      </w:r>
      <w:r>
        <w:rPr>
          <w:rFonts w:eastAsia="黑体"/>
          <w:color w:val="000000"/>
          <w:kern w:val="0"/>
          <w:sz w:val="24"/>
          <w:szCs w:val="24"/>
        </w:rPr>
        <w:t>[J]</w:t>
      </w:r>
      <w:r>
        <w:rPr>
          <w:color w:val="000000"/>
          <w:kern w:val="0"/>
          <w:sz w:val="24"/>
          <w:szCs w:val="24"/>
        </w:rPr>
        <w:t>．隧道建设</w:t>
      </w:r>
      <w:r>
        <w:rPr>
          <w:rFonts w:eastAsia="黑体"/>
          <w:color w:val="000000"/>
          <w:kern w:val="0"/>
          <w:sz w:val="24"/>
          <w:szCs w:val="24"/>
        </w:rPr>
        <w:t>(</w:t>
      </w:r>
      <w:r>
        <w:rPr>
          <w:color w:val="000000"/>
          <w:kern w:val="0"/>
          <w:sz w:val="24"/>
          <w:szCs w:val="24"/>
        </w:rPr>
        <w:t>中英文</w:t>
      </w:r>
      <w:r>
        <w:rPr>
          <w:rFonts w:eastAsia="黑体"/>
          <w:color w:val="000000"/>
          <w:kern w:val="0"/>
          <w:sz w:val="24"/>
          <w:szCs w:val="24"/>
        </w:rPr>
        <w:t>)</w:t>
      </w:r>
      <w:r>
        <w:rPr>
          <w:color w:val="000000"/>
          <w:kern w:val="0"/>
          <w:sz w:val="24"/>
          <w:szCs w:val="24"/>
        </w:rPr>
        <w:t>，</w:t>
      </w:r>
      <w:r>
        <w:rPr>
          <w:rFonts w:eastAsia="黑体"/>
          <w:color w:val="000000"/>
          <w:kern w:val="0"/>
          <w:sz w:val="24"/>
          <w:szCs w:val="24"/>
        </w:rPr>
        <w:t>2019</w:t>
      </w:r>
      <w:r>
        <w:rPr>
          <w:color w:val="000000"/>
          <w:kern w:val="0"/>
          <w:sz w:val="24"/>
          <w:szCs w:val="24"/>
        </w:rPr>
        <w:t>，</w:t>
      </w:r>
      <w:r>
        <w:rPr>
          <w:rFonts w:eastAsia="黑体"/>
          <w:color w:val="000000"/>
          <w:kern w:val="0"/>
          <w:sz w:val="24"/>
          <w:szCs w:val="24"/>
        </w:rPr>
        <w:t>39(07)</w:t>
      </w:r>
      <w:r>
        <w:rPr>
          <w:color w:val="000000"/>
          <w:kern w:val="0"/>
          <w:sz w:val="24"/>
          <w:szCs w:val="24"/>
        </w:rPr>
        <w:t>：</w:t>
      </w:r>
      <w:r>
        <w:rPr>
          <w:rFonts w:eastAsia="黑体"/>
          <w:color w:val="000000"/>
          <w:kern w:val="0"/>
          <w:sz w:val="24"/>
          <w:szCs w:val="24"/>
        </w:rPr>
        <w:t>1217-1220</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 xml:space="preserve"> [6]</w:t>
      </w:r>
      <w:r>
        <w:rPr>
          <w:rFonts w:eastAsia="黑体"/>
          <w:color w:val="000000"/>
          <w:kern w:val="0"/>
          <w:sz w:val="24"/>
          <w:szCs w:val="24"/>
        </w:rPr>
        <w:tab/>
      </w:r>
      <w:r>
        <w:rPr>
          <w:color w:val="000000"/>
          <w:kern w:val="0"/>
          <w:sz w:val="24"/>
          <w:szCs w:val="24"/>
        </w:rPr>
        <w:t>罗刚．中国</w:t>
      </w:r>
      <w:r>
        <w:rPr>
          <w:rFonts w:eastAsia="黑体"/>
          <w:color w:val="000000"/>
          <w:kern w:val="0"/>
          <w:sz w:val="24"/>
          <w:szCs w:val="24"/>
        </w:rPr>
        <w:t>10 km</w:t>
      </w:r>
      <w:r>
        <w:rPr>
          <w:color w:val="000000"/>
          <w:kern w:val="0"/>
          <w:sz w:val="24"/>
          <w:szCs w:val="24"/>
        </w:rPr>
        <w:t>以上超长公路隧道统计</w:t>
      </w:r>
      <w:r>
        <w:rPr>
          <w:rFonts w:eastAsia="黑体"/>
          <w:color w:val="000000"/>
          <w:kern w:val="0"/>
          <w:sz w:val="24"/>
          <w:szCs w:val="24"/>
        </w:rPr>
        <w:t>[J]</w:t>
      </w:r>
      <w:r>
        <w:rPr>
          <w:color w:val="000000"/>
          <w:kern w:val="0"/>
          <w:sz w:val="24"/>
          <w:szCs w:val="24"/>
        </w:rPr>
        <w:t>．隧道建设</w:t>
      </w:r>
      <w:r>
        <w:rPr>
          <w:rFonts w:eastAsia="黑体"/>
          <w:color w:val="000000"/>
          <w:kern w:val="0"/>
          <w:sz w:val="24"/>
          <w:szCs w:val="24"/>
        </w:rPr>
        <w:t>(</w:t>
      </w:r>
      <w:r>
        <w:rPr>
          <w:color w:val="000000"/>
          <w:kern w:val="0"/>
          <w:sz w:val="24"/>
          <w:szCs w:val="24"/>
        </w:rPr>
        <w:t>中英文</w:t>
      </w:r>
      <w:r>
        <w:rPr>
          <w:rFonts w:eastAsia="黑体"/>
          <w:color w:val="000000"/>
          <w:kern w:val="0"/>
          <w:sz w:val="24"/>
          <w:szCs w:val="24"/>
        </w:rPr>
        <w:t>)</w:t>
      </w:r>
      <w:r>
        <w:rPr>
          <w:color w:val="000000"/>
          <w:kern w:val="0"/>
          <w:sz w:val="24"/>
          <w:szCs w:val="24"/>
        </w:rPr>
        <w:t>，</w:t>
      </w:r>
      <w:r>
        <w:rPr>
          <w:rFonts w:eastAsia="黑体"/>
          <w:color w:val="000000"/>
          <w:kern w:val="0"/>
          <w:sz w:val="24"/>
          <w:szCs w:val="24"/>
        </w:rPr>
        <w:t>2019</w:t>
      </w:r>
      <w:r>
        <w:rPr>
          <w:color w:val="000000"/>
          <w:kern w:val="0"/>
          <w:sz w:val="24"/>
          <w:szCs w:val="24"/>
        </w:rPr>
        <w:t>，</w:t>
      </w:r>
      <w:r>
        <w:rPr>
          <w:rFonts w:eastAsia="黑体"/>
          <w:color w:val="000000"/>
          <w:kern w:val="0"/>
          <w:sz w:val="24"/>
          <w:szCs w:val="24"/>
        </w:rPr>
        <w:t>39(08)</w:t>
      </w:r>
      <w:r>
        <w:rPr>
          <w:color w:val="000000"/>
          <w:kern w:val="0"/>
          <w:sz w:val="24"/>
          <w:szCs w:val="24"/>
        </w:rPr>
        <w:t>：</w:t>
      </w:r>
      <w:r>
        <w:rPr>
          <w:rFonts w:eastAsia="黑体"/>
          <w:color w:val="000000"/>
          <w:kern w:val="0"/>
          <w:sz w:val="24"/>
          <w:szCs w:val="24"/>
        </w:rPr>
        <w:t>1380-1383</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 xml:space="preserve"> [7]</w:t>
      </w:r>
      <w:r>
        <w:rPr>
          <w:rFonts w:eastAsia="黑体"/>
          <w:color w:val="000000"/>
          <w:kern w:val="0"/>
          <w:sz w:val="24"/>
          <w:szCs w:val="24"/>
        </w:rPr>
        <w:tab/>
      </w:r>
      <w:r>
        <w:rPr>
          <w:color w:val="000000"/>
          <w:kern w:val="0"/>
          <w:sz w:val="24"/>
          <w:szCs w:val="24"/>
        </w:rPr>
        <w:t>主编交通运输部公路局</w:t>
      </w:r>
      <w:r>
        <w:rPr>
          <w:rFonts w:hint="eastAsia"/>
          <w:color w:val="000000"/>
          <w:kern w:val="0"/>
          <w:sz w:val="24"/>
          <w:szCs w:val="24"/>
        </w:rPr>
        <w:t>，</w:t>
      </w:r>
      <w:r>
        <w:rPr>
          <w:color w:val="000000"/>
          <w:kern w:val="0"/>
          <w:sz w:val="24"/>
          <w:szCs w:val="24"/>
        </w:rPr>
        <w:t>中交第一公路勘察设计研究院有限公司．</w:t>
      </w:r>
      <w:r>
        <w:rPr>
          <w:rFonts w:eastAsia="黑体"/>
          <w:color w:val="000000"/>
          <w:kern w:val="0"/>
          <w:sz w:val="24"/>
          <w:szCs w:val="24"/>
        </w:rPr>
        <w:t xml:space="preserve">JTG B01-2014 </w:t>
      </w:r>
      <w:r>
        <w:rPr>
          <w:color w:val="000000"/>
          <w:kern w:val="0"/>
          <w:sz w:val="24"/>
          <w:szCs w:val="24"/>
        </w:rPr>
        <w:t>公路工程技术标准</w:t>
      </w:r>
      <w:r>
        <w:rPr>
          <w:rFonts w:eastAsia="黑体"/>
          <w:color w:val="000000"/>
          <w:kern w:val="0"/>
          <w:sz w:val="24"/>
          <w:szCs w:val="24"/>
        </w:rPr>
        <w:t>[S]</w:t>
      </w:r>
      <w:r>
        <w:rPr>
          <w:color w:val="000000"/>
          <w:kern w:val="0"/>
          <w:sz w:val="24"/>
          <w:szCs w:val="24"/>
        </w:rPr>
        <w:t>．人民交通出版社，</w:t>
      </w:r>
      <w:r>
        <w:rPr>
          <w:rFonts w:eastAsia="黑体"/>
          <w:color w:val="000000"/>
          <w:kern w:val="0"/>
          <w:sz w:val="24"/>
          <w:szCs w:val="24"/>
        </w:rPr>
        <w:t>2015</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 xml:space="preserve"> [8]</w:t>
      </w:r>
      <w:r>
        <w:rPr>
          <w:rFonts w:eastAsia="黑体"/>
          <w:color w:val="000000"/>
          <w:kern w:val="0"/>
          <w:sz w:val="24"/>
          <w:szCs w:val="24"/>
        </w:rPr>
        <w:tab/>
      </w:r>
      <w:r>
        <w:rPr>
          <w:color w:val="000000"/>
          <w:kern w:val="0"/>
          <w:sz w:val="24"/>
          <w:szCs w:val="24"/>
        </w:rPr>
        <w:t>四川省交通运输厅公路规划勘察设计研究院．</w:t>
      </w:r>
      <w:r>
        <w:rPr>
          <w:rFonts w:eastAsia="黑体"/>
          <w:color w:val="000000"/>
          <w:kern w:val="0"/>
          <w:sz w:val="24"/>
          <w:szCs w:val="24"/>
        </w:rPr>
        <w:t xml:space="preserve">DB51/T2243-2016 </w:t>
      </w:r>
      <w:r>
        <w:rPr>
          <w:color w:val="000000"/>
          <w:kern w:val="0"/>
          <w:sz w:val="24"/>
          <w:szCs w:val="24"/>
        </w:rPr>
        <w:t>公路瓦斯隧道技术规程</w:t>
      </w:r>
      <w:r>
        <w:rPr>
          <w:rFonts w:eastAsia="黑体"/>
          <w:color w:val="000000"/>
          <w:kern w:val="0"/>
          <w:sz w:val="24"/>
          <w:szCs w:val="24"/>
        </w:rPr>
        <w:t>[S]</w:t>
      </w:r>
      <w:r>
        <w:rPr>
          <w:color w:val="000000"/>
          <w:kern w:val="0"/>
          <w:sz w:val="24"/>
          <w:szCs w:val="24"/>
        </w:rPr>
        <w:t>．成都：西南交通大学出版社，</w:t>
      </w:r>
      <w:r>
        <w:rPr>
          <w:rFonts w:eastAsia="黑体"/>
          <w:color w:val="000000"/>
          <w:kern w:val="0"/>
          <w:sz w:val="24"/>
          <w:szCs w:val="24"/>
        </w:rPr>
        <w:t>2017</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 xml:space="preserve"> [9]</w:t>
      </w:r>
      <w:r>
        <w:rPr>
          <w:rFonts w:eastAsia="黑体"/>
          <w:color w:val="000000"/>
          <w:kern w:val="0"/>
          <w:sz w:val="24"/>
          <w:szCs w:val="24"/>
        </w:rPr>
        <w:tab/>
      </w:r>
      <w:r>
        <w:rPr>
          <w:color w:val="000000"/>
          <w:kern w:val="0"/>
          <w:sz w:val="24"/>
          <w:szCs w:val="24"/>
        </w:rPr>
        <w:t>侯东赛，张霄，王磊．基于综合赋权</w:t>
      </w:r>
      <w:r>
        <w:rPr>
          <w:rFonts w:eastAsia="黑体"/>
          <w:color w:val="000000"/>
          <w:kern w:val="0"/>
          <w:sz w:val="24"/>
          <w:szCs w:val="24"/>
        </w:rPr>
        <w:t>-TOPSIS</w:t>
      </w:r>
      <w:r>
        <w:rPr>
          <w:color w:val="000000"/>
          <w:kern w:val="0"/>
          <w:sz w:val="24"/>
          <w:szCs w:val="24"/>
        </w:rPr>
        <w:t>法隧道突涌水风险评价及应用</w:t>
      </w:r>
      <w:r>
        <w:rPr>
          <w:rFonts w:eastAsia="黑体"/>
          <w:color w:val="000000"/>
          <w:kern w:val="0"/>
          <w:sz w:val="24"/>
          <w:szCs w:val="24"/>
        </w:rPr>
        <w:t>[J]</w:t>
      </w:r>
      <w:r>
        <w:rPr>
          <w:color w:val="000000"/>
          <w:kern w:val="0"/>
          <w:sz w:val="24"/>
          <w:szCs w:val="24"/>
        </w:rPr>
        <w:t>．隧道建设，</w:t>
      </w:r>
      <w:r>
        <w:rPr>
          <w:rFonts w:eastAsia="黑体"/>
          <w:color w:val="000000"/>
          <w:kern w:val="0"/>
          <w:sz w:val="24"/>
          <w:szCs w:val="24"/>
        </w:rPr>
        <w:t>2017</w:t>
      </w:r>
      <w:r>
        <w:rPr>
          <w:color w:val="000000"/>
          <w:kern w:val="0"/>
          <w:sz w:val="24"/>
          <w:szCs w:val="24"/>
        </w:rPr>
        <w:t>，</w:t>
      </w:r>
      <w:r>
        <w:rPr>
          <w:rFonts w:eastAsia="黑体"/>
          <w:color w:val="000000"/>
          <w:kern w:val="0"/>
          <w:sz w:val="24"/>
          <w:szCs w:val="24"/>
        </w:rPr>
        <w:t>37(06)</w:t>
      </w:r>
      <w:r>
        <w:rPr>
          <w:color w:val="000000"/>
          <w:kern w:val="0"/>
          <w:sz w:val="24"/>
          <w:szCs w:val="24"/>
        </w:rPr>
        <w:t>：</w:t>
      </w:r>
      <w:r>
        <w:rPr>
          <w:rFonts w:eastAsia="黑体"/>
          <w:color w:val="000000"/>
          <w:kern w:val="0"/>
          <w:sz w:val="24"/>
          <w:szCs w:val="24"/>
        </w:rPr>
        <w:t>691-699</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[10]</w:t>
      </w:r>
      <w:r>
        <w:rPr>
          <w:rFonts w:eastAsia="黑体"/>
          <w:color w:val="000000"/>
          <w:kern w:val="0"/>
          <w:sz w:val="24"/>
          <w:szCs w:val="24"/>
        </w:rPr>
        <w:tab/>
      </w:r>
      <w:r>
        <w:rPr>
          <w:color w:val="000000"/>
          <w:kern w:val="0"/>
          <w:sz w:val="24"/>
          <w:szCs w:val="24"/>
        </w:rPr>
        <w:t>中交第一公路勘察设计研究院有限公司．</w:t>
      </w:r>
      <w:r>
        <w:rPr>
          <w:rFonts w:eastAsia="黑体"/>
          <w:color w:val="000000"/>
          <w:kern w:val="0"/>
          <w:sz w:val="24"/>
          <w:szCs w:val="24"/>
        </w:rPr>
        <w:t xml:space="preserve">JTG C20-2011 </w:t>
      </w:r>
      <w:r>
        <w:rPr>
          <w:color w:val="000000"/>
          <w:kern w:val="0"/>
          <w:sz w:val="24"/>
          <w:szCs w:val="24"/>
        </w:rPr>
        <w:t>公路工程地质勘察规范</w:t>
      </w:r>
      <w:r>
        <w:rPr>
          <w:rFonts w:eastAsia="黑体"/>
          <w:color w:val="000000"/>
          <w:kern w:val="0"/>
          <w:sz w:val="24"/>
          <w:szCs w:val="24"/>
        </w:rPr>
        <w:t>[S]</w:t>
      </w:r>
      <w:r>
        <w:rPr>
          <w:color w:val="000000"/>
          <w:kern w:val="0"/>
          <w:sz w:val="24"/>
          <w:szCs w:val="24"/>
        </w:rPr>
        <w:t>．北京：人民交通出版社，</w:t>
      </w:r>
      <w:r>
        <w:rPr>
          <w:rFonts w:eastAsia="黑体"/>
          <w:color w:val="000000"/>
          <w:kern w:val="0"/>
          <w:sz w:val="24"/>
          <w:szCs w:val="24"/>
        </w:rPr>
        <w:t>2011</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color w:val="000000"/>
          <w:kern w:val="0"/>
          <w:sz w:val="24"/>
          <w:szCs w:val="24"/>
        </w:rPr>
      </w:pPr>
      <w:r>
        <w:rPr>
          <w:rFonts w:eastAsia="黑体"/>
          <w:color w:val="000000"/>
          <w:kern w:val="0"/>
          <w:sz w:val="24"/>
          <w:szCs w:val="24"/>
        </w:rPr>
        <w:t>[11]</w:t>
      </w:r>
      <w:r>
        <w:rPr>
          <w:rFonts w:eastAsia="黑体"/>
          <w:color w:val="000000"/>
          <w:kern w:val="0"/>
          <w:sz w:val="24"/>
          <w:szCs w:val="24"/>
        </w:rPr>
        <w:tab/>
      </w:r>
      <w:r>
        <w:rPr>
          <w:color w:val="000000"/>
          <w:kern w:val="0"/>
          <w:sz w:val="24"/>
          <w:szCs w:val="24"/>
        </w:rPr>
        <w:t>中华人民共和国住房和城乡建设部．</w:t>
      </w:r>
      <w:r>
        <w:rPr>
          <w:rFonts w:eastAsia="黑体"/>
          <w:color w:val="000000"/>
          <w:kern w:val="0"/>
          <w:sz w:val="24"/>
          <w:szCs w:val="24"/>
        </w:rPr>
        <w:t xml:space="preserve">GB/T 50218-2014 </w:t>
      </w:r>
      <w:r>
        <w:rPr>
          <w:color w:val="000000"/>
          <w:kern w:val="0"/>
          <w:sz w:val="24"/>
          <w:szCs w:val="24"/>
        </w:rPr>
        <w:t>工程岩体分级标准</w:t>
      </w:r>
      <w:r>
        <w:rPr>
          <w:rFonts w:eastAsia="黑体"/>
          <w:color w:val="000000"/>
          <w:kern w:val="0"/>
          <w:sz w:val="24"/>
          <w:szCs w:val="24"/>
        </w:rPr>
        <w:t xml:space="preserve"> [S]</w:t>
      </w:r>
      <w:r>
        <w:rPr>
          <w:color w:val="000000"/>
          <w:kern w:val="0"/>
          <w:sz w:val="24"/>
          <w:szCs w:val="24"/>
        </w:rPr>
        <w:t>．北京：中国计划出版社，</w:t>
      </w:r>
      <w:r>
        <w:rPr>
          <w:rFonts w:eastAsia="黑体"/>
          <w:color w:val="000000"/>
          <w:kern w:val="0"/>
          <w:sz w:val="24"/>
          <w:szCs w:val="24"/>
        </w:rPr>
        <w:t>2014</w:t>
      </w:r>
      <w:r>
        <w:rPr>
          <w:color w:val="000000"/>
          <w:kern w:val="0"/>
          <w:sz w:val="24"/>
          <w:szCs w:val="24"/>
        </w:rPr>
        <w:t>．</w:t>
      </w:r>
    </w:p>
    <w:p w:rsidR="0073700B" w:rsidRDefault="0073700B" w:rsidP="00F80BAC">
      <w:pPr>
        <w:autoSpaceDE w:val="0"/>
        <w:autoSpaceDN w:val="0"/>
        <w:adjustRightInd w:val="0"/>
        <w:spacing w:beforeLines="50" w:before="156" w:line="360" w:lineRule="auto"/>
        <w:ind w:left="560" w:hanging="560"/>
        <w:rPr>
          <w:rFonts w:eastAsia="黑体"/>
          <w:kern w:val="0"/>
          <w:sz w:val="24"/>
          <w:szCs w:val="24"/>
        </w:rPr>
      </w:pP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lastRenderedPageBreak/>
        <w:t>[12]</w:t>
      </w:r>
      <w:r>
        <w:rPr>
          <w:rFonts w:eastAsia="黑体"/>
          <w:color w:val="000000"/>
          <w:kern w:val="0"/>
          <w:sz w:val="24"/>
          <w:szCs w:val="24"/>
        </w:rPr>
        <w:tab/>
      </w:r>
      <w:r>
        <w:rPr>
          <w:color w:val="000000"/>
          <w:kern w:val="0"/>
          <w:sz w:val="24"/>
          <w:szCs w:val="24"/>
        </w:rPr>
        <w:t>中华人民共和国住房和城乡建设部．</w:t>
      </w:r>
      <w:r>
        <w:rPr>
          <w:rFonts w:eastAsia="黑体"/>
          <w:color w:val="000000"/>
          <w:kern w:val="0"/>
          <w:sz w:val="24"/>
          <w:szCs w:val="24"/>
        </w:rPr>
        <w:t xml:space="preserve">GB 50287-2016 </w:t>
      </w:r>
      <w:r>
        <w:rPr>
          <w:color w:val="000000"/>
          <w:kern w:val="0"/>
          <w:sz w:val="24"/>
          <w:szCs w:val="24"/>
        </w:rPr>
        <w:t>水力发电工程地质勘察规范</w:t>
      </w:r>
      <w:r>
        <w:rPr>
          <w:rFonts w:eastAsia="黑体"/>
          <w:color w:val="000000"/>
          <w:kern w:val="0"/>
          <w:sz w:val="24"/>
          <w:szCs w:val="24"/>
        </w:rPr>
        <w:t>[S]</w:t>
      </w:r>
      <w:r>
        <w:rPr>
          <w:color w:val="000000"/>
          <w:kern w:val="0"/>
          <w:sz w:val="24"/>
          <w:szCs w:val="24"/>
        </w:rPr>
        <w:t>．中国计划出版社，</w:t>
      </w:r>
      <w:r>
        <w:rPr>
          <w:rFonts w:eastAsia="黑体"/>
          <w:color w:val="000000"/>
          <w:kern w:val="0"/>
          <w:sz w:val="24"/>
          <w:szCs w:val="24"/>
        </w:rPr>
        <w:t>2016</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[13]</w:t>
      </w:r>
      <w:r>
        <w:rPr>
          <w:rFonts w:eastAsia="黑体"/>
          <w:color w:val="000000"/>
          <w:kern w:val="0"/>
          <w:sz w:val="24"/>
          <w:szCs w:val="24"/>
        </w:rPr>
        <w:tab/>
      </w:r>
      <w:r>
        <w:rPr>
          <w:color w:val="000000"/>
          <w:kern w:val="0"/>
          <w:sz w:val="24"/>
          <w:szCs w:val="24"/>
        </w:rPr>
        <w:t>宁波市交通工程质量监督站．宁波市交通质监站组织开展公路工程施工安全风险管理知识培训</w:t>
      </w:r>
      <w:r>
        <w:rPr>
          <w:rFonts w:eastAsia="黑体"/>
          <w:color w:val="000000"/>
          <w:kern w:val="0"/>
          <w:sz w:val="24"/>
          <w:szCs w:val="24"/>
        </w:rPr>
        <w:t>[EB/OL]</w:t>
      </w:r>
      <w:r>
        <w:rPr>
          <w:color w:val="000000"/>
          <w:kern w:val="0"/>
          <w:sz w:val="24"/>
          <w:szCs w:val="24"/>
        </w:rPr>
        <w:t>．</w:t>
      </w:r>
      <w:r>
        <w:rPr>
          <w:rFonts w:eastAsia="黑体"/>
          <w:color w:val="000000"/>
          <w:kern w:val="0"/>
          <w:sz w:val="24"/>
          <w:szCs w:val="24"/>
        </w:rPr>
        <w:t>(2018-1</w:t>
      </w:r>
      <w:r>
        <w:rPr>
          <w:rFonts w:eastAsia="黑体"/>
          <w:color w:val="000000"/>
          <w:kern w:val="0"/>
          <w:sz w:val="24"/>
          <w:szCs w:val="24"/>
        </w:rPr>
        <w:t>1-06)[2020-01-01]</w:t>
      </w:r>
      <w:r>
        <w:rPr>
          <w:color w:val="000000"/>
          <w:kern w:val="0"/>
          <w:sz w:val="24"/>
          <w:szCs w:val="24"/>
        </w:rPr>
        <w:t>．</w:t>
      </w:r>
      <w:r>
        <w:rPr>
          <w:rFonts w:eastAsia="黑体"/>
          <w:color w:val="000000"/>
          <w:kern w:val="0"/>
          <w:sz w:val="24"/>
          <w:szCs w:val="24"/>
        </w:rPr>
        <w:t>http://zjzj.zjt.gov.cn/art/2018/11/6/art_5460_1029387.html</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[14]</w:t>
      </w:r>
      <w:r>
        <w:rPr>
          <w:rFonts w:eastAsia="黑体"/>
          <w:color w:val="000000"/>
          <w:kern w:val="0"/>
          <w:sz w:val="24"/>
          <w:szCs w:val="24"/>
        </w:rPr>
        <w:tab/>
      </w:r>
      <w:r>
        <w:rPr>
          <w:color w:val="000000"/>
          <w:kern w:val="0"/>
          <w:sz w:val="24"/>
          <w:szCs w:val="24"/>
        </w:rPr>
        <w:t>中交第一公路工程局有限公司．</w:t>
      </w:r>
      <w:r>
        <w:rPr>
          <w:rFonts w:eastAsia="黑体"/>
          <w:color w:val="000000"/>
          <w:kern w:val="0"/>
          <w:sz w:val="24"/>
          <w:szCs w:val="24"/>
        </w:rPr>
        <w:t xml:space="preserve">JTG/T F60-2009 </w:t>
      </w:r>
      <w:r>
        <w:rPr>
          <w:color w:val="000000"/>
          <w:kern w:val="0"/>
          <w:sz w:val="24"/>
          <w:szCs w:val="24"/>
        </w:rPr>
        <w:t>公路隧道施工技术细则</w:t>
      </w:r>
      <w:r>
        <w:rPr>
          <w:rFonts w:eastAsia="黑体"/>
          <w:color w:val="000000"/>
          <w:kern w:val="0"/>
          <w:sz w:val="24"/>
          <w:szCs w:val="24"/>
        </w:rPr>
        <w:t>[S]</w:t>
      </w:r>
      <w:r>
        <w:rPr>
          <w:color w:val="000000"/>
          <w:kern w:val="0"/>
          <w:sz w:val="24"/>
          <w:szCs w:val="24"/>
        </w:rPr>
        <w:t>．北京：人民交通出版社，</w:t>
      </w:r>
      <w:r>
        <w:rPr>
          <w:rFonts w:eastAsia="黑体"/>
          <w:color w:val="000000"/>
          <w:kern w:val="0"/>
          <w:sz w:val="24"/>
          <w:szCs w:val="24"/>
        </w:rPr>
        <w:t>2009</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[15]</w:t>
      </w:r>
      <w:r>
        <w:rPr>
          <w:rFonts w:eastAsia="黑体"/>
          <w:color w:val="000000"/>
          <w:kern w:val="0"/>
          <w:sz w:val="24"/>
          <w:szCs w:val="24"/>
        </w:rPr>
        <w:tab/>
      </w:r>
      <w:r>
        <w:rPr>
          <w:color w:val="000000"/>
          <w:kern w:val="0"/>
          <w:sz w:val="24"/>
          <w:szCs w:val="24"/>
        </w:rPr>
        <w:t>中华人民共和国国家铁路局．</w:t>
      </w:r>
      <w:r>
        <w:rPr>
          <w:rFonts w:eastAsia="黑体"/>
          <w:color w:val="000000"/>
          <w:kern w:val="0"/>
          <w:sz w:val="24"/>
          <w:szCs w:val="24"/>
        </w:rPr>
        <w:t xml:space="preserve">TB 10003-2016 </w:t>
      </w:r>
      <w:r>
        <w:rPr>
          <w:color w:val="000000"/>
          <w:kern w:val="0"/>
          <w:sz w:val="24"/>
          <w:szCs w:val="24"/>
        </w:rPr>
        <w:t>铁路隧道设计规范</w:t>
      </w:r>
      <w:r>
        <w:rPr>
          <w:rFonts w:eastAsia="黑体"/>
          <w:color w:val="000000"/>
          <w:kern w:val="0"/>
          <w:sz w:val="24"/>
          <w:szCs w:val="24"/>
        </w:rPr>
        <w:t>[S]</w:t>
      </w:r>
      <w:r>
        <w:rPr>
          <w:color w:val="000000"/>
          <w:kern w:val="0"/>
          <w:sz w:val="24"/>
          <w:szCs w:val="24"/>
        </w:rPr>
        <w:t>．北京：中国铁道出版社，</w:t>
      </w:r>
      <w:r>
        <w:rPr>
          <w:rFonts w:eastAsia="黑体"/>
          <w:color w:val="000000"/>
          <w:kern w:val="0"/>
          <w:sz w:val="24"/>
          <w:szCs w:val="24"/>
        </w:rPr>
        <w:t>2017</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[16]</w:t>
      </w:r>
      <w:r>
        <w:rPr>
          <w:rFonts w:eastAsia="黑体"/>
          <w:color w:val="000000"/>
          <w:kern w:val="0"/>
          <w:sz w:val="24"/>
          <w:szCs w:val="24"/>
        </w:rPr>
        <w:tab/>
      </w:r>
      <w:bookmarkStart w:id="132" w:name="_neb68E57873_D974_4D04_84AD_CAB3790C2F3D"/>
      <w:r>
        <w:rPr>
          <w:color w:val="000000"/>
          <w:kern w:val="0"/>
          <w:sz w:val="24"/>
          <w:szCs w:val="24"/>
        </w:rPr>
        <w:t>周宗青，李术才，李利平，等．浅埋隧道塌方地质灾害成因及风险控制</w:t>
      </w:r>
      <w:r>
        <w:rPr>
          <w:rFonts w:eastAsia="黑体"/>
          <w:color w:val="000000"/>
          <w:kern w:val="0"/>
          <w:sz w:val="24"/>
          <w:szCs w:val="24"/>
        </w:rPr>
        <w:t>[J]</w:t>
      </w:r>
      <w:r>
        <w:rPr>
          <w:color w:val="000000"/>
          <w:kern w:val="0"/>
          <w:sz w:val="24"/>
          <w:szCs w:val="24"/>
        </w:rPr>
        <w:t>．岩土力学，</w:t>
      </w:r>
      <w:r>
        <w:rPr>
          <w:rFonts w:eastAsia="黑体"/>
          <w:color w:val="000000"/>
          <w:kern w:val="0"/>
          <w:sz w:val="24"/>
          <w:szCs w:val="24"/>
        </w:rPr>
        <w:t>2013</w:t>
      </w:r>
      <w:r>
        <w:rPr>
          <w:color w:val="000000"/>
          <w:kern w:val="0"/>
          <w:sz w:val="24"/>
          <w:szCs w:val="24"/>
        </w:rPr>
        <w:t>，</w:t>
      </w:r>
      <w:r>
        <w:rPr>
          <w:rFonts w:eastAsia="黑体"/>
          <w:color w:val="000000"/>
          <w:kern w:val="0"/>
          <w:sz w:val="24"/>
          <w:szCs w:val="24"/>
        </w:rPr>
        <w:t>34</w:t>
      </w:r>
      <w:r>
        <w:rPr>
          <w:rFonts w:eastAsia="黑体"/>
          <w:color w:val="000000"/>
          <w:kern w:val="0"/>
          <w:sz w:val="24"/>
          <w:szCs w:val="24"/>
        </w:rPr>
        <w:t>(05)</w:t>
      </w:r>
      <w:r>
        <w:rPr>
          <w:color w:val="000000"/>
          <w:kern w:val="0"/>
          <w:sz w:val="24"/>
          <w:szCs w:val="24"/>
        </w:rPr>
        <w:t>：</w:t>
      </w:r>
      <w:r>
        <w:rPr>
          <w:rFonts w:eastAsia="黑体"/>
          <w:color w:val="000000"/>
          <w:kern w:val="0"/>
          <w:sz w:val="24"/>
          <w:szCs w:val="24"/>
        </w:rPr>
        <w:t>1375-1382</w:t>
      </w:r>
      <w:r>
        <w:rPr>
          <w:color w:val="000000"/>
          <w:kern w:val="0"/>
          <w:sz w:val="24"/>
          <w:szCs w:val="24"/>
        </w:rPr>
        <w:t>．</w:t>
      </w:r>
      <w:bookmarkEnd w:id="132"/>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[17]</w:t>
      </w:r>
      <w:r>
        <w:rPr>
          <w:rFonts w:eastAsia="黑体"/>
          <w:color w:val="000000"/>
          <w:kern w:val="0"/>
          <w:sz w:val="24"/>
          <w:szCs w:val="24"/>
        </w:rPr>
        <w:tab/>
      </w:r>
      <w:bookmarkStart w:id="133" w:name="_neb94D06DA0_5BEB_4DB2_8E70_B23FE7B9FF0E"/>
      <w:r>
        <w:rPr>
          <w:color w:val="000000"/>
          <w:kern w:val="0"/>
          <w:sz w:val="24"/>
          <w:szCs w:val="24"/>
        </w:rPr>
        <w:t>中交第一公路工程局有限公司．</w:t>
      </w:r>
      <w:r>
        <w:rPr>
          <w:rFonts w:eastAsia="黑体"/>
          <w:color w:val="000000"/>
          <w:kern w:val="0"/>
          <w:sz w:val="24"/>
          <w:szCs w:val="24"/>
        </w:rPr>
        <w:t xml:space="preserve">JTG F60-2009 </w:t>
      </w:r>
      <w:r>
        <w:rPr>
          <w:color w:val="000000"/>
          <w:kern w:val="0"/>
          <w:sz w:val="24"/>
          <w:szCs w:val="24"/>
        </w:rPr>
        <w:t>公路隧道施工技术规范</w:t>
      </w:r>
      <w:r>
        <w:rPr>
          <w:rFonts w:eastAsia="黑体"/>
          <w:color w:val="000000"/>
          <w:kern w:val="0"/>
          <w:sz w:val="24"/>
          <w:szCs w:val="24"/>
        </w:rPr>
        <w:t>[S]</w:t>
      </w:r>
      <w:r>
        <w:rPr>
          <w:color w:val="000000"/>
          <w:kern w:val="0"/>
          <w:sz w:val="24"/>
          <w:szCs w:val="24"/>
        </w:rPr>
        <w:t>．北京：人民交通出版社，</w:t>
      </w:r>
      <w:r>
        <w:rPr>
          <w:rFonts w:eastAsia="黑体"/>
          <w:color w:val="000000"/>
          <w:kern w:val="0"/>
          <w:sz w:val="24"/>
          <w:szCs w:val="24"/>
        </w:rPr>
        <w:t>2009</w:t>
      </w:r>
      <w:r>
        <w:rPr>
          <w:color w:val="000000"/>
          <w:kern w:val="0"/>
          <w:sz w:val="24"/>
          <w:szCs w:val="24"/>
        </w:rPr>
        <w:t>．</w:t>
      </w:r>
      <w:bookmarkEnd w:id="133"/>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[18]</w:t>
      </w:r>
      <w:r>
        <w:rPr>
          <w:rFonts w:eastAsia="黑体"/>
          <w:color w:val="000000"/>
          <w:kern w:val="0"/>
          <w:sz w:val="24"/>
          <w:szCs w:val="24"/>
        </w:rPr>
        <w:tab/>
        <w:t>Degn Eskesen S, Tengborg P, Kampmann J, et al. Guidelines for tunnelling risk management: International Tunnelling Association, Working Group No. 2[J]. Tunnelling and Under</w:t>
      </w:r>
      <w:r>
        <w:rPr>
          <w:rFonts w:eastAsia="黑体"/>
          <w:color w:val="000000"/>
          <w:kern w:val="0"/>
          <w:sz w:val="24"/>
          <w:szCs w:val="24"/>
        </w:rPr>
        <w:t>ground Space Technology, 2004,19(3):217-237.</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[19]</w:t>
      </w:r>
      <w:r>
        <w:rPr>
          <w:rFonts w:eastAsia="黑体"/>
          <w:color w:val="000000"/>
          <w:kern w:val="0"/>
          <w:sz w:val="24"/>
          <w:szCs w:val="24"/>
        </w:rPr>
        <w:tab/>
      </w:r>
      <w:bookmarkStart w:id="134" w:name="_neb57DD38F7_26EA_4AD9_A54C_5D8895429EDD"/>
      <w:r>
        <w:rPr>
          <w:color w:val="000000"/>
          <w:kern w:val="0"/>
          <w:sz w:val="24"/>
          <w:szCs w:val="24"/>
        </w:rPr>
        <w:t>交通运输部．交通运输部关于发布港口工程施工安全风险评估指南</w:t>
      </w:r>
      <w:r>
        <w:rPr>
          <w:rFonts w:eastAsia="黑体"/>
          <w:color w:val="000000"/>
          <w:kern w:val="0"/>
          <w:sz w:val="24"/>
          <w:szCs w:val="24"/>
        </w:rPr>
        <w:t>(</w:t>
      </w:r>
      <w:r>
        <w:rPr>
          <w:color w:val="000000"/>
          <w:kern w:val="0"/>
          <w:sz w:val="24"/>
          <w:szCs w:val="24"/>
        </w:rPr>
        <w:t>沿海码头、护岸及防波堤分册</w:t>
      </w:r>
      <w:r>
        <w:rPr>
          <w:rFonts w:eastAsia="黑体"/>
          <w:color w:val="000000"/>
          <w:kern w:val="0"/>
          <w:sz w:val="24"/>
          <w:szCs w:val="24"/>
        </w:rPr>
        <w:t>)</w:t>
      </w:r>
      <w:r>
        <w:rPr>
          <w:color w:val="000000"/>
          <w:kern w:val="0"/>
          <w:sz w:val="24"/>
          <w:szCs w:val="24"/>
        </w:rPr>
        <w:t>的通知</w:t>
      </w:r>
      <w:r>
        <w:rPr>
          <w:rFonts w:eastAsia="黑体"/>
          <w:color w:val="000000"/>
          <w:kern w:val="0"/>
          <w:sz w:val="24"/>
          <w:szCs w:val="24"/>
        </w:rPr>
        <w:t>[EB/OL]</w:t>
      </w:r>
      <w:r>
        <w:rPr>
          <w:color w:val="000000"/>
          <w:kern w:val="0"/>
          <w:sz w:val="24"/>
          <w:szCs w:val="24"/>
        </w:rPr>
        <w:t>．</w:t>
      </w:r>
      <w:r>
        <w:rPr>
          <w:rFonts w:eastAsia="黑体"/>
          <w:color w:val="000000"/>
          <w:kern w:val="0"/>
          <w:sz w:val="24"/>
          <w:szCs w:val="24"/>
        </w:rPr>
        <w:t>(2017-09-15)[2019-04-23]</w:t>
      </w:r>
      <w:r>
        <w:rPr>
          <w:color w:val="000000"/>
          <w:kern w:val="0"/>
          <w:sz w:val="24"/>
          <w:szCs w:val="24"/>
        </w:rPr>
        <w:t>．</w:t>
      </w:r>
      <w:r>
        <w:rPr>
          <w:rFonts w:eastAsia="黑体"/>
          <w:color w:val="000000"/>
          <w:kern w:val="0"/>
          <w:sz w:val="24"/>
          <w:szCs w:val="24"/>
        </w:rPr>
        <w:t>http://zizhan.mot.gov.cn/zfxxgk/bnssj/aqjds/201710/t20171031_2930263.html.</w:t>
      </w:r>
      <w:r>
        <w:rPr>
          <w:color w:val="000000"/>
          <w:kern w:val="0"/>
          <w:sz w:val="24"/>
          <w:szCs w:val="24"/>
        </w:rPr>
        <w:t>．</w:t>
      </w:r>
      <w:bookmarkEnd w:id="134"/>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[20]</w:t>
      </w:r>
      <w:r>
        <w:rPr>
          <w:rFonts w:eastAsia="黑体"/>
          <w:color w:val="000000"/>
          <w:kern w:val="0"/>
          <w:sz w:val="24"/>
          <w:szCs w:val="24"/>
        </w:rPr>
        <w:tab/>
      </w:r>
      <w:r>
        <w:rPr>
          <w:color w:val="000000"/>
          <w:kern w:val="0"/>
          <w:sz w:val="24"/>
          <w:szCs w:val="24"/>
        </w:rPr>
        <w:t>中国中铁二院工程集团有限公司．铁路隧道风险评估与管理暂行规定</w:t>
      </w:r>
      <w:r>
        <w:rPr>
          <w:rFonts w:eastAsia="黑体"/>
          <w:color w:val="000000"/>
          <w:kern w:val="0"/>
          <w:sz w:val="24"/>
          <w:szCs w:val="24"/>
        </w:rPr>
        <w:t>[M]</w:t>
      </w:r>
      <w:r>
        <w:rPr>
          <w:color w:val="000000"/>
          <w:kern w:val="0"/>
          <w:sz w:val="24"/>
          <w:szCs w:val="24"/>
        </w:rPr>
        <w:t>．北京：中国铁道出版社，</w:t>
      </w:r>
      <w:r>
        <w:rPr>
          <w:rFonts w:eastAsia="黑体"/>
          <w:color w:val="000000"/>
          <w:kern w:val="0"/>
          <w:sz w:val="24"/>
          <w:szCs w:val="24"/>
        </w:rPr>
        <w:t>2008</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color w:val="000000"/>
          <w:kern w:val="0"/>
          <w:sz w:val="24"/>
          <w:szCs w:val="24"/>
        </w:rPr>
      </w:pPr>
      <w:r>
        <w:rPr>
          <w:rFonts w:eastAsia="黑体"/>
          <w:color w:val="000000"/>
          <w:kern w:val="0"/>
          <w:sz w:val="24"/>
          <w:szCs w:val="24"/>
        </w:rPr>
        <w:t>[21]</w:t>
      </w:r>
      <w:r>
        <w:rPr>
          <w:rFonts w:eastAsia="黑体"/>
          <w:color w:val="000000"/>
          <w:kern w:val="0"/>
          <w:sz w:val="24"/>
          <w:szCs w:val="24"/>
        </w:rPr>
        <w:tab/>
      </w:r>
      <w:bookmarkStart w:id="135" w:name="_neb23B3C1E5_08B7_49D9_BC09_0376B773647C"/>
      <w:r>
        <w:rPr>
          <w:color w:val="000000"/>
          <w:kern w:val="0"/>
          <w:sz w:val="24"/>
          <w:szCs w:val="24"/>
        </w:rPr>
        <w:t>交通运输部工程质量监督局．公路桥梁和隧道工程施工安全风险评估制度及指南解析</w:t>
      </w:r>
      <w:r>
        <w:rPr>
          <w:rFonts w:eastAsia="黑体"/>
          <w:color w:val="000000"/>
          <w:kern w:val="0"/>
          <w:sz w:val="24"/>
          <w:szCs w:val="24"/>
        </w:rPr>
        <w:t>[M]</w:t>
      </w:r>
      <w:r>
        <w:rPr>
          <w:color w:val="000000"/>
          <w:kern w:val="0"/>
          <w:sz w:val="24"/>
          <w:szCs w:val="24"/>
        </w:rPr>
        <w:t>．北京：人民交通出版社，</w:t>
      </w:r>
      <w:r>
        <w:rPr>
          <w:rFonts w:eastAsia="黑体"/>
          <w:color w:val="000000"/>
          <w:kern w:val="0"/>
          <w:sz w:val="24"/>
          <w:szCs w:val="24"/>
        </w:rPr>
        <w:t>2011</w:t>
      </w:r>
      <w:r>
        <w:rPr>
          <w:color w:val="000000"/>
          <w:kern w:val="0"/>
          <w:sz w:val="24"/>
          <w:szCs w:val="24"/>
        </w:rPr>
        <w:t>．</w:t>
      </w:r>
      <w:bookmarkEnd w:id="135"/>
    </w:p>
    <w:p w:rsidR="0073700B" w:rsidRDefault="0073700B" w:rsidP="00F80BAC">
      <w:pPr>
        <w:autoSpaceDE w:val="0"/>
        <w:autoSpaceDN w:val="0"/>
        <w:adjustRightInd w:val="0"/>
        <w:spacing w:beforeLines="50" w:before="156" w:line="360" w:lineRule="auto"/>
        <w:ind w:left="560" w:hanging="560"/>
        <w:rPr>
          <w:rFonts w:eastAsia="黑体"/>
          <w:kern w:val="0"/>
          <w:sz w:val="24"/>
          <w:szCs w:val="24"/>
        </w:rPr>
      </w:pP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lastRenderedPageBreak/>
        <w:t>[22]</w:t>
      </w:r>
      <w:r>
        <w:rPr>
          <w:rFonts w:eastAsia="黑体"/>
          <w:color w:val="000000"/>
          <w:kern w:val="0"/>
          <w:sz w:val="24"/>
          <w:szCs w:val="24"/>
        </w:rPr>
        <w:tab/>
      </w:r>
      <w:r>
        <w:rPr>
          <w:color w:val="000000"/>
          <w:kern w:val="0"/>
          <w:sz w:val="24"/>
          <w:szCs w:val="24"/>
        </w:rPr>
        <w:t>中华人民共和国建设部．地铁及地下工程建设风险管理指南</w:t>
      </w:r>
      <w:r>
        <w:rPr>
          <w:rFonts w:eastAsia="黑体"/>
          <w:color w:val="000000"/>
          <w:kern w:val="0"/>
          <w:sz w:val="24"/>
          <w:szCs w:val="24"/>
        </w:rPr>
        <w:t>[M]</w:t>
      </w:r>
      <w:r>
        <w:rPr>
          <w:color w:val="000000"/>
          <w:kern w:val="0"/>
          <w:sz w:val="24"/>
          <w:szCs w:val="24"/>
        </w:rPr>
        <w:t>．北京：中国建筑工业出版社，</w:t>
      </w:r>
      <w:r>
        <w:rPr>
          <w:rFonts w:eastAsia="黑体"/>
          <w:color w:val="000000"/>
          <w:kern w:val="0"/>
          <w:sz w:val="24"/>
          <w:szCs w:val="24"/>
        </w:rPr>
        <w:t>2007</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[23]</w:t>
      </w:r>
      <w:r>
        <w:rPr>
          <w:rFonts w:eastAsia="黑体"/>
          <w:color w:val="000000"/>
          <w:kern w:val="0"/>
          <w:sz w:val="24"/>
          <w:szCs w:val="24"/>
        </w:rPr>
        <w:tab/>
      </w:r>
      <w:bookmarkStart w:id="136" w:name="_neb90855074_3DC6_484D_86C8_CA4873BDA8FF"/>
      <w:r>
        <w:rPr>
          <w:color w:val="000000"/>
          <w:kern w:val="0"/>
          <w:sz w:val="24"/>
          <w:szCs w:val="24"/>
        </w:rPr>
        <w:t>交通运输部．交通运输部办公厅关于印发《公路水路行业安全生产风险辨识评估管控基本规范（试行）》的通知</w:t>
      </w:r>
      <w:r>
        <w:rPr>
          <w:rFonts w:eastAsia="黑体"/>
          <w:color w:val="000000"/>
          <w:kern w:val="0"/>
          <w:sz w:val="24"/>
          <w:szCs w:val="24"/>
        </w:rPr>
        <w:t>[EB/OL]</w:t>
      </w:r>
      <w:r>
        <w:rPr>
          <w:color w:val="000000"/>
          <w:kern w:val="0"/>
          <w:sz w:val="24"/>
          <w:szCs w:val="24"/>
        </w:rPr>
        <w:t>．</w:t>
      </w:r>
      <w:r>
        <w:rPr>
          <w:rFonts w:eastAsia="黑体"/>
          <w:color w:val="000000"/>
          <w:kern w:val="0"/>
          <w:sz w:val="24"/>
          <w:szCs w:val="24"/>
        </w:rPr>
        <w:t>(2018-10-31)[2019-11-25]</w:t>
      </w:r>
      <w:r>
        <w:rPr>
          <w:color w:val="000000"/>
          <w:kern w:val="0"/>
          <w:sz w:val="24"/>
          <w:szCs w:val="24"/>
        </w:rPr>
        <w:t>．</w:t>
      </w:r>
      <w:r>
        <w:rPr>
          <w:rFonts w:eastAsia="黑体"/>
          <w:color w:val="000000"/>
          <w:kern w:val="0"/>
          <w:sz w:val="24"/>
          <w:szCs w:val="24"/>
        </w:rPr>
        <w:t>http://xxgk.mot.gov.cn/jigou/aqyzljlglj/20181</w:t>
      </w:r>
      <w:r>
        <w:rPr>
          <w:rFonts w:eastAsia="黑体"/>
          <w:color w:val="000000"/>
          <w:kern w:val="0"/>
          <w:sz w:val="24"/>
          <w:szCs w:val="24"/>
        </w:rPr>
        <w:t>1/t20181115_3129006.html</w:t>
      </w:r>
      <w:r>
        <w:rPr>
          <w:color w:val="000000"/>
          <w:kern w:val="0"/>
          <w:sz w:val="24"/>
          <w:szCs w:val="24"/>
        </w:rPr>
        <w:t>．</w:t>
      </w:r>
      <w:bookmarkEnd w:id="136"/>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[24]</w:t>
      </w:r>
      <w:r>
        <w:rPr>
          <w:rFonts w:eastAsia="黑体"/>
          <w:color w:val="000000"/>
          <w:kern w:val="0"/>
          <w:sz w:val="24"/>
          <w:szCs w:val="24"/>
        </w:rPr>
        <w:tab/>
      </w:r>
      <w:r>
        <w:rPr>
          <w:color w:val="000000"/>
          <w:kern w:val="0"/>
          <w:sz w:val="24"/>
          <w:szCs w:val="24"/>
        </w:rPr>
        <w:t>贺志军．山岭铁路隧道工程施工风险评估及其应用研究</w:t>
      </w:r>
      <w:r>
        <w:rPr>
          <w:rFonts w:eastAsia="黑体"/>
          <w:color w:val="000000"/>
          <w:kern w:val="0"/>
          <w:sz w:val="24"/>
          <w:szCs w:val="24"/>
        </w:rPr>
        <w:t>[D]</w:t>
      </w:r>
      <w:r>
        <w:rPr>
          <w:color w:val="000000"/>
          <w:kern w:val="0"/>
          <w:sz w:val="24"/>
          <w:szCs w:val="24"/>
        </w:rPr>
        <w:t>．中南大学，</w:t>
      </w:r>
      <w:r>
        <w:rPr>
          <w:rFonts w:eastAsia="黑体"/>
          <w:color w:val="000000"/>
          <w:kern w:val="0"/>
          <w:sz w:val="24"/>
          <w:szCs w:val="24"/>
        </w:rPr>
        <w:t>2009</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[25]</w:t>
      </w:r>
      <w:r>
        <w:rPr>
          <w:rFonts w:eastAsia="黑体"/>
          <w:color w:val="000000"/>
          <w:kern w:val="0"/>
          <w:sz w:val="24"/>
          <w:szCs w:val="24"/>
        </w:rPr>
        <w:tab/>
      </w:r>
      <w:bookmarkStart w:id="137" w:name="_nebCD9A388D_CDFB_406F_9F9E_A6C2290F09A0"/>
      <w:r>
        <w:rPr>
          <w:color w:val="000000"/>
          <w:kern w:val="0"/>
          <w:sz w:val="24"/>
          <w:szCs w:val="24"/>
        </w:rPr>
        <w:t>宋平．铁路隧道施工安全风险管理研究</w:t>
      </w:r>
      <w:r>
        <w:rPr>
          <w:rFonts w:eastAsia="黑体"/>
          <w:color w:val="000000"/>
          <w:kern w:val="0"/>
          <w:sz w:val="24"/>
          <w:szCs w:val="24"/>
        </w:rPr>
        <w:t>[D]</w:t>
      </w:r>
      <w:r>
        <w:rPr>
          <w:color w:val="000000"/>
          <w:kern w:val="0"/>
          <w:sz w:val="24"/>
          <w:szCs w:val="24"/>
        </w:rPr>
        <w:t>．中南大学，</w:t>
      </w:r>
      <w:r>
        <w:rPr>
          <w:rFonts w:eastAsia="黑体"/>
          <w:color w:val="000000"/>
          <w:kern w:val="0"/>
          <w:sz w:val="24"/>
          <w:szCs w:val="24"/>
        </w:rPr>
        <w:t>2009</w:t>
      </w:r>
      <w:r>
        <w:rPr>
          <w:color w:val="000000"/>
          <w:kern w:val="0"/>
          <w:sz w:val="24"/>
          <w:szCs w:val="24"/>
        </w:rPr>
        <w:t>．</w:t>
      </w:r>
      <w:bookmarkEnd w:id="137"/>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[26]</w:t>
      </w:r>
      <w:r>
        <w:rPr>
          <w:rFonts w:eastAsia="黑体"/>
          <w:color w:val="000000"/>
          <w:kern w:val="0"/>
          <w:sz w:val="24"/>
          <w:szCs w:val="24"/>
        </w:rPr>
        <w:tab/>
      </w:r>
      <w:r>
        <w:rPr>
          <w:color w:val="000000"/>
          <w:kern w:val="0"/>
          <w:sz w:val="24"/>
          <w:szCs w:val="24"/>
        </w:rPr>
        <w:t>中国铁路总公司．</w:t>
      </w:r>
      <w:r>
        <w:rPr>
          <w:rFonts w:eastAsia="黑体"/>
          <w:color w:val="000000"/>
          <w:kern w:val="0"/>
          <w:sz w:val="24"/>
          <w:szCs w:val="24"/>
        </w:rPr>
        <w:t xml:space="preserve">Q/CR9006-2014 </w:t>
      </w:r>
      <w:r>
        <w:rPr>
          <w:color w:val="000000"/>
          <w:kern w:val="0"/>
          <w:sz w:val="24"/>
          <w:szCs w:val="24"/>
        </w:rPr>
        <w:t>铁路建设工程风险管理技术规范</w:t>
      </w:r>
      <w:r>
        <w:rPr>
          <w:rFonts w:eastAsia="黑体"/>
          <w:color w:val="000000"/>
          <w:kern w:val="0"/>
          <w:sz w:val="24"/>
          <w:szCs w:val="24"/>
        </w:rPr>
        <w:t>[EB/OL]</w:t>
      </w:r>
      <w:r>
        <w:rPr>
          <w:color w:val="000000"/>
          <w:kern w:val="0"/>
          <w:sz w:val="24"/>
          <w:szCs w:val="24"/>
        </w:rPr>
        <w:t>．</w:t>
      </w:r>
      <w:r>
        <w:rPr>
          <w:rFonts w:eastAsia="黑体"/>
          <w:color w:val="000000"/>
          <w:kern w:val="0"/>
          <w:sz w:val="24"/>
          <w:szCs w:val="24"/>
        </w:rPr>
        <w:t>(2018-11-25)[2019-11-25]</w:t>
      </w:r>
      <w:r>
        <w:rPr>
          <w:color w:val="000000"/>
          <w:kern w:val="0"/>
          <w:sz w:val="24"/>
          <w:szCs w:val="24"/>
        </w:rPr>
        <w:t>．</w:t>
      </w:r>
      <w:r>
        <w:rPr>
          <w:rFonts w:eastAsia="黑体"/>
          <w:color w:val="000000"/>
          <w:kern w:val="0"/>
          <w:sz w:val="24"/>
          <w:szCs w:val="24"/>
        </w:rPr>
        <w:t>https://max.book118.com/html/2018/0123/150146620.shtm</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[27]</w:t>
      </w:r>
      <w:r>
        <w:rPr>
          <w:rFonts w:eastAsia="黑体"/>
          <w:color w:val="000000"/>
          <w:kern w:val="0"/>
          <w:sz w:val="24"/>
          <w:szCs w:val="24"/>
        </w:rPr>
        <w:tab/>
      </w:r>
      <w:bookmarkStart w:id="138" w:name="_nebF625F44B_F252_4A07_8E3B_C6FE110C73D0"/>
      <w:r>
        <w:rPr>
          <w:color w:val="000000"/>
          <w:kern w:val="0"/>
          <w:sz w:val="24"/>
          <w:szCs w:val="24"/>
        </w:rPr>
        <w:t>中华人民共和国住房和城乡建设部．</w:t>
      </w:r>
      <w:r>
        <w:rPr>
          <w:rFonts w:eastAsia="黑体"/>
          <w:color w:val="000000"/>
          <w:kern w:val="0"/>
          <w:sz w:val="24"/>
          <w:szCs w:val="24"/>
        </w:rPr>
        <w:t xml:space="preserve">GB 50652-2011 </w:t>
      </w:r>
      <w:r>
        <w:rPr>
          <w:color w:val="000000"/>
          <w:kern w:val="0"/>
          <w:sz w:val="24"/>
          <w:szCs w:val="24"/>
        </w:rPr>
        <w:t>城市轨道交通地下工程建设风险管理规范</w:t>
      </w:r>
      <w:r>
        <w:rPr>
          <w:rFonts w:eastAsia="黑体"/>
          <w:color w:val="000000"/>
          <w:kern w:val="0"/>
          <w:sz w:val="24"/>
          <w:szCs w:val="24"/>
        </w:rPr>
        <w:t>[S]</w:t>
      </w:r>
      <w:r>
        <w:rPr>
          <w:color w:val="000000"/>
          <w:kern w:val="0"/>
          <w:sz w:val="24"/>
          <w:szCs w:val="24"/>
        </w:rPr>
        <w:t>．中国建筑工业出版社，</w:t>
      </w:r>
      <w:r>
        <w:rPr>
          <w:rFonts w:eastAsia="黑体"/>
          <w:color w:val="000000"/>
          <w:kern w:val="0"/>
          <w:sz w:val="24"/>
          <w:szCs w:val="24"/>
        </w:rPr>
        <w:t>2011</w:t>
      </w:r>
      <w:r>
        <w:rPr>
          <w:color w:val="000000"/>
          <w:kern w:val="0"/>
          <w:sz w:val="24"/>
          <w:szCs w:val="24"/>
        </w:rPr>
        <w:t>．</w:t>
      </w:r>
      <w:bookmarkEnd w:id="138"/>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[28]</w:t>
      </w:r>
      <w:r>
        <w:rPr>
          <w:rFonts w:eastAsia="黑体"/>
          <w:color w:val="000000"/>
          <w:kern w:val="0"/>
          <w:sz w:val="24"/>
          <w:szCs w:val="24"/>
        </w:rPr>
        <w:tab/>
      </w:r>
      <w:r>
        <w:rPr>
          <w:color w:val="000000"/>
          <w:kern w:val="0"/>
          <w:sz w:val="24"/>
          <w:szCs w:val="24"/>
        </w:rPr>
        <w:t>工伤保险条例编写组．工伤保险条例</w:t>
      </w:r>
      <w:r>
        <w:rPr>
          <w:rFonts w:eastAsia="黑体"/>
          <w:color w:val="000000"/>
          <w:kern w:val="0"/>
          <w:sz w:val="24"/>
          <w:szCs w:val="24"/>
        </w:rPr>
        <w:t>[M]</w:t>
      </w:r>
      <w:r>
        <w:rPr>
          <w:color w:val="000000"/>
          <w:kern w:val="0"/>
          <w:sz w:val="24"/>
          <w:szCs w:val="24"/>
        </w:rPr>
        <w:t>．北京：中国方正出版社，</w:t>
      </w:r>
      <w:r>
        <w:rPr>
          <w:rFonts w:eastAsia="黑体"/>
          <w:color w:val="000000"/>
          <w:kern w:val="0"/>
          <w:sz w:val="24"/>
          <w:szCs w:val="24"/>
        </w:rPr>
        <w:t>2003</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[29]</w:t>
      </w:r>
      <w:r>
        <w:rPr>
          <w:rFonts w:eastAsia="黑体"/>
          <w:color w:val="000000"/>
          <w:kern w:val="0"/>
          <w:sz w:val="24"/>
          <w:szCs w:val="24"/>
        </w:rPr>
        <w:tab/>
      </w:r>
      <w:r>
        <w:rPr>
          <w:color w:val="000000"/>
          <w:kern w:val="0"/>
          <w:sz w:val="24"/>
          <w:szCs w:val="24"/>
        </w:rPr>
        <w:t>吴道成</w:t>
      </w:r>
      <w:r>
        <w:rPr>
          <w:rFonts w:hint="eastAsia"/>
          <w:color w:val="000000"/>
          <w:kern w:val="0"/>
          <w:sz w:val="24"/>
          <w:szCs w:val="24"/>
        </w:rPr>
        <w:t>，阎继祥，叶保华</w:t>
      </w:r>
      <w:r>
        <w:rPr>
          <w:color w:val="000000"/>
          <w:kern w:val="0"/>
          <w:sz w:val="24"/>
          <w:szCs w:val="24"/>
        </w:rPr>
        <w:t>．企业职工伤亡事故统计分析标准讲析</w:t>
      </w:r>
      <w:r>
        <w:rPr>
          <w:rFonts w:eastAsia="黑体"/>
          <w:color w:val="000000"/>
          <w:kern w:val="0"/>
          <w:sz w:val="24"/>
          <w:szCs w:val="24"/>
        </w:rPr>
        <w:t>[M]</w:t>
      </w:r>
      <w:r>
        <w:rPr>
          <w:color w:val="000000"/>
          <w:kern w:val="0"/>
          <w:sz w:val="24"/>
          <w:szCs w:val="24"/>
        </w:rPr>
        <w:t>．北京：劳动人事出版社，</w:t>
      </w:r>
      <w:r>
        <w:rPr>
          <w:rFonts w:eastAsia="黑体"/>
          <w:color w:val="000000"/>
          <w:kern w:val="0"/>
          <w:sz w:val="24"/>
          <w:szCs w:val="24"/>
        </w:rPr>
        <w:t>1988</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[30]</w:t>
      </w:r>
      <w:r>
        <w:rPr>
          <w:rFonts w:eastAsia="黑体"/>
          <w:color w:val="000000"/>
          <w:kern w:val="0"/>
          <w:sz w:val="24"/>
          <w:szCs w:val="24"/>
        </w:rPr>
        <w:tab/>
      </w:r>
      <w:r>
        <w:rPr>
          <w:color w:val="000000"/>
          <w:kern w:val="0"/>
          <w:sz w:val="24"/>
          <w:szCs w:val="24"/>
        </w:rPr>
        <w:t>潘勇刚，刘胜，雷赛男．基于模糊评判法的隧道洞口段施工安全风险评价分析</w:t>
      </w:r>
      <w:r>
        <w:rPr>
          <w:rFonts w:eastAsia="黑体"/>
          <w:color w:val="000000"/>
          <w:kern w:val="0"/>
          <w:sz w:val="24"/>
          <w:szCs w:val="24"/>
        </w:rPr>
        <w:t>[J]</w:t>
      </w:r>
      <w:r>
        <w:rPr>
          <w:color w:val="000000"/>
          <w:kern w:val="0"/>
          <w:sz w:val="24"/>
          <w:szCs w:val="24"/>
        </w:rPr>
        <w:t>．中国水运（下半月），</w:t>
      </w:r>
      <w:r>
        <w:rPr>
          <w:rFonts w:eastAsia="黑体"/>
          <w:color w:val="000000"/>
          <w:kern w:val="0"/>
          <w:sz w:val="24"/>
          <w:szCs w:val="24"/>
        </w:rPr>
        <w:t>2016</w:t>
      </w:r>
      <w:r>
        <w:rPr>
          <w:color w:val="000000"/>
          <w:kern w:val="0"/>
          <w:sz w:val="24"/>
          <w:szCs w:val="24"/>
        </w:rPr>
        <w:t>，</w:t>
      </w:r>
      <w:r>
        <w:rPr>
          <w:rFonts w:eastAsia="黑体"/>
          <w:color w:val="000000"/>
          <w:kern w:val="0"/>
          <w:sz w:val="24"/>
          <w:szCs w:val="24"/>
        </w:rPr>
        <w:t>16(9)</w:t>
      </w:r>
      <w:r>
        <w:rPr>
          <w:color w:val="000000"/>
          <w:kern w:val="0"/>
          <w:sz w:val="24"/>
          <w:szCs w:val="24"/>
        </w:rPr>
        <w:t>：</w:t>
      </w:r>
      <w:r>
        <w:rPr>
          <w:rFonts w:eastAsia="黑体"/>
          <w:color w:val="000000"/>
          <w:kern w:val="0"/>
          <w:sz w:val="24"/>
          <w:szCs w:val="24"/>
        </w:rPr>
        <w:t>198-200</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[31]</w:t>
      </w:r>
      <w:r>
        <w:rPr>
          <w:rFonts w:eastAsia="黑体"/>
          <w:color w:val="000000"/>
          <w:kern w:val="0"/>
          <w:sz w:val="24"/>
          <w:szCs w:val="24"/>
        </w:rPr>
        <w:tab/>
      </w:r>
      <w:r>
        <w:rPr>
          <w:color w:val="000000"/>
          <w:kern w:val="0"/>
          <w:sz w:val="24"/>
          <w:szCs w:val="24"/>
        </w:rPr>
        <w:t>陈蔚．山岭隧道洞口稳定性分析及失稳风险评估</w:t>
      </w:r>
      <w:r>
        <w:rPr>
          <w:rFonts w:eastAsia="黑体"/>
          <w:color w:val="000000"/>
          <w:kern w:val="0"/>
          <w:sz w:val="24"/>
          <w:szCs w:val="24"/>
        </w:rPr>
        <w:t>[J]</w:t>
      </w:r>
      <w:r>
        <w:rPr>
          <w:color w:val="000000"/>
          <w:kern w:val="0"/>
          <w:sz w:val="24"/>
          <w:szCs w:val="24"/>
        </w:rPr>
        <w:t>．低温建筑技术，</w:t>
      </w:r>
      <w:r>
        <w:rPr>
          <w:rFonts w:eastAsia="黑体"/>
          <w:color w:val="000000"/>
          <w:kern w:val="0"/>
          <w:sz w:val="24"/>
          <w:szCs w:val="24"/>
        </w:rPr>
        <w:t>2012</w:t>
      </w:r>
      <w:r>
        <w:rPr>
          <w:color w:val="000000"/>
          <w:kern w:val="0"/>
          <w:sz w:val="24"/>
          <w:szCs w:val="24"/>
        </w:rPr>
        <w:t>，</w:t>
      </w:r>
      <w:r>
        <w:rPr>
          <w:rFonts w:eastAsia="黑体"/>
          <w:color w:val="000000"/>
          <w:kern w:val="0"/>
          <w:sz w:val="24"/>
          <w:szCs w:val="24"/>
        </w:rPr>
        <w:t>34(05)</w:t>
      </w:r>
      <w:r>
        <w:rPr>
          <w:color w:val="000000"/>
          <w:kern w:val="0"/>
          <w:sz w:val="24"/>
          <w:szCs w:val="24"/>
        </w:rPr>
        <w:t>：</w:t>
      </w:r>
      <w:r>
        <w:rPr>
          <w:rFonts w:eastAsia="黑体"/>
          <w:color w:val="000000"/>
          <w:kern w:val="0"/>
          <w:sz w:val="24"/>
          <w:szCs w:val="24"/>
        </w:rPr>
        <w:t>108-110</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[32]</w:t>
      </w:r>
      <w:r>
        <w:rPr>
          <w:rFonts w:eastAsia="黑体"/>
          <w:color w:val="000000"/>
          <w:kern w:val="0"/>
          <w:sz w:val="24"/>
          <w:szCs w:val="24"/>
        </w:rPr>
        <w:tab/>
      </w:r>
      <w:bookmarkStart w:id="139" w:name="_nebA9D13A11_7F11_4199_8FC6_B4DDB68AAE40"/>
      <w:r>
        <w:rPr>
          <w:color w:val="000000"/>
          <w:kern w:val="0"/>
          <w:sz w:val="24"/>
          <w:szCs w:val="24"/>
        </w:rPr>
        <w:t>郭彦伟，龚雪晴，杨利明．基于风险矩阵法的隧道洞口失稳风险评估</w:t>
      </w:r>
      <w:r>
        <w:rPr>
          <w:rFonts w:eastAsia="黑体"/>
          <w:color w:val="000000"/>
          <w:kern w:val="0"/>
          <w:sz w:val="24"/>
          <w:szCs w:val="24"/>
        </w:rPr>
        <w:t>[J]</w:t>
      </w:r>
      <w:r>
        <w:rPr>
          <w:color w:val="000000"/>
          <w:kern w:val="0"/>
          <w:sz w:val="24"/>
          <w:szCs w:val="24"/>
        </w:rPr>
        <w:t>．公路交通科技</w:t>
      </w:r>
      <w:r>
        <w:rPr>
          <w:rFonts w:eastAsia="黑体"/>
          <w:color w:val="000000"/>
          <w:kern w:val="0"/>
          <w:sz w:val="24"/>
          <w:szCs w:val="24"/>
        </w:rPr>
        <w:t>·</w:t>
      </w:r>
      <w:r>
        <w:rPr>
          <w:color w:val="000000"/>
          <w:kern w:val="0"/>
          <w:sz w:val="24"/>
          <w:szCs w:val="24"/>
        </w:rPr>
        <w:t>应用技术版，</w:t>
      </w:r>
      <w:r>
        <w:rPr>
          <w:rFonts w:eastAsia="黑体"/>
          <w:color w:val="000000"/>
          <w:kern w:val="0"/>
          <w:sz w:val="24"/>
          <w:szCs w:val="24"/>
        </w:rPr>
        <w:t>2016</w:t>
      </w:r>
      <w:r>
        <w:rPr>
          <w:color w:val="000000"/>
          <w:kern w:val="0"/>
          <w:sz w:val="24"/>
          <w:szCs w:val="24"/>
        </w:rPr>
        <w:t>，</w:t>
      </w:r>
      <w:r>
        <w:rPr>
          <w:rFonts w:eastAsia="黑体"/>
          <w:color w:val="000000"/>
          <w:kern w:val="0"/>
          <w:sz w:val="24"/>
          <w:szCs w:val="24"/>
        </w:rPr>
        <w:t>12(8)</w:t>
      </w:r>
      <w:r>
        <w:rPr>
          <w:color w:val="000000"/>
          <w:kern w:val="0"/>
          <w:sz w:val="24"/>
          <w:szCs w:val="24"/>
        </w:rPr>
        <w:t>：</w:t>
      </w:r>
      <w:r>
        <w:rPr>
          <w:rFonts w:eastAsia="黑体"/>
          <w:color w:val="000000"/>
          <w:kern w:val="0"/>
          <w:sz w:val="24"/>
          <w:szCs w:val="24"/>
        </w:rPr>
        <w:t>28-30</w:t>
      </w:r>
      <w:r>
        <w:rPr>
          <w:color w:val="000000"/>
          <w:kern w:val="0"/>
          <w:sz w:val="24"/>
          <w:szCs w:val="24"/>
        </w:rPr>
        <w:t>．</w:t>
      </w:r>
      <w:bookmarkEnd w:id="139"/>
    </w:p>
    <w:p w:rsidR="0073700B" w:rsidRDefault="001A2FFC" w:rsidP="00F80BAC">
      <w:pPr>
        <w:autoSpaceDE w:val="0"/>
        <w:autoSpaceDN w:val="0"/>
        <w:adjustRightInd w:val="0"/>
        <w:spacing w:beforeLines="50" w:before="156" w:line="360" w:lineRule="auto"/>
        <w:ind w:left="560" w:hanging="560"/>
        <w:rPr>
          <w:color w:val="000000"/>
          <w:kern w:val="0"/>
          <w:sz w:val="24"/>
          <w:szCs w:val="24"/>
        </w:rPr>
      </w:pPr>
      <w:r>
        <w:rPr>
          <w:rFonts w:eastAsia="黑体"/>
          <w:color w:val="000000"/>
          <w:kern w:val="0"/>
          <w:sz w:val="24"/>
          <w:szCs w:val="24"/>
        </w:rPr>
        <w:t>[33]</w:t>
      </w:r>
      <w:r>
        <w:rPr>
          <w:rFonts w:eastAsia="黑体"/>
          <w:color w:val="000000"/>
          <w:kern w:val="0"/>
          <w:sz w:val="24"/>
          <w:szCs w:val="24"/>
        </w:rPr>
        <w:tab/>
      </w:r>
      <w:r>
        <w:rPr>
          <w:color w:val="000000"/>
          <w:kern w:val="0"/>
          <w:sz w:val="24"/>
          <w:szCs w:val="24"/>
        </w:rPr>
        <w:t>中华人民共和国交通运输部．</w:t>
      </w:r>
      <w:r>
        <w:rPr>
          <w:rFonts w:eastAsia="黑体"/>
          <w:color w:val="000000"/>
          <w:kern w:val="0"/>
          <w:sz w:val="24"/>
          <w:szCs w:val="24"/>
        </w:rPr>
        <w:t xml:space="preserve">JTG 3370.1-2018 </w:t>
      </w:r>
      <w:r>
        <w:rPr>
          <w:color w:val="000000"/>
          <w:kern w:val="0"/>
          <w:sz w:val="24"/>
          <w:szCs w:val="24"/>
        </w:rPr>
        <w:t>公路隧道设计规范</w:t>
      </w:r>
      <w:r>
        <w:rPr>
          <w:rFonts w:eastAsia="黑体"/>
          <w:color w:val="000000"/>
          <w:kern w:val="0"/>
          <w:sz w:val="24"/>
          <w:szCs w:val="24"/>
        </w:rPr>
        <w:t xml:space="preserve"> </w:t>
      </w:r>
      <w:r>
        <w:rPr>
          <w:color w:val="000000"/>
          <w:kern w:val="0"/>
          <w:sz w:val="24"/>
          <w:szCs w:val="24"/>
        </w:rPr>
        <w:t>第一册</w:t>
      </w:r>
      <w:r>
        <w:rPr>
          <w:rFonts w:eastAsia="黑体"/>
          <w:color w:val="000000"/>
          <w:kern w:val="0"/>
          <w:sz w:val="24"/>
          <w:szCs w:val="24"/>
        </w:rPr>
        <w:t xml:space="preserve"> </w:t>
      </w:r>
      <w:r>
        <w:rPr>
          <w:color w:val="000000"/>
          <w:kern w:val="0"/>
          <w:sz w:val="24"/>
          <w:szCs w:val="24"/>
        </w:rPr>
        <w:t>土建工程</w:t>
      </w:r>
      <w:r>
        <w:rPr>
          <w:rFonts w:eastAsia="黑体"/>
          <w:color w:val="000000"/>
          <w:kern w:val="0"/>
          <w:sz w:val="24"/>
          <w:szCs w:val="24"/>
        </w:rPr>
        <w:t>[S]</w:t>
      </w:r>
      <w:r>
        <w:rPr>
          <w:color w:val="000000"/>
          <w:kern w:val="0"/>
          <w:sz w:val="24"/>
          <w:szCs w:val="24"/>
        </w:rPr>
        <w:t>．北京：人民交通出版社，</w:t>
      </w:r>
      <w:r>
        <w:rPr>
          <w:rFonts w:eastAsia="黑体"/>
          <w:color w:val="000000"/>
          <w:kern w:val="0"/>
          <w:sz w:val="24"/>
          <w:szCs w:val="24"/>
        </w:rPr>
        <w:t>2018</w:t>
      </w:r>
      <w:r>
        <w:rPr>
          <w:color w:val="000000"/>
          <w:kern w:val="0"/>
          <w:sz w:val="24"/>
          <w:szCs w:val="24"/>
        </w:rPr>
        <w:t>．</w:t>
      </w:r>
    </w:p>
    <w:p w:rsidR="0073700B" w:rsidRDefault="0073700B" w:rsidP="00F80BAC">
      <w:pPr>
        <w:autoSpaceDE w:val="0"/>
        <w:autoSpaceDN w:val="0"/>
        <w:adjustRightInd w:val="0"/>
        <w:spacing w:beforeLines="50" w:before="156" w:line="360" w:lineRule="auto"/>
        <w:ind w:left="560" w:hanging="560"/>
        <w:rPr>
          <w:rFonts w:eastAsia="黑体"/>
          <w:kern w:val="0"/>
          <w:sz w:val="24"/>
          <w:szCs w:val="24"/>
        </w:rPr>
      </w:pP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lastRenderedPageBreak/>
        <w:t>[34]</w:t>
      </w:r>
      <w:r>
        <w:rPr>
          <w:rFonts w:eastAsia="黑体"/>
          <w:color w:val="000000"/>
          <w:kern w:val="0"/>
          <w:sz w:val="24"/>
          <w:szCs w:val="24"/>
        </w:rPr>
        <w:tab/>
      </w:r>
      <w:bookmarkStart w:id="140" w:name="_nebA22F32C3_10A3_4397_9BFC_03F0F4318D93"/>
      <w:r>
        <w:rPr>
          <w:color w:val="000000"/>
          <w:kern w:val="0"/>
          <w:sz w:val="24"/>
          <w:szCs w:val="24"/>
        </w:rPr>
        <w:t>潘海泽．隧道工程地下水水害防治与评价体系研究</w:t>
      </w:r>
      <w:r>
        <w:rPr>
          <w:rFonts w:eastAsia="黑体"/>
          <w:color w:val="000000"/>
          <w:kern w:val="0"/>
          <w:sz w:val="24"/>
          <w:szCs w:val="24"/>
        </w:rPr>
        <w:t>[D]</w:t>
      </w:r>
      <w:r>
        <w:rPr>
          <w:color w:val="000000"/>
          <w:kern w:val="0"/>
          <w:sz w:val="24"/>
          <w:szCs w:val="24"/>
        </w:rPr>
        <w:t>．西南交通大学，</w:t>
      </w:r>
      <w:r>
        <w:rPr>
          <w:rFonts w:eastAsia="黑体"/>
          <w:color w:val="000000"/>
          <w:kern w:val="0"/>
          <w:sz w:val="24"/>
          <w:szCs w:val="24"/>
        </w:rPr>
        <w:t>2009</w:t>
      </w:r>
      <w:r>
        <w:rPr>
          <w:color w:val="000000"/>
          <w:kern w:val="0"/>
          <w:sz w:val="24"/>
          <w:szCs w:val="24"/>
        </w:rPr>
        <w:t>．</w:t>
      </w:r>
      <w:bookmarkEnd w:id="140"/>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[35]</w:t>
      </w:r>
      <w:r>
        <w:rPr>
          <w:rFonts w:eastAsia="黑体"/>
          <w:color w:val="000000"/>
          <w:kern w:val="0"/>
          <w:sz w:val="24"/>
          <w:szCs w:val="24"/>
        </w:rPr>
        <w:tab/>
      </w:r>
      <w:bookmarkStart w:id="141" w:name="_nebC1DB21B5_1CFE_4528_93B0_C44E54F35906"/>
      <w:r>
        <w:rPr>
          <w:color w:val="000000"/>
          <w:kern w:val="0"/>
          <w:sz w:val="24"/>
          <w:szCs w:val="24"/>
        </w:rPr>
        <w:t>袁永才，李术才，李利平</w:t>
      </w:r>
      <w:r>
        <w:rPr>
          <w:color w:val="000000"/>
          <w:kern w:val="0"/>
          <w:sz w:val="24"/>
          <w:szCs w:val="24"/>
        </w:rPr>
        <w:t>，等．山岭隧道塌方风险评价理论与方法及工程应用</w:t>
      </w:r>
      <w:r>
        <w:rPr>
          <w:rFonts w:eastAsia="黑体"/>
          <w:color w:val="000000"/>
          <w:kern w:val="0"/>
          <w:sz w:val="24"/>
          <w:szCs w:val="24"/>
        </w:rPr>
        <w:t>[J]</w:t>
      </w:r>
      <w:r>
        <w:rPr>
          <w:color w:val="000000"/>
          <w:kern w:val="0"/>
          <w:sz w:val="24"/>
          <w:szCs w:val="24"/>
        </w:rPr>
        <w:t>．中南大学学报</w:t>
      </w:r>
      <w:r>
        <w:rPr>
          <w:rFonts w:eastAsia="黑体"/>
          <w:color w:val="000000"/>
          <w:kern w:val="0"/>
          <w:sz w:val="24"/>
          <w:szCs w:val="24"/>
        </w:rPr>
        <w:t>(</w:t>
      </w:r>
      <w:r>
        <w:rPr>
          <w:color w:val="000000"/>
          <w:kern w:val="0"/>
          <w:sz w:val="24"/>
          <w:szCs w:val="24"/>
        </w:rPr>
        <w:t>自然科学版</w:t>
      </w:r>
      <w:r>
        <w:rPr>
          <w:rFonts w:eastAsia="黑体"/>
          <w:color w:val="000000"/>
          <w:kern w:val="0"/>
          <w:sz w:val="24"/>
          <w:szCs w:val="24"/>
        </w:rPr>
        <w:t>)</w:t>
      </w:r>
      <w:r>
        <w:rPr>
          <w:color w:val="000000"/>
          <w:kern w:val="0"/>
          <w:sz w:val="24"/>
          <w:szCs w:val="24"/>
        </w:rPr>
        <w:t>，</w:t>
      </w:r>
      <w:r>
        <w:rPr>
          <w:rFonts w:eastAsia="黑体"/>
          <w:color w:val="000000"/>
          <w:kern w:val="0"/>
          <w:sz w:val="24"/>
          <w:szCs w:val="24"/>
        </w:rPr>
        <w:t>2016</w:t>
      </w:r>
      <w:r>
        <w:rPr>
          <w:color w:val="000000"/>
          <w:kern w:val="0"/>
          <w:sz w:val="24"/>
          <w:szCs w:val="24"/>
        </w:rPr>
        <w:t>，</w:t>
      </w:r>
      <w:r>
        <w:rPr>
          <w:rFonts w:eastAsia="黑体"/>
          <w:color w:val="000000"/>
          <w:kern w:val="0"/>
          <w:sz w:val="24"/>
          <w:szCs w:val="24"/>
        </w:rPr>
        <w:t>47(07)</w:t>
      </w:r>
      <w:r>
        <w:rPr>
          <w:color w:val="000000"/>
          <w:kern w:val="0"/>
          <w:sz w:val="24"/>
          <w:szCs w:val="24"/>
        </w:rPr>
        <w:t>：</w:t>
      </w:r>
      <w:r>
        <w:rPr>
          <w:rFonts w:eastAsia="黑体"/>
          <w:color w:val="000000"/>
          <w:kern w:val="0"/>
          <w:sz w:val="24"/>
          <w:szCs w:val="24"/>
        </w:rPr>
        <w:t>2406-2414</w:t>
      </w:r>
      <w:r>
        <w:rPr>
          <w:color w:val="000000"/>
          <w:kern w:val="0"/>
          <w:sz w:val="24"/>
          <w:szCs w:val="24"/>
        </w:rPr>
        <w:t>．</w:t>
      </w:r>
      <w:bookmarkEnd w:id="141"/>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[36]</w:t>
      </w:r>
      <w:r>
        <w:rPr>
          <w:rFonts w:eastAsia="黑体"/>
          <w:color w:val="000000"/>
          <w:kern w:val="0"/>
          <w:sz w:val="24"/>
          <w:szCs w:val="24"/>
        </w:rPr>
        <w:tab/>
      </w:r>
      <w:bookmarkStart w:id="142" w:name="_neb470192EA_5A07_4616_8228_4B8A8A88D09A"/>
      <w:r>
        <w:rPr>
          <w:color w:val="000000"/>
          <w:kern w:val="0"/>
          <w:sz w:val="24"/>
          <w:szCs w:val="24"/>
        </w:rPr>
        <w:t>蒋建平，章杨松，罗国煜，等．优势结构面理论在岩土工程中的应用</w:t>
      </w:r>
      <w:r>
        <w:rPr>
          <w:rFonts w:eastAsia="黑体"/>
          <w:color w:val="000000"/>
          <w:kern w:val="0"/>
          <w:sz w:val="24"/>
          <w:szCs w:val="24"/>
        </w:rPr>
        <w:t>[J]</w:t>
      </w:r>
      <w:r>
        <w:rPr>
          <w:color w:val="000000"/>
          <w:kern w:val="0"/>
          <w:sz w:val="24"/>
          <w:szCs w:val="24"/>
        </w:rPr>
        <w:t>．水利学报，</w:t>
      </w:r>
      <w:r>
        <w:rPr>
          <w:rFonts w:eastAsia="黑体"/>
          <w:color w:val="000000"/>
          <w:kern w:val="0"/>
          <w:sz w:val="24"/>
          <w:szCs w:val="24"/>
        </w:rPr>
        <w:t>2001(08)</w:t>
      </w:r>
      <w:r>
        <w:rPr>
          <w:color w:val="000000"/>
          <w:kern w:val="0"/>
          <w:sz w:val="24"/>
          <w:szCs w:val="24"/>
        </w:rPr>
        <w:t>：</w:t>
      </w:r>
      <w:r>
        <w:rPr>
          <w:rFonts w:eastAsia="黑体"/>
          <w:color w:val="000000"/>
          <w:kern w:val="0"/>
          <w:sz w:val="24"/>
          <w:szCs w:val="24"/>
        </w:rPr>
        <w:t>90-96</w:t>
      </w:r>
      <w:r>
        <w:rPr>
          <w:color w:val="000000"/>
          <w:kern w:val="0"/>
          <w:sz w:val="24"/>
          <w:szCs w:val="24"/>
        </w:rPr>
        <w:t>．</w:t>
      </w:r>
      <w:bookmarkEnd w:id="142"/>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[37]</w:t>
      </w:r>
      <w:r>
        <w:rPr>
          <w:rFonts w:eastAsia="黑体"/>
          <w:color w:val="000000"/>
          <w:kern w:val="0"/>
          <w:sz w:val="24"/>
          <w:szCs w:val="24"/>
        </w:rPr>
        <w:tab/>
      </w:r>
      <w:r>
        <w:rPr>
          <w:color w:val="000000"/>
          <w:kern w:val="0"/>
          <w:sz w:val="24"/>
          <w:szCs w:val="24"/>
        </w:rPr>
        <w:t>谢小鱼．浅埋偏压大跨度隧道风险评估与围岩稳定性研究</w:t>
      </w:r>
      <w:r>
        <w:rPr>
          <w:rFonts w:eastAsia="黑体"/>
          <w:color w:val="000000"/>
          <w:kern w:val="0"/>
          <w:sz w:val="24"/>
          <w:szCs w:val="24"/>
        </w:rPr>
        <w:t>[D]</w:t>
      </w:r>
      <w:r>
        <w:rPr>
          <w:color w:val="000000"/>
          <w:kern w:val="0"/>
          <w:sz w:val="24"/>
          <w:szCs w:val="24"/>
        </w:rPr>
        <w:t>．湖南科技大学，</w:t>
      </w:r>
      <w:r>
        <w:rPr>
          <w:rFonts w:eastAsia="黑体"/>
          <w:color w:val="000000"/>
          <w:kern w:val="0"/>
          <w:sz w:val="24"/>
          <w:szCs w:val="24"/>
        </w:rPr>
        <w:t>2014</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[38]</w:t>
      </w:r>
      <w:r>
        <w:rPr>
          <w:rFonts w:eastAsia="黑体"/>
          <w:color w:val="000000"/>
          <w:kern w:val="0"/>
          <w:sz w:val="24"/>
          <w:szCs w:val="24"/>
        </w:rPr>
        <w:tab/>
      </w:r>
      <w:bookmarkStart w:id="143" w:name="_nebC9C92E1D_681E_4C25_9A48_1D4354E41ED6"/>
      <w:r>
        <w:rPr>
          <w:color w:val="000000"/>
          <w:kern w:val="0"/>
          <w:sz w:val="24"/>
          <w:szCs w:val="24"/>
        </w:rPr>
        <w:t>岳诚东．隧道工程施工塌方风险评估研究</w:t>
      </w:r>
      <w:r>
        <w:rPr>
          <w:rFonts w:eastAsia="黑体"/>
          <w:color w:val="000000"/>
          <w:kern w:val="0"/>
          <w:sz w:val="24"/>
          <w:szCs w:val="24"/>
        </w:rPr>
        <w:t>[D]</w:t>
      </w:r>
      <w:r>
        <w:rPr>
          <w:color w:val="000000"/>
          <w:kern w:val="0"/>
          <w:sz w:val="24"/>
          <w:szCs w:val="24"/>
        </w:rPr>
        <w:t>．兰州大学，</w:t>
      </w:r>
      <w:r>
        <w:rPr>
          <w:rFonts w:eastAsia="黑体"/>
          <w:color w:val="000000"/>
          <w:kern w:val="0"/>
          <w:sz w:val="24"/>
          <w:szCs w:val="24"/>
        </w:rPr>
        <w:t>2016</w:t>
      </w:r>
      <w:r>
        <w:rPr>
          <w:color w:val="000000"/>
          <w:kern w:val="0"/>
          <w:sz w:val="24"/>
          <w:szCs w:val="24"/>
        </w:rPr>
        <w:t>．</w:t>
      </w:r>
      <w:bookmarkEnd w:id="143"/>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[39]</w:t>
      </w:r>
      <w:r>
        <w:rPr>
          <w:rFonts w:eastAsia="黑体"/>
          <w:color w:val="000000"/>
          <w:kern w:val="0"/>
          <w:sz w:val="24"/>
          <w:szCs w:val="24"/>
        </w:rPr>
        <w:tab/>
      </w:r>
      <w:r>
        <w:rPr>
          <w:color w:val="000000"/>
          <w:kern w:val="0"/>
          <w:sz w:val="24"/>
          <w:szCs w:val="24"/>
        </w:rPr>
        <w:t>周宗青，李术才，李利平，等．岩溶隧道突涌水危险性评价的属性识别模型及其工程应用</w:t>
      </w:r>
      <w:r>
        <w:rPr>
          <w:rFonts w:eastAsia="黑体"/>
          <w:color w:val="000000"/>
          <w:kern w:val="0"/>
          <w:sz w:val="24"/>
          <w:szCs w:val="24"/>
        </w:rPr>
        <w:t>[J]</w:t>
      </w:r>
      <w:r>
        <w:rPr>
          <w:color w:val="000000"/>
          <w:kern w:val="0"/>
          <w:sz w:val="24"/>
          <w:szCs w:val="24"/>
        </w:rPr>
        <w:t>．岩土力学，</w:t>
      </w:r>
      <w:r>
        <w:rPr>
          <w:rFonts w:eastAsia="黑体"/>
          <w:color w:val="000000"/>
          <w:kern w:val="0"/>
          <w:sz w:val="24"/>
          <w:szCs w:val="24"/>
        </w:rPr>
        <w:t>2013(3)</w:t>
      </w:r>
      <w:r>
        <w:rPr>
          <w:color w:val="000000"/>
          <w:kern w:val="0"/>
          <w:sz w:val="24"/>
          <w:szCs w:val="24"/>
        </w:rPr>
        <w:t>：</w:t>
      </w:r>
      <w:r>
        <w:rPr>
          <w:rFonts w:eastAsia="黑体"/>
          <w:color w:val="000000"/>
          <w:kern w:val="0"/>
          <w:sz w:val="24"/>
          <w:szCs w:val="24"/>
        </w:rPr>
        <w:t>818-826</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[40]</w:t>
      </w:r>
      <w:r>
        <w:rPr>
          <w:rFonts w:eastAsia="黑体"/>
          <w:color w:val="000000"/>
          <w:kern w:val="0"/>
          <w:sz w:val="24"/>
          <w:szCs w:val="24"/>
        </w:rPr>
        <w:tab/>
      </w:r>
      <w:r>
        <w:rPr>
          <w:color w:val="000000"/>
          <w:kern w:val="0"/>
          <w:sz w:val="24"/>
          <w:szCs w:val="24"/>
        </w:rPr>
        <w:t>杨艳娜．西南山区岩溶隧道涌突水灾害危险性评价系统研究</w:t>
      </w:r>
      <w:r>
        <w:rPr>
          <w:rFonts w:eastAsia="黑体"/>
          <w:color w:val="000000"/>
          <w:kern w:val="0"/>
          <w:sz w:val="24"/>
          <w:szCs w:val="24"/>
        </w:rPr>
        <w:t>[D]</w:t>
      </w:r>
      <w:r>
        <w:rPr>
          <w:color w:val="000000"/>
          <w:kern w:val="0"/>
          <w:sz w:val="24"/>
          <w:szCs w:val="24"/>
        </w:rPr>
        <w:t>．成都理工大学，</w:t>
      </w:r>
      <w:r>
        <w:rPr>
          <w:rFonts w:eastAsia="黑体"/>
          <w:color w:val="000000"/>
          <w:kern w:val="0"/>
          <w:sz w:val="24"/>
          <w:szCs w:val="24"/>
        </w:rPr>
        <w:t>2009</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[41]</w:t>
      </w:r>
      <w:r>
        <w:rPr>
          <w:rFonts w:eastAsia="黑体"/>
          <w:color w:val="000000"/>
          <w:kern w:val="0"/>
          <w:sz w:val="24"/>
          <w:szCs w:val="24"/>
        </w:rPr>
        <w:tab/>
      </w:r>
      <w:r>
        <w:rPr>
          <w:color w:val="000000"/>
          <w:kern w:val="0"/>
          <w:sz w:val="24"/>
          <w:szCs w:val="24"/>
        </w:rPr>
        <w:t>赵勇．隧道软弱围岩变形机制与控制技术研究</w:t>
      </w:r>
      <w:r>
        <w:rPr>
          <w:rFonts w:eastAsia="黑体"/>
          <w:color w:val="000000"/>
          <w:kern w:val="0"/>
          <w:sz w:val="24"/>
          <w:szCs w:val="24"/>
        </w:rPr>
        <w:t>[D]</w:t>
      </w:r>
      <w:r>
        <w:rPr>
          <w:color w:val="000000"/>
          <w:kern w:val="0"/>
          <w:sz w:val="24"/>
          <w:szCs w:val="24"/>
        </w:rPr>
        <w:t>．北京交通大学，</w:t>
      </w:r>
      <w:r>
        <w:rPr>
          <w:rFonts w:eastAsia="黑体"/>
          <w:color w:val="000000"/>
          <w:kern w:val="0"/>
          <w:sz w:val="24"/>
          <w:szCs w:val="24"/>
        </w:rPr>
        <w:t>2012</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[42]</w:t>
      </w:r>
      <w:r>
        <w:rPr>
          <w:rFonts w:eastAsia="黑体"/>
          <w:color w:val="000000"/>
          <w:kern w:val="0"/>
          <w:sz w:val="24"/>
          <w:szCs w:val="24"/>
        </w:rPr>
        <w:tab/>
      </w:r>
      <w:bookmarkStart w:id="144" w:name="_nebB84CBFD5_A91C_4A64_8F67_E4F97041C39E"/>
      <w:r>
        <w:rPr>
          <w:color w:val="000000"/>
          <w:kern w:val="0"/>
          <w:sz w:val="24"/>
          <w:szCs w:val="24"/>
        </w:rPr>
        <w:t>范建海，陈志超，夏述光．软岩隧道矿山法施工大变形风险评估</w:t>
      </w:r>
      <w:r>
        <w:rPr>
          <w:rFonts w:eastAsia="黑体"/>
          <w:color w:val="000000"/>
          <w:kern w:val="0"/>
          <w:sz w:val="24"/>
          <w:szCs w:val="24"/>
        </w:rPr>
        <w:t>[J]</w:t>
      </w:r>
      <w:r>
        <w:rPr>
          <w:color w:val="000000"/>
          <w:kern w:val="0"/>
          <w:sz w:val="24"/>
          <w:szCs w:val="24"/>
        </w:rPr>
        <w:t>．铁道建筑，</w:t>
      </w:r>
      <w:r>
        <w:rPr>
          <w:rFonts w:eastAsia="黑体"/>
          <w:color w:val="000000"/>
          <w:kern w:val="0"/>
          <w:sz w:val="24"/>
          <w:szCs w:val="24"/>
        </w:rPr>
        <w:t>2013(07)</w:t>
      </w:r>
      <w:r>
        <w:rPr>
          <w:color w:val="000000"/>
          <w:kern w:val="0"/>
          <w:sz w:val="24"/>
          <w:szCs w:val="24"/>
        </w:rPr>
        <w:t>：</w:t>
      </w:r>
      <w:r>
        <w:rPr>
          <w:rFonts w:eastAsia="黑体"/>
          <w:color w:val="000000"/>
          <w:kern w:val="0"/>
          <w:sz w:val="24"/>
          <w:szCs w:val="24"/>
        </w:rPr>
        <w:t>52-56</w:t>
      </w:r>
      <w:r>
        <w:rPr>
          <w:color w:val="000000"/>
          <w:kern w:val="0"/>
          <w:sz w:val="24"/>
          <w:szCs w:val="24"/>
        </w:rPr>
        <w:t>．</w:t>
      </w:r>
      <w:bookmarkEnd w:id="144"/>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[43]</w:t>
      </w:r>
      <w:r>
        <w:rPr>
          <w:rFonts w:eastAsia="黑体"/>
          <w:color w:val="000000"/>
          <w:kern w:val="0"/>
          <w:sz w:val="24"/>
          <w:szCs w:val="24"/>
        </w:rPr>
        <w:tab/>
      </w:r>
      <w:bookmarkStart w:id="145" w:name="_neb59A39798_0800_426A_A7E9_A879D7443C22"/>
      <w:r>
        <w:rPr>
          <w:color w:val="000000"/>
          <w:kern w:val="0"/>
          <w:sz w:val="24"/>
          <w:szCs w:val="24"/>
        </w:rPr>
        <w:t>魏来．高地应力软岩隧道变形特征及施工方案优化研究</w:t>
      </w:r>
      <w:r>
        <w:rPr>
          <w:rFonts w:eastAsia="黑体"/>
          <w:color w:val="000000"/>
          <w:kern w:val="0"/>
          <w:sz w:val="24"/>
          <w:szCs w:val="24"/>
        </w:rPr>
        <w:t>[D]</w:t>
      </w:r>
      <w:r>
        <w:rPr>
          <w:color w:val="000000"/>
          <w:kern w:val="0"/>
          <w:sz w:val="24"/>
          <w:szCs w:val="24"/>
        </w:rPr>
        <w:t>．长安大学，</w:t>
      </w:r>
      <w:r>
        <w:rPr>
          <w:rFonts w:eastAsia="黑体"/>
          <w:color w:val="000000"/>
          <w:kern w:val="0"/>
          <w:sz w:val="24"/>
          <w:szCs w:val="24"/>
        </w:rPr>
        <w:t>2018</w:t>
      </w:r>
      <w:r>
        <w:rPr>
          <w:color w:val="000000"/>
          <w:kern w:val="0"/>
          <w:sz w:val="24"/>
          <w:szCs w:val="24"/>
        </w:rPr>
        <w:t>．</w:t>
      </w:r>
      <w:bookmarkEnd w:id="145"/>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[44]</w:t>
      </w:r>
      <w:r>
        <w:rPr>
          <w:rFonts w:eastAsia="黑体"/>
          <w:color w:val="000000"/>
          <w:kern w:val="0"/>
          <w:sz w:val="24"/>
          <w:szCs w:val="24"/>
        </w:rPr>
        <w:tab/>
      </w:r>
      <w:r>
        <w:rPr>
          <w:color w:val="000000"/>
          <w:kern w:val="0"/>
          <w:sz w:val="24"/>
          <w:szCs w:val="24"/>
        </w:rPr>
        <w:t>刘永刚．天坪隧道高地应力大变形机理及控制技术研究</w:t>
      </w:r>
      <w:r>
        <w:rPr>
          <w:rFonts w:eastAsia="黑体"/>
          <w:color w:val="000000"/>
          <w:kern w:val="0"/>
          <w:sz w:val="24"/>
          <w:szCs w:val="24"/>
        </w:rPr>
        <w:t>[D]</w:t>
      </w:r>
      <w:r>
        <w:rPr>
          <w:color w:val="000000"/>
          <w:kern w:val="0"/>
          <w:sz w:val="24"/>
          <w:szCs w:val="24"/>
        </w:rPr>
        <w:t>．西南交通大学，</w:t>
      </w:r>
      <w:r>
        <w:rPr>
          <w:rFonts w:eastAsia="黑体"/>
          <w:color w:val="000000"/>
          <w:kern w:val="0"/>
          <w:sz w:val="24"/>
          <w:szCs w:val="24"/>
        </w:rPr>
        <w:t>2</w:t>
      </w:r>
      <w:r>
        <w:rPr>
          <w:rFonts w:eastAsia="黑体"/>
          <w:color w:val="000000"/>
          <w:kern w:val="0"/>
          <w:sz w:val="24"/>
          <w:szCs w:val="24"/>
        </w:rPr>
        <w:t>017</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[45]</w:t>
      </w:r>
      <w:r>
        <w:rPr>
          <w:rFonts w:eastAsia="黑体"/>
          <w:color w:val="000000"/>
          <w:kern w:val="0"/>
          <w:sz w:val="24"/>
          <w:szCs w:val="24"/>
        </w:rPr>
        <w:tab/>
      </w:r>
      <w:bookmarkStart w:id="146" w:name="_neb72127A32_FF6B_4608_899A_4B34CF668233"/>
      <w:r>
        <w:rPr>
          <w:color w:val="000000"/>
          <w:kern w:val="0"/>
          <w:sz w:val="24"/>
          <w:szCs w:val="24"/>
        </w:rPr>
        <w:t>康小兵．隧道工程瓦斯灾害危险性评价体系研究</w:t>
      </w:r>
      <w:r>
        <w:rPr>
          <w:rFonts w:eastAsia="黑体"/>
          <w:color w:val="000000"/>
          <w:kern w:val="0"/>
          <w:sz w:val="24"/>
          <w:szCs w:val="24"/>
        </w:rPr>
        <w:t>[D]</w:t>
      </w:r>
      <w:r>
        <w:rPr>
          <w:color w:val="000000"/>
          <w:kern w:val="0"/>
          <w:sz w:val="24"/>
          <w:szCs w:val="24"/>
        </w:rPr>
        <w:t>．成都理工大学，</w:t>
      </w:r>
      <w:r>
        <w:rPr>
          <w:rFonts w:eastAsia="黑体"/>
          <w:color w:val="000000"/>
          <w:kern w:val="0"/>
          <w:sz w:val="24"/>
          <w:szCs w:val="24"/>
        </w:rPr>
        <w:t>2009</w:t>
      </w:r>
      <w:r>
        <w:rPr>
          <w:color w:val="000000"/>
          <w:kern w:val="0"/>
          <w:sz w:val="24"/>
          <w:szCs w:val="24"/>
        </w:rPr>
        <w:t>．</w:t>
      </w:r>
      <w:bookmarkEnd w:id="146"/>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[46]</w:t>
      </w:r>
      <w:r>
        <w:rPr>
          <w:rFonts w:eastAsia="黑体"/>
          <w:color w:val="000000"/>
          <w:kern w:val="0"/>
          <w:sz w:val="24"/>
          <w:szCs w:val="24"/>
        </w:rPr>
        <w:tab/>
      </w:r>
      <w:r>
        <w:rPr>
          <w:color w:val="000000"/>
          <w:kern w:val="0"/>
          <w:sz w:val="24"/>
          <w:szCs w:val="24"/>
        </w:rPr>
        <w:t>刘雄伟，刘科．铁路隧道揭煤防突设计与施工</w:t>
      </w:r>
      <w:r>
        <w:rPr>
          <w:rFonts w:eastAsia="黑体"/>
          <w:color w:val="000000"/>
          <w:kern w:val="0"/>
          <w:sz w:val="24"/>
          <w:szCs w:val="24"/>
        </w:rPr>
        <w:t>[J]</w:t>
      </w:r>
      <w:r>
        <w:rPr>
          <w:color w:val="000000"/>
          <w:kern w:val="0"/>
          <w:sz w:val="24"/>
          <w:szCs w:val="24"/>
        </w:rPr>
        <w:t>．交通节能与环保，</w:t>
      </w:r>
      <w:r>
        <w:rPr>
          <w:rFonts w:eastAsia="黑体"/>
          <w:color w:val="000000"/>
          <w:kern w:val="0"/>
          <w:sz w:val="24"/>
          <w:szCs w:val="24"/>
        </w:rPr>
        <w:t>2018</w:t>
      </w:r>
      <w:r>
        <w:rPr>
          <w:color w:val="000000"/>
          <w:kern w:val="0"/>
          <w:sz w:val="24"/>
          <w:szCs w:val="24"/>
        </w:rPr>
        <w:t>，</w:t>
      </w:r>
      <w:r>
        <w:rPr>
          <w:rFonts w:eastAsia="黑体"/>
          <w:color w:val="000000"/>
          <w:kern w:val="0"/>
          <w:sz w:val="24"/>
          <w:szCs w:val="24"/>
        </w:rPr>
        <w:t>14(1)</w:t>
      </w:r>
      <w:r>
        <w:rPr>
          <w:color w:val="000000"/>
          <w:kern w:val="0"/>
          <w:sz w:val="24"/>
          <w:szCs w:val="24"/>
        </w:rPr>
        <w:t>：</w:t>
      </w:r>
      <w:r>
        <w:rPr>
          <w:rFonts w:eastAsia="黑体"/>
          <w:color w:val="000000"/>
          <w:kern w:val="0"/>
          <w:sz w:val="24"/>
          <w:szCs w:val="24"/>
        </w:rPr>
        <w:t>89-92</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[47]</w:t>
      </w:r>
      <w:r>
        <w:rPr>
          <w:rFonts w:eastAsia="黑体"/>
          <w:color w:val="000000"/>
          <w:kern w:val="0"/>
          <w:sz w:val="24"/>
          <w:szCs w:val="24"/>
        </w:rPr>
        <w:tab/>
      </w:r>
      <w:bookmarkStart w:id="147" w:name="_neb71579CCE_E020_42C7_BA68_246EE8405A7B"/>
      <w:r>
        <w:rPr>
          <w:color w:val="000000"/>
          <w:kern w:val="0"/>
          <w:sz w:val="24"/>
          <w:szCs w:val="24"/>
        </w:rPr>
        <w:t>袁和勇．五松瓦斯隧道施工危险性评估研究</w:t>
      </w:r>
      <w:r>
        <w:rPr>
          <w:rFonts w:eastAsia="黑体"/>
          <w:color w:val="000000"/>
          <w:kern w:val="0"/>
          <w:sz w:val="24"/>
          <w:szCs w:val="24"/>
        </w:rPr>
        <w:t>[D]</w:t>
      </w:r>
      <w:r>
        <w:rPr>
          <w:color w:val="000000"/>
          <w:kern w:val="0"/>
          <w:sz w:val="24"/>
          <w:szCs w:val="24"/>
        </w:rPr>
        <w:t>．安徽理工大学，</w:t>
      </w:r>
      <w:r>
        <w:rPr>
          <w:rFonts w:eastAsia="黑体"/>
          <w:color w:val="000000"/>
          <w:kern w:val="0"/>
          <w:sz w:val="24"/>
          <w:szCs w:val="24"/>
        </w:rPr>
        <w:t>2014</w:t>
      </w:r>
      <w:r>
        <w:rPr>
          <w:color w:val="000000"/>
          <w:kern w:val="0"/>
          <w:sz w:val="24"/>
          <w:szCs w:val="24"/>
        </w:rPr>
        <w:t>．</w:t>
      </w:r>
      <w:bookmarkEnd w:id="147"/>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[48]</w:t>
      </w:r>
      <w:r>
        <w:rPr>
          <w:rFonts w:eastAsia="黑体"/>
          <w:color w:val="000000"/>
          <w:kern w:val="0"/>
          <w:sz w:val="24"/>
          <w:szCs w:val="24"/>
        </w:rPr>
        <w:tab/>
      </w:r>
      <w:r>
        <w:rPr>
          <w:color w:val="000000"/>
          <w:kern w:val="0"/>
          <w:sz w:val="24"/>
          <w:szCs w:val="24"/>
        </w:rPr>
        <w:t>国家铁路局．</w:t>
      </w:r>
      <w:r>
        <w:rPr>
          <w:rFonts w:eastAsia="黑体"/>
          <w:color w:val="000000"/>
          <w:kern w:val="0"/>
          <w:sz w:val="24"/>
          <w:szCs w:val="24"/>
        </w:rPr>
        <w:t xml:space="preserve">TB 10120-2019 </w:t>
      </w:r>
      <w:r>
        <w:rPr>
          <w:color w:val="000000"/>
          <w:kern w:val="0"/>
          <w:sz w:val="24"/>
          <w:szCs w:val="24"/>
        </w:rPr>
        <w:t>铁路瓦斯隧道技术规范</w:t>
      </w:r>
      <w:r>
        <w:rPr>
          <w:rFonts w:eastAsia="黑体"/>
          <w:color w:val="000000"/>
          <w:kern w:val="0"/>
          <w:sz w:val="24"/>
          <w:szCs w:val="24"/>
        </w:rPr>
        <w:t>[S]</w:t>
      </w:r>
      <w:r>
        <w:rPr>
          <w:color w:val="000000"/>
          <w:kern w:val="0"/>
          <w:sz w:val="24"/>
          <w:szCs w:val="24"/>
        </w:rPr>
        <w:t>．北京：中国铁道出版社，</w:t>
      </w:r>
      <w:r>
        <w:rPr>
          <w:rFonts w:eastAsia="黑体"/>
          <w:color w:val="000000"/>
          <w:kern w:val="0"/>
          <w:sz w:val="24"/>
          <w:szCs w:val="24"/>
        </w:rPr>
        <w:t>2019</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lastRenderedPageBreak/>
        <w:t>[49]</w:t>
      </w:r>
      <w:r>
        <w:rPr>
          <w:rFonts w:eastAsia="黑体"/>
          <w:color w:val="000000"/>
          <w:kern w:val="0"/>
          <w:sz w:val="24"/>
          <w:szCs w:val="24"/>
        </w:rPr>
        <w:tab/>
      </w:r>
      <w:r>
        <w:rPr>
          <w:color w:val="000000"/>
          <w:kern w:val="0"/>
          <w:sz w:val="24"/>
          <w:szCs w:val="24"/>
        </w:rPr>
        <w:t>中华人民共和国住房和城乡建设部，中华人民共和国国家质量监督检验检疫总局．</w:t>
      </w:r>
      <w:r>
        <w:rPr>
          <w:rFonts w:eastAsia="黑体"/>
          <w:color w:val="000000"/>
          <w:kern w:val="0"/>
          <w:sz w:val="24"/>
          <w:szCs w:val="24"/>
        </w:rPr>
        <w:t xml:space="preserve">GB 50487-2008 </w:t>
      </w:r>
      <w:r>
        <w:rPr>
          <w:color w:val="000000"/>
          <w:kern w:val="0"/>
          <w:sz w:val="24"/>
          <w:szCs w:val="24"/>
        </w:rPr>
        <w:t>水利水电工程地质勘察规范</w:t>
      </w:r>
      <w:r>
        <w:rPr>
          <w:rFonts w:eastAsia="黑体"/>
          <w:color w:val="000000"/>
          <w:kern w:val="0"/>
          <w:sz w:val="24"/>
          <w:szCs w:val="24"/>
        </w:rPr>
        <w:t>[S]</w:t>
      </w:r>
      <w:r>
        <w:rPr>
          <w:color w:val="000000"/>
          <w:kern w:val="0"/>
          <w:sz w:val="24"/>
          <w:szCs w:val="24"/>
        </w:rPr>
        <w:t>．北京：中国计划出版社，</w:t>
      </w:r>
      <w:r>
        <w:rPr>
          <w:rFonts w:eastAsia="黑体"/>
          <w:color w:val="000000"/>
          <w:kern w:val="0"/>
          <w:sz w:val="24"/>
          <w:szCs w:val="24"/>
        </w:rPr>
        <w:t>2008</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[50]</w:t>
      </w:r>
      <w:r>
        <w:rPr>
          <w:rFonts w:eastAsia="黑体"/>
          <w:color w:val="000000"/>
          <w:kern w:val="0"/>
          <w:sz w:val="24"/>
          <w:szCs w:val="24"/>
        </w:rPr>
        <w:tab/>
      </w:r>
      <w:r>
        <w:rPr>
          <w:color w:val="000000"/>
          <w:kern w:val="0"/>
          <w:sz w:val="24"/>
          <w:szCs w:val="24"/>
        </w:rPr>
        <w:t>蔡美峰</w:t>
      </w:r>
      <w:r>
        <w:rPr>
          <w:rFonts w:hint="eastAsia"/>
          <w:color w:val="000000"/>
          <w:kern w:val="0"/>
          <w:sz w:val="24"/>
          <w:szCs w:val="24"/>
        </w:rPr>
        <w:t>，何满潮，刘东燕</w:t>
      </w:r>
      <w:r>
        <w:rPr>
          <w:color w:val="000000"/>
          <w:kern w:val="0"/>
          <w:sz w:val="24"/>
          <w:szCs w:val="24"/>
        </w:rPr>
        <w:t>．岩石力学与工程</w:t>
      </w:r>
      <w:r>
        <w:rPr>
          <w:rFonts w:eastAsia="黑体"/>
          <w:color w:val="000000"/>
          <w:kern w:val="0"/>
          <w:sz w:val="24"/>
          <w:szCs w:val="24"/>
        </w:rPr>
        <w:t xml:space="preserve"> </w:t>
      </w:r>
      <w:r>
        <w:rPr>
          <w:color w:val="000000"/>
          <w:kern w:val="0"/>
          <w:sz w:val="24"/>
          <w:szCs w:val="24"/>
        </w:rPr>
        <w:t>第</w:t>
      </w:r>
      <w:r>
        <w:rPr>
          <w:rFonts w:eastAsia="黑体"/>
          <w:color w:val="000000"/>
          <w:kern w:val="0"/>
          <w:sz w:val="24"/>
          <w:szCs w:val="24"/>
        </w:rPr>
        <w:t>2</w:t>
      </w:r>
      <w:r>
        <w:rPr>
          <w:color w:val="000000"/>
          <w:kern w:val="0"/>
          <w:sz w:val="24"/>
          <w:szCs w:val="24"/>
        </w:rPr>
        <w:t>版</w:t>
      </w:r>
      <w:r>
        <w:rPr>
          <w:rFonts w:eastAsia="黑体"/>
          <w:color w:val="000000"/>
          <w:kern w:val="0"/>
          <w:sz w:val="24"/>
          <w:szCs w:val="24"/>
        </w:rPr>
        <w:t>[M]</w:t>
      </w:r>
      <w:r>
        <w:rPr>
          <w:color w:val="000000"/>
          <w:kern w:val="0"/>
          <w:sz w:val="24"/>
          <w:szCs w:val="24"/>
        </w:rPr>
        <w:t>．北京：科学出版社，</w:t>
      </w:r>
      <w:r>
        <w:rPr>
          <w:rFonts w:eastAsia="黑体"/>
          <w:color w:val="000000"/>
          <w:kern w:val="0"/>
          <w:sz w:val="24"/>
          <w:szCs w:val="24"/>
        </w:rPr>
        <w:t>2013</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[51]</w:t>
      </w:r>
      <w:r>
        <w:rPr>
          <w:rFonts w:eastAsia="黑体"/>
          <w:color w:val="000000"/>
          <w:kern w:val="0"/>
          <w:sz w:val="24"/>
          <w:szCs w:val="24"/>
        </w:rPr>
        <w:tab/>
      </w:r>
      <w:bookmarkStart w:id="148" w:name="_neb3D276DDB_C1CE_41E5_A53E_1DB155F79C62"/>
      <w:r>
        <w:rPr>
          <w:color w:val="000000"/>
          <w:kern w:val="0"/>
          <w:sz w:val="24"/>
          <w:szCs w:val="24"/>
        </w:rPr>
        <w:t>刘学增，苏云帆．隧道施工岩爆安全评价量化指标体系研究</w:t>
      </w:r>
      <w:r>
        <w:rPr>
          <w:rFonts w:eastAsia="黑体"/>
          <w:color w:val="000000"/>
          <w:kern w:val="0"/>
          <w:sz w:val="24"/>
          <w:szCs w:val="24"/>
        </w:rPr>
        <w:t>[J]</w:t>
      </w:r>
      <w:r>
        <w:rPr>
          <w:color w:val="000000"/>
          <w:kern w:val="0"/>
          <w:sz w:val="24"/>
          <w:szCs w:val="24"/>
        </w:rPr>
        <w:t>．公路交通科技，</w:t>
      </w:r>
      <w:r>
        <w:rPr>
          <w:rFonts w:eastAsia="黑体"/>
          <w:color w:val="000000"/>
          <w:kern w:val="0"/>
          <w:sz w:val="24"/>
          <w:szCs w:val="24"/>
        </w:rPr>
        <w:t>2010</w:t>
      </w:r>
      <w:r>
        <w:rPr>
          <w:color w:val="000000"/>
          <w:kern w:val="0"/>
          <w:sz w:val="24"/>
          <w:szCs w:val="24"/>
        </w:rPr>
        <w:t>，</w:t>
      </w:r>
      <w:r>
        <w:rPr>
          <w:rFonts w:eastAsia="黑体"/>
          <w:color w:val="000000"/>
          <w:kern w:val="0"/>
          <w:sz w:val="24"/>
          <w:szCs w:val="24"/>
        </w:rPr>
        <w:t>27(11)</w:t>
      </w:r>
      <w:r>
        <w:rPr>
          <w:color w:val="000000"/>
          <w:kern w:val="0"/>
          <w:sz w:val="24"/>
          <w:szCs w:val="24"/>
        </w:rPr>
        <w:t>：</w:t>
      </w:r>
      <w:r>
        <w:rPr>
          <w:rFonts w:eastAsia="黑体"/>
          <w:color w:val="000000"/>
          <w:kern w:val="0"/>
          <w:sz w:val="24"/>
          <w:szCs w:val="24"/>
        </w:rPr>
        <w:t>88-93</w:t>
      </w:r>
      <w:r>
        <w:rPr>
          <w:color w:val="000000"/>
          <w:kern w:val="0"/>
          <w:sz w:val="24"/>
          <w:szCs w:val="24"/>
        </w:rPr>
        <w:t>．</w:t>
      </w:r>
      <w:bookmarkEnd w:id="148"/>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[52]</w:t>
      </w:r>
      <w:r>
        <w:rPr>
          <w:rFonts w:eastAsia="黑体"/>
          <w:color w:val="000000"/>
          <w:kern w:val="0"/>
          <w:sz w:val="24"/>
          <w:szCs w:val="24"/>
        </w:rPr>
        <w:tab/>
      </w:r>
      <w:bookmarkStart w:id="149" w:name="_neb1FA9F884_1B5D_4189_9C37_68AA6E7DA6F6"/>
      <w:r>
        <w:rPr>
          <w:color w:val="000000"/>
          <w:kern w:val="0"/>
          <w:sz w:val="24"/>
          <w:szCs w:val="24"/>
        </w:rPr>
        <w:t>中华人民共和国建设部．</w:t>
      </w:r>
      <w:r>
        <w:rPr>
          <w:rFonts w:eastAsia="黑体"/>
          <w:color w:val="000000"/>
          <w:kern w:val="0"/>
          <w:sz w:val="24"/>
          <w:szCs w:val="24"/>
        </w:rPr>
        <w:t xml:space="preserve">GB 50021-2001 </w:t>
      </w:r>
      <w:r>
        <w:rPr>
          <w:color w:val="000000"/>
          <w:kern w:val="0"/>
          <w:sz w:val="24"/>
          <w:szCs w:val="24"/>
        </w:rPr>
        <w:t>岩土工程勘察规范</w:t>
      </w:r>
      <w:r>
        <w:rPr>
          <w:rFonts w:eastAsia="黑体"/>
          <w:color w:val="000000"/>
          <w:kern w:val="0"/>
          <w:sz w:val="24"/>
          <w:szCs w:val="24"/>
        </w:rPr>
        <w:t>[S]</w:t>
      </w:r>
      <w:r>
        <w:rPr>
          <w:color w:val="000000"/>
          <w:kern w:val="0"/>
          <w:sz w:val="24"/>
          <w:szCs w:val="24"/>
        </w:rPr>
        <w:t>．北京：中国建筑工业出版社，</w:t>
      </w:r>
      <w:r>
        <w:rPr>
          <w:rFonts w:eastAsia="黑体"/>
          <w:color w:val="000000"/>
          <w:kern w:val="0"/>
          <w:sz w:val="24"/>
          <w:szCs w:val="24"/>
        </w:rPr>
        <w:t>2001</w:t>
      </w:r>
      <w:r>
        <w:rPr>
          <w:color w:val="000000"/>
          <w:kern w:val="0"/>
          <w:sz w:val="24"/>
          <w:szCs w:val="24"/>
        </w:rPr>
        <w:t>．</w:t>
      </w:r>
      <w:bookmarkEnd w:id="149"/>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[53]</w:t>
      </w:r>
      <w:r>
        <w:rPr>
          <w:rFonts w:eastAsia="黑体"/>
          <w:color w:val="000000"/>
          <w:kern w:val="0"/>
          <w:sz w:val="24"/>
          <w:szCs w:val="24"/>
        </w:rPr>
        <w:tab/>
      </w:r>
      <w:bookmarkStart w:id="150" w:name="_neb929AC508_B56B_4920_9D7B_FE5A21002F4F"/>
      <w:r>
        <w:rPr>
          <w:color w:val="000000"/>
          <w:kern w:val="0"/>
          <w:sz w:val="24"/>
          <w:szCs w:val="24"/>
        </w:rPr>
        <w:t>中华人民共和国水利部．</w:t>
      </w:r>
      <w:r>
        <w:rPr>
          <w:rFonts w:eastAsia="黑体"/>
          <w:color w:val="000000"/>
          <w:kern w:val="0"/>
          <w:sz w:val="24"/>
          <w:szCs w:val="24"/>
        </w:rPr>
        <w:t xml:space="preserve">DL/T 5195-2004 </w:t>
      </w:r>
      <w:r>
        <w:rPr>
          <w:color w:val="000000"/>
          <w:kern w:val="0"/>
          <w:sz w:val="24"/>
          <w:szCs w:val="24"/>
        </w:rPr>
        <w:t>水工隧洞设计规范</w:t>
      </w:r>
      <w:r>
        <w:rPr>
          <w:rFonts w:eastAsia="黑体"/>
          <w:color w:val="000000"/>
          <w:kern w:val="0"/>
          <w:sz w:val="24"/>
          <w:szCs w:val="24"/>
        </w:rPr>
        <w:t>[S]</w:t>
      </w:r>
      <w:r>
        <w:rPr>
          <w:color w:val="000000"/>
          <w:kern w:val="0"/>
          <w:sz w:val="24"/>
          <w:szCs w:val="24"/>
        </w:rPr>
        <w:t>．北京：中国水利水电出版社，</w:t>
      </w:r>
      <w:r>
        <w:rPr>
          <w:rFonts w:eastAsia="黑体"/>
          <w:color w:val="000000"/>
          <w:kern w:val="0"/>
          <w:sz w:val="24"/>
          <w:szCs w:val="24"/>
        </w:rPr>
        <w:t>2016</w:t>
      </w:r>
      <w:r>
        <w:rPr>
          <w:color w:val="000000"/>
          <w:kern w:val="0"/>
          <w:sz w:val="24"/>
          <w:szCs w:val="24"/>
        </w:rPr>
        <w:t>．</w:t>
      </w:r>
      <w:bookmarkEnd w:id="150"/>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[54]</w:t>
      </w:r>
      <w:r>
        <w:rPr>
          <w:rFonts w:eastAsia="黑体"/>
          <w:color w:val="000000"/>
          <w:kern w:val="0"/>
          <w:sz w:val="24"/>
          <w:szCs w:val="24"/>
        </w:rPr>
        <w:tab/>
      </w:r>
      <w:r>
        <w:rPr>
          <w:color w:val="000000"/>
          <w:kern w:val="0"/>
          <w:sz w:val="24"/>
          <w:szCs w:val="24"/>
        </w:rPr>
        <w:t>谷建岭．高地应力软岩隧道大变形预测及防治研究</w:t>
      </w:r>
      <w:r>
        <w:rPr>
          <w:rFonts w:eastAsia="黑体"/>
          <w:color w:val="000000"/>
          <w:kern w:val="0"/>
          <w:sz w:val="24"/>
          <w:szCs w:val="24"/>
        </w:rPr>
        <w:t>[J]</w:t>
      </w:r>
      <w:r>
        <w:rPr>
          <w:color w:val="000000"/>
          <w:kern w:val="0"/>
          <w:sz w:val="24"/>
          <w:szCs w:val="24"/>
        </w:rPr>
        <w:t>．科协论坛</w:t>
      </w:r>
      <w:r>
        <w:rPr>
          <w:rFonts w:eastAsia="黑体"/>
          <w:color w:val="000000"/>
          <w:kern w:val="0"/>
          <w:sz w:val="24"/>
          <w:szCs w:val="24"/>
        </w:rPr>
        <w:t>(</w:t>
      </w:r>
      <w:r>
        <w:rPr>
          <w:color w:val="000000"/>
          <w:kern w:val="0"/>
          <w:sz w:val="24"/>
          <w:szCs w:val="24"/>
        </w:rPr>
        <w:t>下半月</w:t>
      </w:r>
      <w:r>
        <w:rPr>
          <w:rFonts w:eastAsia="黑体"/>
          <w:color w:val="000000"/>
          <w:kern w:val="0"/>
          <w:sz w:val="24"/>
          <w:szCs w:val="24"/>
        </w:rPr>
        <w:t>)</w:t>
      </w:r>
      <w:r>
        <w:rPr>
          <w:color w:val="000000"/>
          <w:kern w:val="0"/>
          <w:sz w:val="24"/>
          <w:szCs w:val="24"/>
        </w:rPr>
        <w:t>，</w:t>
      </w:r>
      <w:r>
        <w:rPr>
          <w:rFonts w:eastAsia="黑体"/>
          <w:color w:val="000000"/>
          <w:kern w:val="0"/>
          <w:sz w:val="24"/>
          <w:szCs w:val="24"/>
        </w:rPr>
        <w:t>2011(04)</w:t>
      </w:r>
      <w:r>
        <w:rPr>
          <w:color w:val="000000"/>
          <w:kern w:val="0"/>
          <w:sz w:val="24"/>
          <w:szCs w:val="24"/>
        </w:rPr>
        <w:t>：</w:t>
      </w:r>
      <w:r>
        <w:rPr>
          <w:rFonts w:eastAsia="黑体"/>
          <w:color w:val="000000"/>
          <w:kern w:val="0"/>
          <w:sz w:val="24"/>
          <w:szCs w:val="24"/>
        </w:rPr>
        <w:t>13-14</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[55]</w:t>
      </w:r>
      <w:r>
        <w:rPr>
          <w:rFonts w:eastAsia="黑体"/>
          <w:color w:val="000000"/>
          <w:kern w:val="0"/>
          <w:sz w:val="24"/>
          <w:szCs w:val="24"/>
        </w:rPr>
        <w:tab/>
      </w:r>
      <w:bookmarkStart w:id="151" w:name="_neb25F9C16B_3186_4BAB_BA6F_DC2861036653"/>
      <w:r>
        <w:rPr>
          <w:color w:val="000000"/>
          <w:kern w:val="0"/>
          <w:sz w:val="24"/>
          <w:szCs w:val="24"/>
        </w:rPr>
        <w:t>刘志春，朱永全，李文江，等．挤压性围岩隧道大变形机理及分级标准研究</w:t>
      </w:r>
      <w:r>
        <w:rPr>
          <w:rFonts w:eastAsia="黑体"/>
          <w:color w:val="000000"/>
          <w:kern w:val="0"/>
          <w:sz w:val="24"/>
          <w:szCs w:val="24"/>
        </w:rPr>
        <w:t>[J]</w:t>
      </w:r>
      <w:r>
        <w:rPr>
          <w:color w:val="000000"/>
          <w:kern w:val="0"/>
          <w:sz w:val="24"/>
          <w:szCs w:val="24"/>
        </w:rPr>
        <w:t>．岩土工程学报，</w:t>
      </w:r>
      <w:r>
        <w:rPr>
          <w:rFonts w:eastAsia="黑体"/>
          <w:color w:val="000000"/>
          <w:kern w:val="0"/>
          <w:sz w:val="24"/>
          <w:szCs w:val="24"/>
        </w:rPr>
        <w:t>2008(05)</w:t>
      </w:r>
      <w:r>
        <w:rPr>
          <w:color w:val="000000"/>
          <w:kern w:val="0"/>
          <w:sz w:val="24"/>
          <w:szCs w:val="24"/>
        </w:rPr>
        <w:t>：</w:t>
      </w:r>
      <w:r>
        <w:rPr>
          <w:rFonts w:eastAsia="黑体"/>
          <w:color w:val="000000"/>
          <w:kern w:val="0"/>
          <w:sz w:val="24"/>
          <w:szCs w:val="24"/>
        </w:rPr>
        <w:t>690-697</w:t>
      </w:r>
      <w:r>
        <w:rPr>
          <w:color w:val="000000"/>
          <w:kern w:val="0"/>
          <w:sz w:val="24"/>
          <w:szCs w:val="24"/>
        </w:rPr>
        <w:t>．</w:t>
      </w:r>
      <w:bookmarkEnd w:id="151"/>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[56]</w:t>
      </w:r>
      <w:r>
        <w:rPr>
          <w:rFonts w:eastAsia="黑体"/>
          <w:color w:val="000000"/>
          <w:kern w:val="0"/>
          <w:sz w:val="24"/>
          <w:szCs w:val="24"/>
        </w:rPr>
        <w:tab/>
      </w:r>
      <w:bookmarkStart w:id="152" w:name="_neb96917D28_C008_46A6_B13A_F81D84296744"/>
      <w:r>
        <w:rPr>
          <w:color w:val="000000"/>
          <w:kern w:val="0"/>
          <w:sz w:val="24"/>
          <w:szCs w:val="24"/>
        </w:rPr>
        <w:t>曹文贵，翟友成，王江营，等．山岭隧道塌方风险的集对分析方法</w:t>
      </w:r>
      <w:r>
        <w:rPr>
          <w:rFonts w:eastAsia="黑体"/>
          <w:color w:val="000000"/>
          <w:kern w:val="0"/>
          <w:sz w:val="24"/>
          <w:szCs w:val="24"/>
        </w:rPr>
        <w:t>[J]</w:t>
      </w:r>
      <w:r>
        <w:rPr>
          <w:color w:val="000000"/>
          <w:kern w:val="0"/>
          <w:sz w:val="24"/>
          <w:szCs w:val="24"/>
        </w:rPr>
        <w:t>．中国公路学报，</w:t>
      </w:r>
      <w:r>
        <w:rPr>
          <w:rFonts w:eastAsia="黑体"/>
          <w:color w:val="000000"/>
          <w:kern w:val="0"/>
          <w:sz w:val="24"/>
          <w:szCs w:val="24"/>
        </w:rPr>
        <w:t>2012</w:t>
      </w:r>
      <w:r>
        <w:rPr>
          <w:color w:val="000000"/>
          <w:kern w:val="0"/>
          <w:sz w:val="24"/>
          <w:szCs w:val="24"/>
        </w:rPr>
        <w:t>，</w:t>
      </w:r>
      <w:r>
        <w:rPr>
          <w:rFonts w:eastAsia="黑体"/>
          <w:color w:val="000000"/>
          <w:kern w:val="0"/>
          <w:sz w:val="24"/>
          <w:szCs w:val="24"/>
        </w:rPr>
        <w:t>25(2)</w:t>
      </w:r>
      <w:r>
        <w:rPr>
          <w:color w:val="000000"/>
          <w:kern w:val="0"/>
          <w:sz w:val="24"/>
          <w:szCs w:val="24"/>
        </w:rPr>
        <w:t>：</w:t>
      </w:r>
      <w:r>
        <w:rPr>
          <w:rFonts w:eastAsia="黑体"/>
          <w:color w:val="000000"/>
          <w:kern w:val="0"/>
          <w:sz w:val="24"/>
          <w:szCs w:val="24"/>
        </w:rPr>
        <w:t>90-99</w:t>
      </w:r>
      <w:r>
        <w:rPr>
          <w:color w:val="000000"/>
          <w:kern w:val="0"/>
          <w:sz w:val="24"/>
          <w:szCs w:val="24"/>
        </w:rPr>
        <w:t>．</w:t>
      </w:r>
      <w:bookmarkEnd w:id="152"/>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[57]</w:t>
      </w:r>
      <w:r>
        <w:rPr>
          <w:rFonts w:eastAsia="黑体"/>
          <w:color w:val="000000"/>
          <w:kern w:val="0"/>
          <w:sz w:val="24"/>
          <w:szCs w:val="24"/>
        </w:rPr>
        <w:tab/>
      </w:r>
      <w:bookmarkStart w:id="153" w:name="_nebD1E90C3F_C8D5_4960_97AF_328BCA73AD8A"/>
      <w:r>
        <w:rPr>
          <w:color w:val="000000"/>
          <w:kern w:val="0"/>
          <w:sz w:val="24"/>
          <w:szCs w:val="24"/>
        </w:rPr>
        <w:t>中交第四公路工程局有限公司</w:t>
      </w:r>
      <w:r>
        <w:rPr>
          <w:rFonts w:hint="eastAsia"/>
          <w:color w:val="000000"/>
          <w:kern w:val="0"/>
          <w:sz w:val="24"/>
          <w:szCs w:val="24"/>
        </w:rPr>
        <w:t>，</w:t>
      </w:r>
      <w:r>
        <w:rPr>
          <w:color w:val="000000"/>
          <w:kern w:val="0"/>
          <w:sz w:val="24"/>
          <w:szCs w:val="24"/>
        </w:rPr>
        <w:t>中国交通建设股份有限公司．</w:t>
      </w:r>
      <w:r>
        <w:rPr>
          <w:rFonts w:eastAsia="黑体"/>
          <w:color w:val="000000"/>
          <w:kern w:val="0"/>
          <w:sz w:val="24"/>
          <w:szCs w:val="24"/>
        </w:rPr>
        <w:t xml:space="preserve">JTG F90-2015 </w:t>
      </w:r>
      <w:r>
        <w:rPr>
          <w:color w:val="000000"/>
          <w:kern w:val="0"/>
          <w:sz w:val="24"/>
          <w:szCs w:val="24"/>
        </w:rPr>
        <w:t>公路工程施工安全技术规范</w:t>
      </w:r>
      <w:r>
        <w:rPr>
          <w:rFonts w:eastAsia="黑体"/>
          <w:color w:val="000000"/>
          <w:kern w:val="0"/>
          <w:sz w:val="24"/>
          <w:szCs w:val="24"/>
        </w:rPr>
        <w:t>[S]</w:t>
      </w:r>
      <w:r>
        <w:rPr>
          <w:color w:val="000000"/>
          <w:kern w:val="0"/>
          <w:sz w:val="24"/>
          <w:szCs w:val="24"/>
        </w:rPr>
        <w:t>．北京：人民交通出版社，</w:t>
      </w:r>
      <w:r>
        <w:rPr>
          <w:rFonts w:eastAsia="黑体"/>
          <w:color w:val="000000"/>
          <w:kern w:val="0"/>
          <w:sz w:val="24"/>
          <w:szCs w:val="24"/>
        </w:rPr>
        <w:t>2015</w:t>
      </w:r>
      <w:r>
        <w:rPr>
          <w:color w:val="000000"/>
          <w:kern w:val="0"/>
          <w:sz w:val="24"/>
          <w:szCs w:val="24"/>
        </w:rPr>
        <w:t>．</w:t>
      </w:r>
      <w:bookmarkEnd w:id="153"/>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[58]</w:t>
      </w:r>
      <w:r>
        <w:rPr>
          <w:rFonts w:eastAsia="黑体"/>
          <w:color w:val="000000"/>
          <w:kern w:val="0"/>
          <w:sz w:val="24"/>
          <w:szCs w:val="24"/>
        </w:rPr>
        <w:tab/>
      </w:r>
      <w:bookmarkStart w:id="154" w:name="_nebEF564CED_A65A_4D88_A476_62EC16CC80A9"/>
      <w:r>
        <w:rPr>
          <w:color w:val="000000"/>
          <w:kern w:val="0"/>
          <w:sz w:val="24"/>
          <w:szCs w:val="24"/>
        </w:rPr>
        <w:t>刘学增，包浩杉，米东阳．公路隧道穿越断层塌方预测多级模糊综合评判</w:t>
      </w:r>
      <w:r>
        <w:rPr>
          <w:rFonts w:eastAsia="黑体"/>
          <w:color w:val="000000"/>
          <w:kern w:val="0"/>
          <w:sz w:val="24"/>
          <w:szCs w:val="24"/>
        </w:rPr>
        <w:t>[J]</w:t>
      </w:r>
      <w:r>
        <w:rPr>
          <w:color w:val="000000"/>
          <w:kern w:val="0"/>
          <w:sz w:val="24"/>
          <w:szCs w:val="24"/>
        </w:rPr>
        <w:t>．现代隧道技术，</w:t>
      </w:r>
      <w:r>
        <w:rPr>
          <w:rFonts w:eastAsia="黑体"/>
          <w:color w:val="000000"/>
          <w:kern w:val="0"/>
          <w:sz w:val="24"/>
          <w:szCs w:val="24"/>
        </w:rPr>
        <w:t>2011</w:t>
      </w:r>
      <w:r>
        <w:rPr>
          <w:color w:val="000000"/>
          <w:kern w:val="0"/>
          <w:sz w:val="24"/>
          <w:szCs w:val="24"/>
        </w:rPr>
        <w:t>，</w:t>
      </w:r>
      <w:r>
        <w:rPr>
          <w:rFonts w:eastAsia="黑体"/>
          <w:color w:val="000000"/>
          <w:kern w:val="0"/>
          <w:sz w:val="24"/>
          <w:szCs w:val="24"/>
        </w:rPr>
        <w:t>48(06)</w:t>
      </w:r>
      <w:r>
        <w:rPr>
          <w:color w:val="000000"/>
          <w:kern w:val="0"/>
          <w:sz w:val="24"/>
          <w:szCs w:val="24"/>
        </w:rPr>
        <w:t>：</w:t>
      </w:r>
      <w:r>
        <w:rPr>
          <w:rFonts w:eastAsia="黑体"/>
          <w:color w:val="000000"/>
          <w:kern w:val="0"/>
          <w:sz w:val="24"/>
          <w:szCs w:val="24"/>
        </w:rPr>
        <w:t>65-71</w:t>
      </w:r>
      <w:r>
        <w:rPr>
          <w:color w:val="000000"/>
          <w:kern w:val="0"/>
          <w:sz w:val="24"/>
          <w:szCs w:val="24"/>
        </w:rPr>
        <w:t>．</w:t>
      </w:r>
      <w:bookmarkEnd w:id="154"/>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[59]</w:t>
      </w:r>
      <w:r>
        <w:rPr>
          <w:rFonts w:eastAsia="黑体"/>
          <w:color w:val="000000"/>
          <w:kern w:val="0"/>
          <w:sz w:val="24"/>
          <w:szCs w:val="24"/>
        </w:rPr>
        <w:tab/>
      </w:r>
      <w:bookmarkStart w:id="155" w:name="_nebB92DD287_5487_43A1_AB8B_3C9320FA2F0F"/>
      <w:r>
        <w:rPr>
          <w:color w:val="000000"/>
          <w:kern w:val="0"/>
          <w:sz w:val="24"/>
          <w:szCs w:val="24"/>
        </w:rPr>
        <w:t>俞文生，彭蓉蓉．九岭山高地应力板岩隧道坍塌处理技术</w:t>
      </w:r>
      <w:r>
        <w:rPr>
          <w:rFonts w:eastAsia="黑体"/>
          <w:color w:val="000000"/>
          <w:kern w:val="0"/>
          <w:sz w:val="24"/>
          <w:szCs w:val="24"/>
        </w:rPr>
        <w:t>[J]</w:t>
      </w:r>
      <w:r>
        <w:rPr>
          <w:color w:val="000000"/>
          <w:kern w:val="0"/>
          <w:sz w:val="24"/>
          <w:szCs w:val="24"/>
        </w:rPr>
        <w:t>．公路隧道，</w:t>
      </w:r>
      <w:r>
        <w:rPr>
          <w:rFonts w:eastAsia="黑体"/>
          <w:color w:val="000000"/>
          <w:kern w:val="0"/>
          <w:sz w:val="24"/>
          <w:szCs w:val="24"/>
        </w:rPr>
        <w:t>2008(03)</w:t>
      </w:r>
      <w:r>
        <w:rPr>
          <w:color w:val="000000"/>
          <w:kern w:val="0"/>
          <w:sz w:val="24"/>
          <w:szCs w:val="24"/>
        </w:rPr>
        <w:t>：</w:t>
      </w:r>
      <w:r>
        <w:rPr>
          <w:rFonts w:eastAsia="黑体"/>
          <w:color w:val="000000"/>
          <w:kern w:val="0"/>
          <w:sz w:val="24"/>
          <w:szCs w:val="24"/>
        </w:rPr>
        <w:t>21-24</w:t>
      </w:r>
      <w:r>
        <w:rPr>
          <w:color w:val="000000"/>
          <w:kern w:val="0"/>
          <w:sz w:val="24"/>
          <w:szCs w:val="24"/>
        </w:rPr>
        <w:t>．</w:t>
      </w:r>
      <w:bookmarkEnd w:id="155"/>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[60]</w:t>
      </w:r>
      <w:r>
        <w:rPr>
          <w:rFonts w:eastAsia="黑体"/>
          <w:color w:val="000000"/>
          <w:kern w:val="0"/>
          <w:sz w:val="24"/>
          <w:szCs w:val="24"/>
        </w:rPr>
        <w:tab/>
      </w:r>
      <w:r>
        <w:rPr>
          <w:color w:val="000000"/>
          <w:kern w:val="0"/>
          <w:sz w:val="24"/>
          <w:szCs w:val="24"/>
        </w:rPr>
        <w:t>李祥云．玄真观隧道高地应力整治段坍塌原因分析及处理措施</w:t>
      </w:r>
      <w:r>
        <w:rPr>
          <w:rFonts w:eastAsia="黑体"/>
          <w:color w:val="000000"/>
          <w:kern w:val="0"/>
          <w:sz w:val="24"/>
          <w:szCs w:val="24"/>
        </w:rPr>
        <w:t>[J]</w:t>
      </w:r>
      <w:r>
        <w:rPr>
          <w:color w:val="000000"/>
          <w:kern w:val="0"/>
          <w:sz w:val="24"/>
          <w:szCs w:val="24"/>
        </w:rPr>
        <w:t>．路基工程，</w:t>
      </w:r>
      <w:r>
        <w:rPr>
          <w:rFonts w:eastAsia="黑体"/>
          <w:color w:val="000000"/>
          <w:kern w:val="0"/>
          <w:sz w:val="24"/>
          <w:szCs w:val="24"/>
        </w:rPr>
        <w:t>2016(06)</w:t>
      </w:r>
      <w:r>
        <w:rPr>
          <w:color w:val="000000"/>
          <w:kern w:val="0"/>
          <w:sz w:val="24"/>
          <w:szCs w:val="24"/>
        </w:rPr>
        <w:t>：</w:t>
      </w:r>
      <w:r>
        <w:rPr>
          <w:rFonts w:eastAsia="黑体"/>
          <w:color w:val="000000"/>
          <w:kern w:val="0"/>
          <w:sz w:val="24"/>
          <w:szCs w:val="24"/>
        </w:rPr>
        <w:t>207-211</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lastRenderedPageBreak/>
        <w:t>[61]</w:t>
      </w:r>
      <w:r>
        <w:rPr>
          <w:rFonts w:eastAsia="黑体"/>
          <w:color w:val="000000"/>
          <w:kern w:val="0"/>
          <w:sz w:val="24"/>
          <w:szCs w:val="24"/>
        </w:rPr>
        <w:tab/>
      </w:r>
      <w:bookmarkStart w:id="156" w:name="_nebB2D34D78_ACDD_450A_A079_6A3ECE2F15D3"/>
      <w:r>
        <w:rPr>
          <w:color w:val="000000"/>
          <w:kern w:val="0"/>
          <w:sz w:val="24"/>
          <w:szCs w:val="24"/>
        </w:rPr>
        <w:t>周洪福．深覆盖宽河床多种复杂岩体作为重力坝建基岩体研究</w:t>
      </w:r>
      <w:r>
        <w:rPr>
          <w:rFonts w:eastAsia="黑体"/>
          <w:color w:val="000000"/>
          <w:kern w:val="0"/>
          <w:sz w:val="24"/>
          <w:szCs w:val="24"/>
        </w:rPr>
        <w:t>[D]</w:t>
      </w:r>
      <w:r>
        <w:rPr>
          <w:color w:val="000000"/>
          <w:kern w:val="0"/>
          <w:sz w:val="24"/>
          <w:szCs w:val="24"/>
        </w:rPr>
        <w:t>．成都理工大学</w:t>
      </w:r>
      <w:r>
        <w:rPr>
          <w:color w:val="000000"/>
          <w:kern w:val="0"/>
          <w:sz w:val="24"/>
          <w:szCs w:val="24"/>
        </w:rPr>
        <w:t>，</w:t>
      </w:r>
      <w:r>
        <w:rPr>
          <w:rFonts w:eastAsia="黑体"/>
          <w:color w:val="000000"/>
          <w:kern w:val="0"/>
          <w:sz w:val="24"/>
          <w:szCs w:val="24"/>
        </w:rPr>
        <w:t>2008</w:t>
      </w:r>
      <w:r>
        <w:rPr>
          <w:color w:val="000000"/>
          <w:kern w:val="0"/>
          <w:sz w:val="24"/>
          <w:szCs w:val="24"/>
        </w:rPr>
        <w:t>．</w:t>
      </w:r>
      <w:bookmarkEnd w:id="156"/>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[62]</w:t>
      </w:r>
      <w:r>
        <w:rPr>
          <w:rFonts w:eastAsia="黑体"/>
          <w:color w:val="000000"/>
          <w:kern w:val="0"/>
          <w:sz w:val="24"/>
          <w:szCs w:val="24"/>
        </w:rPr>
        <w:tab/>
      </w:r>
      <w:bookmarkStart w:id="157" w:name="_neb2101AF3D_B30D_4505_9AB5_9236D4ECDD38"/>
      <w:r>
        <w:rPr>
          <w:color w:val="000000"/>
          <w:kern w:val="0"/>
          <w:sz w:val="24"/>
          <w:szCs w:val="24"/>
        </w:rPr>
        <w:t>铁路部第二勘测设计院．</w:t>
      </w:r>
      <w:r>
        <w:rPr>
          <w:rFonts w:eastAsia="黑体"/>
          <w:color w:val="000000"/>
          <w:kern w:val="0"/>
          <w:sz w:val="24"/>
          <w:szCs w:val="24"/>
        </w:rPr>
        <w:t xml:space="preserve">TB 10003-2005 </w:t>
      </w:r>
      <w:r>
        <w:rPr>
          <w:color w:val="000000"/>
          <w:kern w:val="0"/>
          <w:sz w:val="24"/>
          <w:szCs w:val="24"/>
        </w:rPr>
        <w:t>铁路隧道设计规范</w:t>
      </w:r>
      <w:r>
        <w:rPr>
          <w:rFonts w:eastAsia="黑体"/>
          <w:color w:val="000000"/>
          <w:kern w:val="0"/>
          <w:sz w:val="24"/>
          <w:szCs w:val="24"/>
        </w:rPr>
        <w:t>[S]</w:t>
      </w:r>
      <w:r>
        <w:rPr>
          <w:color w:val="000000"/>
          <w:kern w:val="0"/>
          <w:sz w:val="24"/>
          <w:szCs w:val="24"/>
        </w:rPr>
        <w:t>．北京：中国铁道出版社，</w:t>
      </w:r>
      <w:r>
        <w:rPr>
          <w:rFonts w:eastAsia="黑体"/>
          <w:color w:val="000000"/>
          <w:kern w:val="0"/>
          <w:sz w:val="24"/>
          <w:szCs w:val="24"/>
        </w:rPr>
        <w:t>2005</w:t>
      </w:r>
      <w:r>
        <w:rPr>
          <w:color w:val="000000"/>
          <w:kern w:val="0"/>
          <w:sz w:val="24"/>
          <w:szCs w:val="24"/>
        </w:rPr>
        <w:t>．</w:t>
      </w:r>
      <w:bookmarkEnd w:id="157"/>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[63]</w:t>
      </w:r>
      <w:r>
        <w:rPr>
          <w:rFonts w:eastAsia="黑体"/>
          <w:color w:val="000000"/>
          <w:kern w:val="0"/>
          <w:sz w:val="24"/>
          <w:szCs w:val="24"/>
        </w:rPr>
        <w:tab/>
      </w:r>
      <w:bookmarkStart w:id="158" w:name="_nebB22FABD6_5C20_4758_815A_5CD25A150E73"/>
      <w:r>
        <w:rPr>
          <w:color w:val="000000"/>
          <w:kern w:val="0"/>
          <w:sz w:val="24"/>
          <w:szCs w:val="24"/>
        </w:rPr>
        <w:t>中国中铁隧道集团有限公司．铁路隧道超前地质预报技术指南</w:t>
      </w:r>
      <w:r>
        <w:rPr>
          <w:rFonts w:eastAsia="黑体"/>
          <w:color w:val="000000"/>
          <w:kern w:val="0"/>
          <w:sz w:val="24"/>
          <w:szCs w:val="24"/>
        </w:rPr>
        <w:t>[M]</w:t>
      </w:r>
      <w:r>
        <w:rPr>
          <w:color w:val="000000"/>
          <w:kern w:val="0"/>
          <w:sz w:val="24"/>
          <w:szCs w:val="24"/>
        </w:rPr>
        <w:t>．北京：中国铁道出版社，</w:t>
      </w:r>
      <w:r>
        <w:rPr>
          <w:rFonts w:eastAsia="黑体"/>
          <w:color w:val="000000"/>
          <w:kern w:val="0"/>
          <w:sz w:val="24"/>
          <w:szCs w:val="24"/>
        </w:rPr>
        <w:t>2008</w:t>
      </w:r>
      <w:r>
        <w:rPr>
          <w:color w:val="000000"/>
          <w:kern w:val="0"/>
          <w:sz w:val="24"/>
          <w:szCs w:val="24"/>
        </w:rPr>
        <w:t>．</w:t>
      </w:r>
      <w:bookmarkEnd w:id="158"/>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[64]</w:t>
      </w:r>
      <w:r>
        <w:rPr>
          <w:rFonts w:eastAsia="黑体"/>
          <w:color w:val="000000"/>
          <w:kern w:val="0"/>
          <w:sz w:val="24"/>
          <w:szCs w:val="24"/>
        </w:rPr>
        <w:tab/>
      </w:r>
      <w:r>
        <w:rPr>
          <w:color w:val="000000"/>
          <w:kern w:val="0"/>
          <w:sz w:val="24"/>
          <w:szCs w:val="24"/>
        </w:rPr>
        <w:t>中华人民共和国住房和城乡建设部．</w:t>
      </w:r>
      <w:r>
        <w:rPr>
          <w:rFonts w:eastAsia="黑体"/>
          <w:color w:val="000000"/>
          <w:kern w:val="0"/>
          <w:sz w:val="24"/>
          <w:szCs w:val="24"/>
        </w:rPr>
        <w:t xml:space="preserve">GB 50108-2008 </w:t>
      </w:r>
      <w:r>
        <w:rPr>
          <w:color w:val="000000"/>
          <w:kern w:val="0"/>
          <w:sz w:val="24"/>
          <w:szCs w:val="24"/>
        </w:rPr>
        <w:t>地下工程防水技术规范</w:t>
      </w:r>
      <w:r>
        <w:rPr>
          <w:rFonts w:eastAsia="黑体"/>
          <w:color w:val="000000"/>
          <w:kern w:val="0"/>
          <w:sz w:val="24"/>
          <w:szCs w:val="24"/>
        </w:rPr>
        <w:t>[S]</w:t>
      </w:r>
      <w:r>
        <w:rPr>
          <w:color w:val="000000"/>
          <w:kern w:val="0"/>
          <w:sz w:val="24"/>
          <w:szCs w:val="24"/>
        </w:rPr>
        <w:t>．北京：中国计划出版社，</w:t>
      </w:r>
      <w:r>
        <w:rPr>
          <w:rFonts w:eastAsia="黑体"/>
          <w:color w:val="000000"/>
          <w:kern w:val="0"/>
          <w:sz w:val="24"/>
          <w:szCs w:val="24"/>
        </w:rPr>
        <w:t>2008</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[65]</w:t>
      </w:r>
      <w:r>
        <w:rPr>
          <w:rFonts w:eastAsia="黑体"/>
          <w:color w:val="000000"/>
          <w:kern w:val="0"/>
          <w:sz w:val="24"/>
          <w:szCs w:val="24"/>
        </w:rPr>
        <w:tab/>
      </w:r>
      <w:r>
        <w:rPr>
          <w:color w:val="000000"/>
          <w:kern w:val="0"/>
          <w:sz w:val="24"/>
          <w:szCs w:val="24"/>
        </w:rPr>
        <w:t>闫凯旋，刘辉，潘岳，等．岩溶与采空区隧道涌水突泥区间概率风险响应研究</w:t>
      </w:r>
      <w:r>
        <w:rPr>
          <w:rFonts w:eastAsia="黑体"/>
          <w:color w:val="000000"/>
          <w:kern w:val="0"/>
          <w:sz w:val="24"/>
          <w:szCs w:val="24"/>
        </w:rPr>
        <w:t>[J]</w:t>
      </w:r>
      <w:r>
        <w:rPr>
          <w:color w:val="000000"/>
          <w:kern w:val="0"/>
          <w:sz w:val="24"/>
          <w:szCs w:val="24"/>
        </w:rPr>
        <w:t>．公路与汽运，</w:t>
      </w:r>
      <w:r>
        <w:rPr>
          <w:rFonts w:eastAsia="黑体"/>
          <w:color w:val="000000"/>
          <w:kern w:val="0"/>
          <w:sz w:val="24"/>
          <w:szCs w:val="24"/>
        </w:rPr>
        <w:t>2017(03)</w:t>
      </w:r>
      <w:r>
        <w:rPr>
          <w:color w:val="000000"/>
          <w:kern w:val="0"/>
          <w:sz w:val="24"/>
          <w:szCs w:val="24"/>
        </w:rPr>
        <w:t>：</w:t>
      </w:r>
      <w:r>
        <w:rPr>
          <w:rFonts w:eastAsia="黑体"/>
          <w:color w:val="000000"/>
          <w:kern w:val="0"/>
          <w:sz w:val="24"/>
          <w:szCs w:val="24"/>
        </w:rPr>
        <w:t>198-200</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[66]</w:t>
      </w:r>
      <w:r>
        <w:rPr>
          <w:rFonts w:eastAsia="黑体"/>
          <w:color w:val="000000"/>
          <w:kern w:val="0"/>
          <w:sz w:val="24"/>
          <w:szCs w:val="24"/>
        </w:rPr>
        <w:tab/>
      </w:r>
      <w:bookmarkStart w:id="159" w:name="_neb55470246_F378_422A_B6E2_8E71C18DDFC2"/>
      <w:r>
        <w:rPr>
          <w:color w:val="000000"/>
          <w:kern w:val="0"/>
          <w:sz w:val="24"/>
          <w:szCs w:val="24"/>
        </w:rPr>
        <w:t>谷建岭．高地应力软岩隧道大变形预测及防治研究</w:t>
      </w:r>
      <w:r>
        <w:rPr>
          <w:rFonts w:eastAsia="黑体"/>
          <w:color w:val="000000"/>
          <w:kern w:val="0"/>
          <w:sz w:val="24"/>
          <w:szCs w:val="24"/>
        </w:rPr>
        <w:t>[J]</w:t>
      </w:r>
      <w:r>
        <w:rPr>
          <w:color w:val="000000"/>
          <w:kern w:val="0"/>
          <w:sz w:val="24"/>
          <w:szCs w:val="24"/>
        </w:rPr>
        <w:t>．科协论坛</w:t>
      </w:r>
      <w:r>
        <w:rPr>
          <w:rFonts w:eastAsia="黑体"/>
          <w:color w:val="000000"/>
          <w:kern w:val="0"/>
          <w:sz w:val="24"/>
          <w:szCs w:val="24"/>
        </w:rPr>
        <w:t>(</w:t>
      </w:r>
      <w:r>
        <w:rPr>
          <w:color w:val="000000"/>
          <w:kern w:val="0"/>
          <w:sz w:val="24"/>
          <w:szCs w:val="24"/>
        </w:rPr>
        <w:t>下半月</w:t>
      </w:r>
      <w:r>
        <w:rPr>
          <w:rFonts w:eastAsia="黑体"/>
          <w:color w:val="000000"/>
          <w:kern w:val="0"/>
          <w:sz w:val="24"/>
          <w:szCs w:val="24"/>
        </w:rPr>
        <w:t>)</w:t>
      </w:r>
      <w:r>
        <w:rPr>
          <w:color w:val="000000"/>
          <w:kern w:val="0"/>
          <w:sz w:val="24"/>
          <w:szCs w:val="24"/>
        </w:rPr>
        <w:t>，</w:t>
      </w:r>
      <w:r>
        <w:rPr>
          <w:rFonts w:eastAsia="黑体"/>
          <w:color w:val="000000"/>
          <w:kern w:val="0"/>
          <w:sz w:val="24"/>
          <w:szCs w:val="24"/>
        </w:rPr>
        <w:t>2011(04)</w:t>
      </w:r>
      <w:r>
        <w:rPr>
          <w:color w:val="000000"/>
          <w:kern w:val="0"/>
          <w:sz w:val="24"/>
          <w:szCs w:val="24"/>
        </w:rPr>
        <w:t>：</w:t>
      </w:r>
      <w:r>
        <w:rPr>
          <w:rFonts w:eastAsia="黑体"/>
          <w:color w:val="000000"/>
          <w:kern w:val="0"/>
          <w:sz w:val="24"/>
          <w:szCs w:val="24"/>
        </w:rPr>
        <w:t>13-14</w:t>
      </w:r>
      <w:r>
        <w:rPr>
          <w:color w:val="000000"/>
          <w:kern w:val="0"/>
          <w:sz w:val="24"/>
          <w:szCs w:val="24"/>
        </w:rPr>
        <w:t>．</w:t>
      </w:r>
      <w:bookmarkEnd w:id="159"/>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[67]</w:t>
      </w:r>
      <w:r>
        <w:rPr>
          <w:rFonts w:eastAsia="黑体"/>
          <w:color w:val="000000"/>
          <w:kern w:val="0"/>
          <w:sz w:val="24"/>
          <w:szCs w:val="24"/>
        </w:rPr>
        <w:tab/>
      </w:r>
      <w:r>
        <w:rPr>
          <w:color w:val="000000"/>
          <w:kern w:val="0"/>
          <w:sz w:val="24"/>
          <w:szCs w:val="24"/>
        </w:rPr>
        <w:t>刘志春，朱永全，李文江，等．挤压性围岩隧道大变形机理及分级标准研究</w:t>
      </w:r>
      <w:r>
        <w:rPr>
          <w:rFonts w:eastAsia="黑体"/>
          <w:color w:val="000000"/>
          <w:kern w:val="0"/>
          <w:sz w:val="24"/>
          <w:szCs w:val="24"/>
        </w:rPr>
        <w:t>[J]</w:t>
      </w:r>
      <w:r>
        <w:rPr>
          <w:color w:val="000000"/>
          <w:kern w:val="0"/>
          <w:sz w:val="24"/>
          <w:szCs w:val="24"/>
        </w:rPr>
        <w:t>．岩土工程学报，</w:t>
      </w:r>
      <w:r>
        <w:rPr>
          <w:rFonts w:eastAsia="黑体"/>
          <w:color w:val="000000"/>
          <w:kern w:val="0"/>
          <w:sz w:val="24"/>
          <w:szCs w:val="24"/>
        </w:rPr>
        <w:t>2008(05)</w:t>
      </w:r>
      <w:r>
        <w:rPr>
          <w:color w:val="000000"/>
          <w:kern w:val="0"/>
          <w:sz w:val="24"/>
          <w:szCs w:val="24"/>
        </w:rPr>
        <w:t>：</w:t>
      </w:r>
      <w:r>
        <w:rPr>
          <w:rFonts w:eastAsia="黑体"/>
          <w:color w:val="000000"/>
          <w:kern w:val="0"/>
          <w:sz w:val="24"/>
          <w:szCs w:val="24"/>
        </w:rPr>
        <w:t>690-697</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[68]</w:t>
      </w:r>
      <w:r>
        <w:rPr>
          <w:rFonts w:eastAsia="黑体"/>
          <w:color w:val="000000"/>
          <w:kern w:val="0"/>
          <w:sz w:val="24"/>
          <w:szCs w:val="24"/>
        </w:rPr>
        <w:tab/>
      </w:r>
      <w:bookmarkStart w:id="160" w:name="_nebDC19744F_73FF_46B2_85D1_7AA87FA9EACD"/>
      <w:r>
        <w:rPr>
          <w:color w:val="000000"/>
          <w:kern w:val="0"/>
          <w:sz w:val="24"/>
          <w:szCs w:val="24"/>
        </w:rPr>
        <w:t>赵阶勇．铁路瓦斯隧道施工特点及问题探讨</w:t>
      </w:r>
      <w:r>
        <w:rPr>
          <w:rFonts w:eastAsia="黑体"/>
          <w:color w:val="000000"/>
          <w:kern w:val="0"/>
          <w:sz w:val="24"/>
          <w:szCs w:val="24"/>
        </w:rPr>
        <w:t>[J]</w:t>
      </w:r>
      <w:r>
        <w:rPr>
          <w:color w:val="000000"/>
          <w:kern w:val="0"/>
          <w:sz w:val="24"/>
          <w:szCs w:val="24"/>
        </w:rPr>
        <w:t>．隧道建设，</w:t>
      </w:r>
      <w:r>
        <w:rPr>
          <w:rFonts w:eastAsia="黑体"/>
          <w:color w:val="000000"/>
          <w:kern w:val="0"/>
          <w:sz w:val="24"/>
          <w:szCs w:val="24"/>
        </w:rPr>
        <w:t>2011</w:t>
      </w:r>
      <w:r>
        <w:rPr>
          <w:color w:val="000000"/>
          <w:kern w:val="0"/>
          <w:sz w:val="24"/>
          <w:szCs w:val="24"/>
        </w:rPr>
        <w:t>，</w:t>
      </w:r>
      <w:r>
        <w:rPr>
          <w:rFonts w:eastAsia="黑体"/>
          <w:color w:val="000000"/>
          <w:kern w:val="0"/>
          <w:sz w:val="24"/>
          <w:szCs w:val="24"/>
        </w:rPr>
        <w:t>31(1)</w:t>
      </w:r>
      <w:r>
        <w:rPr>
          <w:color w:val="000000"/>
          <w:kern w:val="0"/>
          <w:sz w:val="24"/>
          <w:szCs w:val="24"/>
        </w:rPr>
        <w:t>：</w:t>
      </w:r>
      <w:r>
        <w:rPr>
          <w:rFonts w:eastAsia="黑体"/>
          <w:color w:val="000000"/>
          <w:kern w:val="0"/>
          <w:sz w:val="24"/>
          <w:szCs w:val="24"/>
        </w:rPr>
        <w:t>82-87, 109</w:t>
      </w:r>
      <w:r>
        <w:rPr>
          <w:color w:val="000000"/>
          <w:kern w:val="0"/>
          <w:sz w:val="24"/>
          <w:szCs w:val="24"/>
        </w:rPr>
        <w:t>．</w:t>
      </w:r>
      <w:bookmarkEnd w:id="160"/>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[69]</w:t>
      </w:r>
      <w:r>
        <w:rPr>
          <w:rFonts w:eastAsia="黑体"/>
          <w:color w:val="000000"/>
          <w:kern w:val="0"/>
          <w:sz w:val="24"/>
          <w:szCs w:val="24"/>
        </w:rPr>
        <w:tab/>
      </w:r>
      <w:r>
        <w:rPr>
          <w:color w:val="000000"/>
          <w:kern w:val="0"/>
          <w:sz w:val="24"/>
          <w:szCs w:val="24"/>
        </w:rPr>
        <w:t>张传庆，卢景景，陈珺，等．岩爆倾向性指标及其相互关系探讨</w:t>
      </w:r>
      <w:r>
        <w:rPr>
          <w:rFonts w:eastAsia="黑体"/>
          <w:color w:val="000000"/>
          <w:kern w:val="0"/>
          <w:sz w:val="24"/>
          <w:szCs w:val="24"/>
        </w:rPr>
        <w:t>[J]</w:t>
      </w:r>
      <w:r>
        <w:rPr>
          <w:color w:val="000000"/>
          <w:kern w:val="0"/>
          <w:sz w:val="24"/>
          <w:szCs w:val="24"/>
        </w:rPr>
        <w:t>．岩土力学，</w:t>
      </w:r>
      <w:r>
        <w:rPr>
          <w:rFonts w:eastAsia="黑体"/>
          <w:color w:val="000000"/>
          <w:kern w:val="0"/>
          <w:sz w:val="24"/>
          <w:szCs w:val="24"/>
        </w:rPr>
        <w:t>2017</w:t>
      </w:r>
      <w:r>
        <w:rPr>
          <w:color w:val="000000"/>
          <w:kern w:val="0"/>
          <w:sz w:val="24"/>
          <w:szCs w:val="24"/>
        </w:rPr>
        <w:t>，</w:t>
      </w:r>
      <w:r>
        <w:rPr>
          <w:rFonts w:eastAsia="黑体"/>
          <w:color w:val="000000"/>
          <w:kern w:val="0"/>
          <w:sz w:val="24"/>
          <w:szCs w:val="24"/>
        </w:rPr>
        <w:t>38(05)</w:t>
      </w:r>
      <w:r>
        <w:rPr>
          <w:color w:val="000000"/>
          <w:kern w:val="0"/>
          <w:sz w:val="24"/>
          <w:szCs w:val="24"/>
        </w:rPr>
        <w:t>：</w:t>
      </w:r>
      <w:r>
        <w:rPr>
          <w:rFonts w:eastAsia="黑体"/>
          <w:color w:val="000000"/>
          <w:kern w:val="0"/>
          <w:sz w:val="24"/>
          <w:szCs w:val="24"/>
        </w:rPr>
        <w:t>1397-1404</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[70]</w:t>
      </w:r>
      <w:r>
        <w:rPr>
          <w:rFonts w:eastAsia="黑体"/>
          <w:color w:val="000000"/>
          <w:kern w:val="0"/>
          <w:sz w:val="24"/>
          <w:szCs w:val="24"/>
        </w:rPr>
        <w:tab/>
      </w:r>
      <w:r>
        <w:rPr>
          <w:color w:val="000000"/>
          <w:kern w:val="0"/>
          <w:sz w:val="24"/>
          <w:szCs w:val="24"/>
        </w:rPr>
        <w:t>陶振宇．高地应力区的</w:t>
      </w:r>
      <w:r>
        <w:rPr>
          <w:color w:val="000000"/>
          <w:kern w:val="0"/>
          <w:sz w:val="24"/>
          <w:szCs w:val="24"/>
        </w:rPr>
        <w:t>岩爆及其判别</w:t>
      </w:r>
      <w:r>
        <w:rPr>
          <w:rFonts w:eastAsia="黑体"/>
          <w:color w:val="000000"/>
          <w:kern w:val="0"/>
          <w:sz w:val="24"/>
          <w:szCs w:val="24"/>
        </w:rPr>
        <w:t>[J]</w:t>
      </w:r>
      <w:r>
        <w:rPr>
          <w:color w:val="000000"/>
          <w:kern w:val="0"/>
          <w:sz w:val="24"/>
          <w:szCs w:val="24"/>
        </w:rPr>
        <w:t>．人民长江，</w:t>
      </w:r>
      <w:r>
        <w:rPr>
          <w:rFonts w:eastAsia="黑体"/>
          <w:color w:val="000000"/>
          <w:kern w:val="0"/>
          <w:sz w:val="24"/>
          <w:szCs w:val="24"/>
        </w:rPr>
        <w:t>1987(05)</w:t>
      </w:r>
      <w:r>
        <w:rPr>
          <w:color w:val="000000"/>
          <w:kern w:val="0"/>
          <w:sz w:val="24"/>
          <w:szCs w:val="24"/>
        </w:rPr>
        <w:t>：</w:t>
      </w:r>
      <w:r>
        <w:rPr>
          <w:rFonts w:eastAsia="黑体"/>
          <w:color w:val="000000"/>
          <w:kern w:val="0"/>
          <w:sz w:val="24"/>
          <w:szCs w:val="24"/>
        </w:rPr>
        <w:t>25-32</w:t>
      </w:r>
      <w:r>
        <w:rPr>
          <w:color w:val="000000"/>
          <w:kern w:val="0"/>
          <w:sz w:val="24"/>
          <w:szCs w:val="24"/>
        </w:rPr>
        <w:t>．</w:t>
      </w:r>
    </w:p>
    <w:p w:rsidR="0073700B" w:rsidRDefault="001A2FFC" w:rsidP="00F80BAC">
      <w:pPr>
        <w:autoSpaceDE w:val="0"/>
        <w:autoSpaceDN w:val="0"/>
        <w:adjustRightInd w:val="0"/>
        <w:spacing w:beforeLines="50" w:before="156" w:line="360" w:lineRule="auto"/>
        <w:ind w:left="560" w:hanging="560"/>
        <w:rPr>
          <w:rFonts w:eastAsia="黑体"/>
          <w:kern w:val="0"/>
          <w:sz w:val="24"/>
          <w:szCs w:val="24"/>
        </w:rPr>
      </w:pPr>
      <w:r>
        <w:rPr>
          <w:rFonts w:eastAsia="黑体"/>
          <w:color w:val="000000"/>
          <w:kern w:val="0"/>
          <w:sz w:val="24"/>
          <w:szCs w:val="24"/>
        </w:rPr>
        <w:t>[71]</w:t>
      </w:r>
      <w:r>
        <w:rPr>
          <w:rFonts w:eastAsia="黑体"/>
          <w:color w:val="000000"/>
          <w:kern w:val="0"/>
          <w:sz w:val="24"/>
          <w:szCs w:val="24"/>
        </w:rPr>
        <w:tab/>
      </w:r>
      <w:r>
        <w:rPr>
          <w:color w:val="000000"/>
          <w:kern w:val="0"/>
          <w:sz w:val="24"/>
          <w:szCs w:val="24"/>
        </w:rPr>
        <w:t>国家能源局．</w:t>
      </w:r>
      <w:r>
        <w:rPr>
          <w:rFonts w:eastAsia="黑体"/>
          <w:color w:val="000000"/>
          <w:kern w:val="0"/>
          <w:sz w:val="24"/>
          <w:szCs w:val="24"/>
        </w:rPr>
        <w:t xml:space="preserve">NB/T 10143-2019 </w:t>
      </w:r>
      <w:r>
        <w:rPr>
          <w:color w:val="000000"/>
          <w:kern w:val="0"/>
          <w:sz w:val="24"/>
          <w:szCs w:val="24"/>
        </w:rPr>
        <w:t>水电工程岩爆风险评估技术规范</w:t>
      </w:r>
      <w:r>
        <w:rPr>
          <w:rFonts w:eastAsia="黑体"/>
          <w:color w:val="000000"/>
          <w:kern w:val="0"/>
          <w:sz w:val="24"/>
          <w:szCs w:val="24"/>
        </w:rPr>
        <w:t>[S]</w:t>
      </w:r>
      <w:r>
        <w:rPr>
          <w:color w:val="000000"/>
          <w:kern w:val="0"/>
          <w:sz w:val="24"/>
          <w:szCs w:val="24"/>
        </w:rPr>
        <w:t>．北京：北京：中国水利水电出版社，</w:t>
      </w:r>
      <w:r>
        <w:rPr>
          <w:rFonts w:eastAsia="黑体"/>
          <w:color w:val="000000"/>
          <w:kern w:val="0"/>
          <w:sz w:val="24"/>
          <w:szCs w:val="24"/>
        </w:rPr>
        <w:t>2019</w:t>
      </w:r>
      <w:r>
        <w:rPr>
          <w:color w:val="000000"/>
          <w:kern w:val="0"/>
          <w:sz w:val="24"/>
          <w:szCs w:val="24"/>
        </w:rPr>
        <w:t>．</w:t>
      </w:r>
    </w:p>
    <w:p w:rsidR="0073700B" w:rsidRDefault="001A2FFC" w:rsidP="00F80BAC">
      <w:pPr>
        <w:autoSpaceDE w:val="0"/>
        <w:autoSpaceDN w:val="0"/>
        <w:adjustRightInd w:val="0"/>
        <w:spacing w:beforeLines="50" w:before="156" w:line="360" w:lineRule="auto"/>
        <w:jc w:val="left"/>
        <w:rPr>
          <w:bCs/>
          <w:szCs w:val="20"/>
        </w:rPr>
      </w:pPr>
      <w:r>
        <w:rPr>
          <w:bCs/>
          <w:szCs w:val="20"/>
        </w:rPr>
        <w:fldChar w:fldCharType="end"/>
      </w:r>
    </w:p>
    <w:bookmarkEnd w:id="117"/>
    <w:p w:rsidR="0073700B" w:rsidRDefault="0073700B">
      <w:pPr>
        <w:spacing w:line="360" w:lineRule="auto"/>
        <w:ind w:firstLineChars="200" w:firstLine="480"/>
        <w:rPr>
          <w:bCs/>
          <w:sz w:val="24"/>
          <w:szCs w:val="20"/>
        </w:rPr>
      </w:pPr>
    </w:p>
    <w:p w:rsidR="0073700B" w:rsidRDefault="0073700B">
      <w:pPr>
        <w:spacing w:line="360" w:lineRule="auto"/>
        <w:ind w:firstLineChars="200" w:firstLine="480"/>
        <w:rPr>
          <w:bCs/>
          <w:sz w:val="24"/>
          <w:szCs w:val="20"/>
        </w:rPr>
      </w:pPr>
    </w:p>
    <w:sectPr w:rsidR="0073700B">
      <w:footerReference w:type="default" r:id="rId91"/>
      <w:pgSz w:w="11906" w:h="16838"/>
      <w:pgMar w:top="1588" w:right="1814" w:bottom="1588" w:left="181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FC" w:rsidRDefault="001A2FFC">
      <w:r>
        <w:separator/>
      </w:r>
    </w:p>
  </w:endnote>
  <w:endnote w:type="continuationSeparator" w:id="0">
    <w:p w:rsidR="001A2FFC" w:rsidRDefault="001A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微软雅黑"/>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0B" w:rsidRDefault="001A2FFC">
    <w:pPr>
      <w:pStyle w:val="ac"/>
      <w:jc w:val="center"/>
    </w:pPr>
    <w:r>
      <w:fldChar w:fldCharType="begin"/>
    </w:r>
    <w:r>
      <w:instrText xml:space="preserve"> PAGE   \* MERGEFORMAT </w:instrText>
    </w:r>
    <w:r>
      <w:fldChar w:fldCharType="separate"/>
    </w:r>
    <w:r w:rsidR="00F80BAC" w:rsidRPr="00F80BAC">
      <w:rPr>
        <w:noProof/>
        <w:lang w:val="zh-CN"/>
      </w:rPr>
      <w:t>92</w:t>
    </w:r>
    <w:r>
      <w:fldChar w:fldCharType="end"/>
    </w:r>
  </w:p>
  <w:p w:rsidR="0073700B" w:rsidRDefault="007370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FC" w:rsidRDefault="001A2FFC">
      <w:r>
        <w:separator/>
      </w:r>
    </w:p>
  </w:footnote>
  <w:footnote w:type="continuationSeparator" w:id="0">
    <w:p w:rsidR="001A2FFC" w:rsidRDefault="001A2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decimal"/>
      <w:pStyle w:val="a"/>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1"/>
      <w:suff w:val="nothing"/>
      <w:lvlText w:val="%1.%2.%3　"/>
      <w:lvlJc w:val="left"/>
      <w:pPr>
        <w:ind w:left="525"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74B80148"/>
    <w:multiLevelType w:val="multilevel"/>
    <w:tmpl w:val="74B80148"/>
    <w:lvl w:ilvl="0">
      <w:start w:val="1"/>
      <w:numFmt w:val="decimal"/>
      <w:pStyle w:val="3"/>
      <w:suff w:val="nothing"/>
      <w:lvlText w:val="%1"/>
      <w:lvlJc w:val="left"/>
      <w:pPr>
        <w:ind w:left="1559" w:firstLine="0"/>
      </w:pPr>
      <w:rPr>
        <w:rFonts w:hint="eastAsia"/>
      </w:rPr>
    </w:lvl>
    <w:lvl w:ilvl="1">
      <w:start w:val="1"/>
      <w:numFmt w:val="decimal"/>
      <w:lvlText w:val="%1.%2"/>
      <w:lvlJc w:val="left"/>
      <w:pPr>
        <w:ind w:left="1275" w:hanging="567"/>
      </w:pPr>
      <w:rPr>
        <w:rFonts w:hint="eastAsia"/>
      </w:rPr>
    </w:lvl>
    <w:lvl w:ilvl="2">
      <w:start w:val="1"/>
      <w:numFmt w:val="decimal"/>
      <w:lvlText w:val="%1.%2.%3"/>
      <w:lvlJc w:val="left"/>
      <w:pPr>
        <w:ind w:left="1701" w:hanging="567"/>
      </w:pPr>
      <w:rPr>
        <w:rFonts w:hint="eastAsia"/>
      </w:rPr>
    </w:lvl>
    <w:lvl w:ilvl="3">
      <w:start w:val="1"/>
      <w:numFmt w:val="decimal"/>
      <w:lvlText w:val="%1.%2.%3.%4"/>
      <w:lvlJc w:val="left"/>
      <w:pPr>
        <w:ind w:left="2267" w:hanging="708"/>
      </w:pPr>
      <w:rPr>
        <w:rFonts w:hint="eastAsia"/>
      </w:rPr>
    </w:lvl>
    <w:lvl w:ilvl="4">
      <w:start w:val="1"/>
      <w:numFmt w:val="decimal"/>
      <w:lvlText w:val="%1.%2.%3.%4.%5"/>
      <w:lvlJc w:val="left"/>
      <w:pPr>
        <w:ind w:left="2834" w:hanging="850"/>
      </w:pPr>
      <w:rPr>
        <w:rFonts w:hint="eastAsia"/>
      </w:rPr>
    </w:lvl>
    <w:lvl w:ilvl="5">
      <w:start w:val="1"/>
      <w:numFmt w:val="decimal"/>
      <w:lvlText w:val="%1.%2.%3.%4.%5.%6"/>
      <w:lvlJc w:val="left"/>
      <w:pPr>
        <w:ind w:left="3543" w:hanging="1134"/>
      </w:pPr>
      <w:rPr>
        <w:rFonts w:hint="eastAsia"/>
      </w:rPr>
    </w:lvl>
    <w:lvl w:ilvl="6">
      <w:start w:val="1"/>
      <w:numFmt w:val="decimal"/>
      <w:lvlText w:val="%1.%2.%3.%4.%5.%6.%7"/>
      <w:lvlJc w:val="left"/>
      <w:pPr>
        <w:ind w:left="4110" w:hanging="1276"/>
      </w:pPr>
      <w:rPr>
        <w:rFonts w:hint="eastAsia"/>
      </w:rPr>
    </w:lvl>
    <w:lvl w:ilvl="7">
      <w:start w:val="1"/>
      <w:numFmt w:val="decimal"/>
      <w:lvlText w:val="%1.%2.%3.%4.%5.%6.%7.%8"/>
      <w:lvlJc w:val="left"/>
      <w:pPr>
        <w:ind w:left="4677" w:hanging="1418"/>
      </w:pPr>
      <w:rPr>
        <w:rFonts w:hint="eastAsia"/>
      </w:rPr>
    </w:lvl>
    <w:lvl w:ilvl="8">
      <w:start w:val="1"/>
      <w:numFmt w:val="decimal"/>
      <w:lvlText w:val="%1.%2.%3.%4.%5.%6.%7.%8.%9"/>
      <w:lvlJc w:val="left"/>
      <w:pPr>
        <w:ind w:left="5385" w:hanging="1700"/>
      </w:pPr>
      <w:rPr>
        <w:rFonts w:hint="eastAsia"/>
      </w:r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NE.Ref{05E09D17-DB5E-4E0F-A122-738CA3933E2F}" w:val=" ADDIN NE.Ref.{05E09D17-DB5E-4E0F-A122-738CA3933E2F}&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067F250F-33CC-4BCA-8334-EC71BF0E09B0}" w:val=" ADDIN NE.Ref.{067F250F-33CC-4BCA-8334-EC71BF0E09B0}&lt;Citation&gt;&lt;Group&gt;&lt;References&gt;&lt;Item&gt;&lt;ID&gt;52&lt;/ID&gt;&lt;UID&gt;{186C33C3-95BB-472F-B0C5-D1BCCB29B45D}&lt;/UID&gt;&lt;Title&gt;生产安全事故报告和调查处理条例&lt;/Title&gt;&lt;Template&gt;Book&lt;/Template&gt;&lt;Star&gt;0&lt;/Star&gt;&lt;Tag&gt;0&lt;/Tag&gt;&lt;Author&gt;国务院法制办公室编&lt;/Author&gt;&lt;Year&gt;2007&lt;/Year&gt;&lt;Details&gt;&lt;_created&gt;63061796&lt;/_created&gt;&lt;_modified&gt;63061796&lt;/_modified&gt;&lt;_publisher&gt;北京：中国法制出版社&lt;/_publisher&gt;&lt;_translated_author&gt;Guo, Wuyuanfazhibangongshibian&lt;/_translated_author&gt;&lt;/Details&gt;&lt;Extra&gt;&lt;DBUID&gt;{13BA3B49-12A1-4736-B8CB-B11B0D6D35A8}&lt;/DBUID&gt;&lt;/Extra&gt;&lt;/Item&gt;&lt;/References&gt;&lt;/Group&gt;&lt;/Citation&gt;_x000a_"/>
    <w:docVar w:name="NE.Ref{0779BB41-CFB0-4E81-8CD1-4303E1C2DF8B}" w:val=" ADDIN NE.Ref.{0779BB41-CFB0-4E81-8CD1-4303E1C2DF8B}&lt;Citation&gt;&lt;Group&gt;&lt;References&gt;&lt;Item&gt;&lt;ID&gt;48&lt;/ID&gt;&lt;UID&gt;{C05622A5-A03C-4E08-8547-243359D8A72F}&lt;/UID&gt;&lt;Title&gt;公路工程质量检验评定标准 第1册 土建工程 JTG F80/1-2017&lt;/Title&gt;&lt;Template&gt;Standard&lt;/Template&gt;&lt;Star&gt;0&lt;/Star&gt;&lt;Tag&gt;0&lt;/Tag&gt;&lt;Author&gt;交通运输部公路科学研究院&lt;/Author&gt;&lt;Year&gt;2017&lt;/Year&gt;&lt;Details&gt;&lt;_created&gt;63061788&lt;/_created&gt;&lt;_modified&gt;63061858&lt;/_modified&gt;&lt;_publisher&gt;北京：人民交通出版社&lt;/_publisher&gt;&lt;_translated_author&gt;Jiao, Tongyunshubugonglukexueyanjiuyuan&lt;/_translated_author&gt;&lt;/Details&gt;&lt;Extra&gt;&lt;DBUID&gt;{13BA3B49-12A1-4736-B8CB-B11B0D6D35A8}&lt;/DBUID&gt;&lt;/Extra&gt;&lt;/Item&gt;&lt;/References&gt;&lt;/Group&gt;&lt;/Citation&gt;_x000a_"/>
    <w:docVar w:name="NE.Ref{0A400C96-0754-4CB9-9134-EB3315CFA47F}" w:val=" ADDIN NE.Ref.{0A400C96-0754-4CB9-9134-EB3315CFA47F}&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0CF05B0C-C152-446E-B9E4-38F533E028AE}" w:val=" ADDIN NE.Ref.{0CF05B0C-C152-446E-B9E4-38F533E028AE}&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0E3B261B-7ACF-4927-B310-5E4CD62150E8}" w:val=" ADDIN NE.Ref.{0E3B261B-7ACF-4927-B310-5E4CD62150E8}&lt;Citation&gt;&lt;Group&gt;&lt;References&gt;&lt;Item&gt;&lt;ID&gt;2&lt;/ID&gt;&lt;UID&gt;{B42A2E72-8544-4405-8EE2-8E6CAADAA5D6}&lt;/UID&gt;&lt;Title&gt;公路隧道施工总体风险评估方法优化研究&lt;/Title&gt;&lt;Template&gt;Journal Article&lt;/Template&gt;&lt;Star&gt;0&lt;/Star&gt;&lt;Tag&gt;0&lt;/Tag&gt;&lt;Author&gt;林志; 李洪建; 李真真&lt;/Author&gt;&lt;Year&gt;2017&lt;/Year&gt;&lt;Details&gt;&lt;_accessed&gt;63058515&lt;/_accessed&gt;&lt;_author_adr&gt;重庆交通大学; 重庆交通大学; 重庆交通大学&lt;/_author_adr&gt;&lt;_author_aff&gt;重庆交通大学; 重庆交通大学; 重庆交通大学&lt;/_author_aff&gt;&lt;_created&gt;63058514&lt;/_created&gt;&lt;_db_provider&gt;北京万方数据股份有限公司&lt;/_db_provider&gt;&lt;_db_updated&gt;Wanfangdata&lt;/_db_updated&gt;&lt;_doi&gt;10.13402/j.gcjs.2017.08.004&lt;/_doi&gt;&lt;_isbn&gt;1673-8993&lt;/_isbn&gt;&lt;_issue&gt;8&lt;/_issue&gt;&lt;_journal&gt;工程建设&lt;/_journal&gt;&lt;_keywords&gt;公路隧道; 施工风险; 风险评估; 指标体系法; 专家调查法&lt;/_keywords&gt;&lt;_language&gt;chi&lt;/_language&gt;&lt;_modified&gt;63058515&lt;/_modified&gt;&lt;_pages&gt;16-20&lt;/_pages&gt;&lt;_tertiary_title&gt;Engineering Construction&lt;/_tertiary_title&gt;&lt;_translated_author&gt;Zhi, Lin; Hongjian, Li; Zhenzhen, Li&lt;/_translated_author&gt;&lt;_translated_title&gt;Research of optimization of the overall risk assessment in highway tunnel construction&lt;/_translated_title&gt;&lt;_url&gt;http://www.wanfangdata.com.cn/details/detail.do?_type=perio&amp;amp;id=yjkssjyjs201708004&lt;/_url&gt;&lt;_volume&gt;49&lt;/_volume&gt;&lt;/Details&gt;&lt;Extra&gt;&lt;DBUID&gt;{13BA3B49-12A1-4736-B8CB-B11B0D6D35A8}&lt;/DBUID&gt;&lt;/Extra&gt;&lt;/Item&gt;&lt;/References&gt;&lt;/Group&gt;&lt;/Citation&gt;_x000a_"/>
    <w:docVar w:name="NE.Ref{0EAB5004-35D1-4600-BFE2-EE8338DFD333}" w:val=" ADDIN NE.Ref.{0EAB5004-35D1-4600-BFE2-EE8338DFD333}&lt;Citation&gt;&lt;Group&gt;&lt;References&gt;&lt;Item&gt;&lt;ID&gt;59&lt;/ID&gt;&lt;UID&gt;{7463273C-3187-4AF1-88DD-43058A12AFD0}&lt;/UID&gt;&lt;Title&gt;水力发电工程地质勘察规范&lt;/Title&gt;&lt;Template&gt;Standard&lt;/Template&gt;&lt;Star&gt;1&lt;/Star&gt;&lt;Tag&gt;0&lt;/Tag&gt;&lt;Author&gt;中华人民共和国住房和城乡建设部&lt;/Author&gt;&lt;Year&gt;2016&lt;/Year&gt;&lt;Details&gt;&lt;_pages&gt;255&lt;/_pages&gt;&lt;_secondary_title&gt;GB 50287-2016&lt;/_secondary_title&gt;&lt;_translated_title&gt;Code for hydropower engineering geological investigation&lt;/_translated_title&gt;&lt;_url&gt;http://www.wanfangdata.com.cn/details/detail.do?_type=standards&amp;amp;id=GB 50287-2016&lt;/_url&gt;&lt;_created&gt;63061817&lt;/_created&gt;&lt;_modified&gt;63061868&lt;/_modified&gt;&lt;_accessed&gt;63061817&lt;/_accessed&gt;&lt;_publisher&gt;中国计划出版社&lt;/_publisher&gt;&lt;_translated_author&gt;Zhong, Huarenmingongheguozhufanghechengxiangjianshebu&lt;/_translated_author&gt;&lt;/Details&gt;&lt;Extra&gt;&lt;DBUID&gt;{13BA3B49-12A1-4736-B8CB-B11B0D6D35A8}&lt;/DBUID&gt;&lt;/Extra&gt;&lt;/Item&gt;&lt;/References&gt;&lt;/Group&gt;&lt;/Citation&gt;_x000a_"/>
    <w:docVar w:name="NE.Ref{0F6E5BE9-39B3-47F6-98CD-1669802E64DB}" w:val=" ADDIN NE.Ref.{0F6E5BE9-39B3-47F6-98CD-1669802E64DB}&lt;Citation&gt;&lt;Group&gt;&lt;References&gt;&lt;Item&gt;&lt;ID&gt;175&lt;/ID&gt;&lt;UID&gt;{2F9A5CA2-A7E3-44C0-98CA-8B8E87009180}&lt;/UID&gt;&lt;Title&gt;铁路隧道风险评估与管理暂行规定&lt;/Title&gt;&lt;Template&gt;Book&lt;/Template&gt;&lt;Star&gt;0&lt;/Star&gt;&lt;Tag&gt;0&lt;/Tag&gt;&lt;Author&gt;中国中铁二院工程集团有限公司主编&lt;/Author&gt;&lt;Year&gt;2008&lt;/Year&gt;&lt;Details&gt;&lt;_accessed&gt;63038403&lt;/_accessed&gt;&lt;_created&gt;63035370&lt;/_created&gt;&lt;_modified&gt;63038403&lt;/_modified&gt;&lt;_publisher&gt;北京：中国铁道出版社&lt;/_publisher&gt;&lt;_translated_author&gt;Zhong, Guozhongtie&amp;apos;eryuangongchengjituanyouxiangongsizhubian&lt;/_translated_author&gt;&lt;/Details&gt;&lt;Extra&gt;&lt;DBUID&gt;{C5464CEE-9149-4B7D-84D8-26EAAD582844}&lt;/DBUID&gt;&lt;/Extra&gt;&lt;/Item&gt;&lt;/References&gt;&lt;/Group&gt;&lt;/Citation&gt;_x000a_"/>
    <w:docVar w:name="NE.Ref{101398BF-067B-424B-AB7E-B27FFB817769}" w:val=" ADDIN NE.Ref.{101398BF-067B-424B-AB7E-B27FFB817769}&lt;Citation&gt;&lt;Group&gt;&lt;References&gt;&lt;Item&gt;&lt;ID&gt;85&lt;/ID&gt;&lt;UID&gt;{6B1526D0-9DD9-4371-9790-0CA54E1F977D}&lt;/UID&gt;&lt;Title&gt;公路隧道设计规范 第一册 土建工程&lt;/Title&gt;&lt;Template&gt;Standard&lt;/Template&gt;&lt;Star&gt;0&lt;/Star&gt;&lt;Tag&gt;0&lt;/Tag&gt;&lt;Author&gt;中华人民共和国交通运输部&lt;/Author&gt;&lt;Year&gt;2018&lt;/Year&gt;&lt;Details&gt;&lt;_secondary_title&gt;JTG 3370.1-2018&lt;/_secondary_title&gt;&lt;_publisher&gt;人民交通出版社&lt;/_publisher&gt;&lt;_accessed&gt;63124722&lt;/_accessed&gt;&lt;_created&gt;63124719&lt;/_created&gt;&lt;_modified&gt;63124722&lt;/_modified&gt;&lt;_place_published&gt;北京&lt;/_place_published&gt;&lt;_date_display&gt;2018年12月25日&lt;/_date_display&gt;&lt;_translated_author&gt;Zhong, Huarenmingongheguojiaotongyunshubu&lt;/_translated_author&gt;&lt;/Details&gt;&lt;Extra&gt;&lt;DBUID&gt;{13BA3B49-12A1-4736-B8CB-B11B0D6D35A8}&lt;/DBUID&gt;&lt;/Extra&gt;&lt;/Item&gt;&lt;/References&gt;&lt;/Group&gt;&lt;/Citation&gt;_x000a_"/>
    <w:docVar w:name="NE.Ref{114DFBFE-51AF-427D-96B3-FA5B0073C3E0}" w:val=" ADDIN NE.Ref.{114DFBFE-51AF-427D-96B3-FA5B0073C3E0}&lt;Citation&gt;&lt;Group&gt;&lt;References&gt;&lt;Item&gt;&lt;ID&gt;86&lt;/ID&gt;&lt;UID&gt;{9F132934-FE1E-47E7-AB9E-CBF852EFE81F}&lt;/UID&gt;&lt;Title&gt;铁路瓦斯隧道技术规范&lt;/Title&gt;&lt;Template&gt;Standard&lt;/Template&gt;&lt;Star&gt;0&lt;/Star&gt;&lt;Tag&gt;0&lt;/Tag&gt;&lt;Author&gt;国家铁路局&lt;/Author&gt;&lt;Year&gt;2019&lt;/Year&gt;&lt;Details&gt;&lt;_secondary_title&gt;TB 10120-2019&lt;/_secondary_title&gt;&lt;_place_published&gt;北京&lt;/_place_published&gt;&lt;_publisher&gt;中国铁道出版社&lt;/_publisher&gt;&lt;_accessed&gt;63124739&lt;/_accessed&gt;&lt;_created&gt;63124739&lt;/_created&gt;&lt;_modified&gt;63124739&lt;/_modified&gt;&lt;_translated_author&gt;Guo, Jiatieluju&lt;/_translated_author&gt;&lt;/Details&gt;&lt;Extra&gt;&lt;DBUID&gt;{13BA3B49-12A1-4736-B8CB-B11B0D6D35A8}&lt;/DBUID&gt;&lt;/Extra&gt;&lt;/Item&gt;&lt;/References&gt;&lt;/Group&gt;&lt;/Citation&gt;_x000a_"/>
    <w:docVar w:name="NE.Ref{11BB96CE-0A86-4868-837A-F9965DA2F0B3}" w:val=" ADDIN NE.Ref.{11BB96CE-0A86-4868-837A-F9965DA2F0B3}&lt;Citation&gt;&lt;Group&gt;&lt;References&gt;&lt;Item&gt;&lt;ID&gt;53&lt;/ID&gt;&lt;UID&gt;{33C5B9A0-DB5C-4519-A79C-C07ACA7084FC}&lt;/UID&gt;&lt;Title&gt;公路隧道设计规范&lt;/Title&gt;&lt;Template&gt;Standard&lt;/Template&gt;&lt;Star&gt;0&lt;/Star&gt;&lt;Tag&gt;0&lt;/Tag&gt;&lt;Author&gt;重庆交通科研设计院主编&lt;/Author&gt;&lt;Year&gt;2004&lt;/Year&gt;&lt;Details&gt;&lt;_created&gt;63061797&lt;/_created&gt;&lt;_modified&gt;63061867&lt;/_modified&gt;&lt;_publisher&gt;北京：人民交通出版社&lt;/_publisher&gt;&lt;_secondary_title&gt;JTG D70—2004&lt;/_secondary_title&gt;&lt;_translated_author&gt;Zhong, Qingjiaotongkeyanshejiyuanzhubian&lt;/_translated_author&gt;&lt;/Details&gt;&lt;Extra&gt;&lt;DBUID&gt;{13BA3B49-12A1-4736-B8CB-B11B0D6D35A8}&lt;/DBUID&gt;&lt;/Extra&gt;&lt;/Item&gt;&lt;/References&gt;&lt;/Group&gt;&lt;/Citation&gt;_x000a_"/>
    <w:docVar w:name="NE.Ref{11D650D2-09E5-4F71-B0CA-DB74F04E78B1}" w:val=" ADDIN NE.Ref.{11D650D2-09E5-4F71-B0CA-DB74F04E78B1}&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125B60AA-BB71-4C1E-AD32-15019616EC68}" w:val=" ADDIN NE.Ref.{125B60AA-BB71-4C1E-AD32-15019616EC68}&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12CB01DD-80C4-4AE7-9A75-3EBA9199D5C6}" w:val=" ADDIN NE.Ref.{12CB01DD-80C4-4AE7-9A75-3EBA9199D5C6}&lt;Citation&gt;&lt;Group&gt;&lt;References&gt;&lt;Item&gt;&lt;ID&gt;16&lt;/ID&gt;&lt;UID&gt;{EA1CF683-8586-444E-9C02-EA67E18A0D38}&lt;/UID&gt;&lt;Title&gt;基于模糊评判法的隧道洞口段施工安全风险评价分析&lt;/Title&gt;&lt;Template&gt;Journal Article&lt;/Template&gt;&lt;Star&gt;0&lt;/Star&gt;&lt;Tag&gt;0&lt;/Tag&gt;&lt;Author&gt;潘勇刚; 刘胜; 雷赛男&lt;/Author&gt;&lt;Year&gt;2016&lt;/Year&gt;&lt;Details&gt;&lt;_accessed&gt;63061772&lt;/_accessed&gt;&lt;_author_adr&gt;长沙轨道交通集团有限公司; 湖南省交通科学研究院; 长沙轨道交通集团有限公司&lt;/_author_adr&gt;&lt;_author_aff&gt;长沙轨道交通集团有限公司; 湖南省交通科学研究院; 长沙轨道交通集团有限公司&lt;/_author_aff&gt;&lt;_created&gt;63061772&lt;/_created&gt;&lt;_db_provider&gt;北京万方数据股份有限公司&lt;/_db_provider&gt;&lt;_db_updated&gt;Wanfangdata&lt;/_db_updated&gt;&lt;_isbn&gt;1006-7973&lt;/_isbn&gt;&lt;_issue&gt;9&lt;/_issue&gt;&lt;_journal&gt;中国水运（下半月）&lt;/_journal&gt;&lt;_keywords&gt;隧道工程; 边坡稳定性; 隧道施工; 风险评价&lt;/_keywords&gt;&lt;_language&gt;chi&lt;/_language&gt;&lt;_modified&gt;63061772&lt;/_modified&gt;&lt;_pages&gt;198-200&lt;/_pages&gt;&lt;_tertiary_title&gt;China Water Transport&lt;/_tertiary_title&gt;&lt;_url&gt;http://www.wanfangdata.com.cn/details/detail.do?_type=perio&amp;amp;id=zgsy-xby201609074&lt;/_url&gt;&lt;_volume&gt;16&lt;/_volume&gt;&lt;_translated_author&gt;Pan, Yonggang;Liu, Sheng;Lei, Sainan&lt;/_translated_author&gt;&lt;/Details&gt;&lt;Extra&gt;&lt;DBUID&gt;{13BA3B49-12A1-4736-B8CB-B11B0D6D35A8}&lt;/DBUID&gt;&lt;/Extra&gt;&lt;/Item&gt;&lt;/References&gt;&lt;/Group&gt;&lt;Group&gt;&lt;References&gt;&lt;Item&gt;&lt;ID&gt;17&lt;/ID&gt;&lt;UID&gt;{542A8E88-B3C8-4EA7-9635-FDDF8DBF51FE}&lt;/UID&gt;&lt;Title&gt;山岭隧道洞口稳定性分析及失稳风险评估&lt;/Title&gt;&lt;Template&gt;Journal Article&lt;/Template&gt;&lt;Star&gt;0&lt;/Star&gt;&lt;Tag&gt;0&lt;/Tag&gt;&lt;Author&gt;陈蔚&lt;/Author&gt;&lt;Year&gt;2012&lt;/Year&gt;&lt;Details&gt;&lt;_accessed&gt;63061772&lt;/_accessed&gt;&lt;_author_aff&gt;上海同岩土木工程科技有限公司;&lt;/_author_aff&gt;&lt;_created&gt;63061772&lt;/_created&gt;&lt;_date&gt;59119200&lt;/_date&gt;&lt;_db_provider&gt;CNKI: 期刊&lt;/_db_provider&gt;&lt;_db_updated&gt;CNKI - Reference&lt;/_db_updated&gt;&lt;_issue&gt;05&lt;/_issue&gt;&lt;_journal&gt;低温建筑技术&lt;/_journal&gt;&lt;_keywords&gt;隧道工程;洞口失稳;风险分析;防治措施&lt;/_keywords&gt;&lt;_language&gt;Chinese&lt;/_language&gt;&lt;_modified&gt;63061772&lt;/_modified&gt;&lt;_pages&gt;108-110&lt;/_pages&gt;&lt;_url&gt;http://kns.cnki.net/KCMS/detail/detail.aspx?FileName=DRAW201205048&amp;amp;DbName=CJFQ2012&lt;/_url&gt;&lt;_volume&gt;34&lt;/_volume&gt;&lt;_translated_author&gt;Chen, Yu&lt;/_translated_author&gt;&lt;/Details&gt;&lt;Extra&gt;&lt;DBUID&gt;{13BA3B49-12A1-4736-B8CB-B11B0D6D35A8}&lt;/DBUID&gt;&lt;/Extra&gt;&lt;/Item&gt;&lt;/References&gt;&lt;/Group&gt;&lt;/Citation&gt;_x000a_"/>
    <w:docVar w:name="NE.Ref{12CFE79E-32E2-4BC6-9E96-0AF2D61FF991}" w:val=" ADDIN NE.Ref.{12CFE79E-32E2-4BC6-9E96-0AF2D61FF991}&lt;Citation&gt;&lt;Group&gt;&lt;References&gt;&lt;Item&gt;&lt;ID&gt;74&lt;/ID&gt;&lt;UID&gt;{4B0A369A-5373-4AD2-B059-121B1293382B}&lt;/UID&gt;&lt;Title&gt;岩石力学与工程 第2版&lt;/Title&gt;&lt;Template&gt;Book&lt;/Template&gt;&lt;Star&gt;0&lt;/Star&gt;&lt;Tag&gt;0&lt;/Tag&gt;&lt;Author&gt;蔡美峰主编&lt;/Author&gt;&lt;Year&gt;2013&lt;/Year&gt;&lt;Details&gt;&lt;_publisher&gt;北京：科学出版社&lt;/_publisher&gt;&lt;_created&gt;63062786&lt;/_created&gt;&lt;_modified&gt;63062786&lt;/_modified&gt;&lt;_translated_author&gt;Cai, Meifengzhubian&lt;/_translated_author&gt;&lt;/Details&gt;&lt;Extra&gt;&lt;DBUID&gt;{13BA3B49-12A1-4736-B8CB-B11B0D6D35A8}&lt;/DBUID&gt;&lt;/Extra&gt;&lt;/Item&gt;&lt;/References&gt;&lt;/Group&gt;&lt;/Citation&gt;_x000a_"/>
    <w:docVar w:name="NE.Ref{14BCB053-946D-4CA2-843C-A5CB26FCF9D3}" w:val=" ADDIN NE.Ref.{14BCB053-946D-4CA2-843C-A5CB26FCF9D3}&lt;Citation&gt;&lt;Group&gt;&lt;References&gt;&lt;Item&gt;&lt;ID&gt;56&lt;/ID&gt;&lt;UID&gt;{B22FABD6-5C20-4758-815A-5CD25A150E73}&lt;/UID&gt;&lt;Title&gt;铁路隧道超前地质预报技术指南&lt;/Title&gt;&lt;Template&gt;Book&lt;/Template&gt;&lt;Star&gt;0&lt;/Star&gt;&lt;Tag&gt;0&lt;/Tag&gt;&lt;Author&gt;中国中铁隧道集团有限公司主编&lt;/Author&gt;&lt;Year&gt;2008&lt;/Year&gt;&lt;Details&gt;&lt;_created&gt;63061800&lt;/_created&gt;&lt;_modified&gt;63061800&lt;/_modified&gt;&lt;_publisher&gt;北京：中国铁道出版社&lt;/_publisher&gt;&lt;_translated_author&gt;Zhong, Guozhongtiesuidaojituanyouxiangongsizhubian&lt;/_translated_author&gt;&lt;/Details&gt;&lt;Extra&gt;&lt;DBUID&gt;{13BA3B49-12A1-4736-B8CB-B11B0D6D35A8}&lt;/DBUID&gt;&lt;/Extra&gt;&lt;/Item&gt;&lt;/References&gt;&lt;/Group&gt;&lt;/Citation&gt;_x000a_"/>
    <w:docVar w:name="NE.Ref{17384E65-C31E-4E94-B6B5-DFEDD38E8CD0}" w:val=" ADDIN NE.Ref.{17384E65-C31E-4E94-B6B5-DFEDD38E8CD0}&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1834504D-AF07-4564-99A0-705F4780F2A1}" w:val=" ADDIN NE.Ref.{1834504D-AF07-4564-99A0-705F4780F2A1}&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19B0A65F-C154-49EC-9165-8366FE87E4D4}" w:val=" ADDIN NE.Ref.{19B0A65F-C154-49EC-9165-8366FE87E4D4}&lt;Citation&gt;&lt;Group&gt;&lt;References&gt;&lt;Item&gt;&lt;ID&gt;178&lt;/ID&gt;&lt;UID&gt;{57DD38F7-26EA-4AD9-A54C-5D8895429EDD}&lt;/UID&gt;&lt;Title&gt;交通运输部关于发布港口工程施工安全风险评估指南(沿海码头、护岸及防波堤分册)的通知&lt;/Title&gt;&lt;Template&gt;Web Page&lt;/Template&gt;&lt;Star&gt;0&lt;/Star&gt;&lt;Tag&gt;0&lt;/Tag&gt;&lt;Author&gt;交通运输部&lt;/Author&gt;&lt;Year&gt;2017&lt;/Year&gt;&lt;Details&gt;&lt;_accessed&gt;63035399&lt;/_accessed&gt;&lt;_created&gt;63035399&lt;/_created&gt;&lt;_date&gt;61907040&lt;/_date&gt;&lt;_date_display&gt;2017年9月15日&lt;/_date_display&gt;&lt;_issue&gt;2019-04-23&lt;/_issue&gt;&lt;_modified&gt;63035410&lt;/_modified&gt;&lt;_url&gt;http://zizhan.mot.gov.cn/zfxxgk/bnssj/aqjds/201710/t20171031_2930263.html.&lt;/_url&gt;&lt;_volume&gt;2019&lt;/_volume&gt;&lt;_translated_author&gt;Jiao, Tongyunshubu&lt;/_translated_author&gt;&lt;/Details&gt;&lt;Extra&gt;&lt;DBUID&gt;{C5464CEE-9149-4B7D-84D8-26EAAD582844}&lt;/DBUID&gt;&lt;/Extra&gt;&lt;/Item&gt;&lt;/References&gt;&lt;/Group&gt;&lt;/Citation&gt;_x000a_"/>
    <w:docVar w:name="NE.Ref{1AB0FD05-C95E-46C1-8A3C-D3DEDAD6C1F5}" w:val=" ADDIN NE.Ref.{1AB0FD05-C95E-46C1-8A3C-D3DEDAD6C1F5}&lt;Citation&gt;&lt;Group&gt;&lt;References&gt;&lt;Item&gt;&lt;ID&gt;84&lt;/ID&gt;&lt;UID&gt;{7CDCC848-B002-4D9C-BE52-60D93EA50790}&lt;/UID&gt;&lt;Title&gt;水电工程岩爆风险评估技术规范&lt;/Title&gt;&lt;Template&gt;Standard&lt;/Template&gt;&lt;Star&gt;0&lt;/Star&gt;&lt;Tag&gt;0&lt;/Tag&gt;&lt;Author&gt;国家能源局&lt;/Author&gt;&lt;Year&gt;2019&lt;/Year&gt;&lt;Details&gt;&lt;_secondary_title&gt;NB/T 10143-2019&lt;/_secondary_title&gt;&lt;_publisher&gt;北京：中国水利水电出版社&lt;/_publisher&gt;&lt;_place_published&gt;北京&lt;/_place_published&gt;&lt;_date_display&gt;2019年6月4日&lt;/_date_display&gt;&lt;_accessed&gt;63121540&lt;/_accessed&gt;&lt;_created&gt;63121540&lt;/_created&gt;&lt;_modified&gt;63121540&lt;/_modified&gt;&lt;_translated_author&gt;Guo, Jianengyuanju&lt;/_translated_author&gt;&lt;/Details&gt;&lt;Extra&gt;&lt;DBUID&gt;{13BA3B49-12A1-4736-B8CB-B11B0D6D35A8}&lt;/DBUID&gt;&lt;/Extra&gt;&lt;/Item&gt;&lt;/References&gt;&lt;/Group&gt;&lt;/Citation&gt;_x000a_"/>
    <w:docVar w:name="NE.Ref{1B21D242-0F12-4743-B462-CCF0CB262C47}" w:val=" ADDIN NE.Ref.{1B21D242-0F12-4743-B462-CCF0CB262C47}&lt;Citation&gt;&lt;Group&gt;&lt;References&gt;&lt;Item&gt;&lt;ID&gt;55&lt;/ID&gt;&lt;UID&gt;{D1E90C3F-C8D5-4960-97AF-328BCA73AD8A}&lt;/UID&gt;&lt;Title&gt;公路工程施工安全技术规范&lt;/Title&gt;&lt;Template&gt;Standard&lt;/Template&gt;&lt;Star&gt;1&lt;/Star&gt;&lt;Tag&gt;0&lt;/Tag&gt;&lt;Author&gt;中交第四公路工程局有限公司主编单位中国交通建设股份有限公司&lt;/Author&gt;&lt;Year&gt;2015&lt;/Year&gt;&lt;Details&gt;&lt;_created&gt;63061799&lt;/_created&gt;&lt;_modified&gt;63061867&lt;/_modified&gt;&lt;_publisher&gt;北京：人民交通出版社&lt;/_publisher&gt;&lt;_secondary_title&gt;JTG F90-2015&lt;/_secondary_title&gt;&lt;_translated_author&gt;Zhong, Jiaodisigonglugongchengjuyouxiangongsizhubiandanweizhongguojiaotongjianshegufenyouxiangongsi&lt;/_translated_author&gt;&lt;/Details&gt;&lt;Extra&gt;&lt;DBUID&gt;{13BA3B49-12A1-4736-B8CB-B11B0D6D35A8}&lt;/DBUID&gt;&lt;/Extra&gt;&lt;/Item&gt;&lt;/References&gt;&lt;/Group&gt;&lt;/Citation&gt;_x000a_"/>
    <w:docVar w:name="NE.Ref{1B81F6F6-B9A1-40DF-9D68-BC26C90042EA}" w:val=" ADDIN NE.Ref.{1B81F6F6-B9A1-40DF-9D68-BC26C90042EA}&lt;Citation&gt;&lt;Group&gt;&lt;References&gt;&lt;Item&gt;&lt;ID&gt;33&lt;/ID&gt;&lt;UID&gt;{B84CBFD5-A91C-4A64-8F67-E4F97041C39E}&lt;/UID&gt;&lt;Title&gt;软岩隧道矿山法施工大变形风险评估&lt;/Title&gt;&lt;Template&gt;Journal Article&lt;/Template&gt;&lt;Star&gt;0&lt;/Star&gt;&lt;Tag&gt;0&lt;/Tag&gt;&lt;Author&gt;范建海; 陈志超; 夏述光&lt;/Author&gt;&lt;Year&gt;2013&lt;/Year&gt;&lt;Details&gt;&lt;_accessed&gt;63061773&lt;/_accessed&gt;&lt;_author_aff&gt;湖北省谷竹高速公路建设指挥部;中国地质大学(武汉);&lt;/_author_aff&gt;&lt;_collection_scope&gt;PKU&lt;/_collection_scope&gt;&lt;_created&gt;63061773&lt;/_created&gt;&lt;_date&gt;59721120&lt;/_date&gt;&lt;_db_provider&gt;CNKI: 期刊&lt;/_db_provider&gt;&lt;_db_updated&gt;CNKI - Reference&lt;/_db_updated&gt;&lt;_issue&gt;07&lt;/_issue&gt;&lt;_journal&gt;铁道建筑&lt;/_journal&gt;&lt;_keywords&gt;大变形;风险评估;德尔菲法;层次分析法;当量分析法&lt;/_keywords&gt;&lt;_language&gt;Chinese&lt;/_language&gt;&lt;_modified&gt;63061773&lt;/_modified&gt;&lt;_pages&gt;52-56&lt;/_pages&gt;&lt;_url&gt;http://kns.cnki.net/KCMS/detail/detail.aspx?FileName=TDJZ201307017&amp;amp;DbName=CJFQ2013&lt;/_url&gt;&lt;_translated_author&gt;Fan, Jianhai;Chen, Zhichao;Xia, Shuguang&lt;/_translated_author&gt;&lt;/Details&gt;&lt;Extra&gt;&lt;DBUID&gt;{13BA3B49-12A1-4736-B8CB-B11B0D6D35A8}&lt;/DBUID&gt;&lt;/Extra&gt;&lt;/Item&gt;&lt;/References&gt;&lt;/Group&gt;&lt;/Citation&gt;_x000a_"/>
    <w:docVar w:name="NE.Ref{1D50401B-6A84-4986-8FD1-8FAC9DC8E983}" w:val=" ADDIN NE.Ref.{1D50401B-6A84-4986-8FD1-8FAC9DC8E983}&lt;Citation&gt;&lt;Group&gt;&lt;References&gt;&lt;Item&gt;&lt;ID&gt;59&lt;/ID&gt;&lt;UID&gt;{7463273C-3187-4AF1-88DD-43058A12AFD0}&lt;/UID&gt;&lt;Title&gt;水力发电工程地质勘察规范&lt;/Title&gt;&lt;Template&gt;Standard&lt;/Template&gt;&lt;Star&gt;1&lt;/Star&gt;&lt;Tag&gt;0&lt;/Tag&gt;&lt;Author&gt;中华人民共和国住房和城乡建设部&lt;/Author&gt;&lt;Year&gt;2016&lt;/Year&gt;&lt;Details&gt;&lt;_pages&gt;255&lt;/_pages&gt;&lt;_secondary_title&gt;GB 50287-2016&lt;/_secondary_title&gt;&lt;_translated_title&gt;Code for hydropower engineering geological investigation&lt;/_translated_title&gt;&lt;_url&gt;http://www.wanfangdata.com.cn/details/detail.do?_type=standards&amp;amp;id=GB 50287-2016&lt;/_url&gt;&lt;_created&gt;63061817&lt;/_created&gt;&lt;_modified&gt;63061868&lt;/_modified&gt;&lt;_accessed&gt;63061817&lt;/_accessed&gt;&lt;_publisher&gt;中国计划出版社&lt;/_publisher&gt;&lt;_translated_author&gt;Zhong, Huarenmingongheguozhufanghechengxiangjianshebu&lt;/_translated_author&gt;&lt;/Details&gt;&lt;Extra&gt;&lt;DBUID&gt;{13BA3B49-12A1-4736-B8CB-B11B0D6D35A8}&lt;/DBUID&gt;&lt;/Extra&gt;&lt;/Item&gt;&lt;/References&gt;&lt;/Group&gt;&lt;/Citation&gt;_x000a_"/>
    <w:docVar w:name="NE.Ref{1E82759D-6308-436E-BDB0-3B3364397B50}" w:val=" ADDIN NE.Ref.{1E82759D-6308-436E-BDB0-3B3364397B50}&lt;Citation&gt;&lt;Group&gt;&lt;References&gt;&lt;Item&gt;&lt;ID&gt;29&lt;/ID&gt;&lt;UID&gt;{4C857A8B-6A8B-4AB8-8294-054E93831A51}&lt;/UID&gt;&lt;Title&gt;基于综合赋权-TOPSIS法隧道突涌水风险评价及应用&lt;/Title&gt;&lt;Template&gt;Journal Article&lt;/Template&gt;&lt;Star&gt;0&lt;/Star&gt;&lt;Tag&gt;0&lt;/Tag&gt;&lt;Author&gt;侯东赛; 张霄; 王磊&lt;/Author&gt;&lt;Year&gt;2017&lt;/Year&gt;&lt;Details&gt;&lt;_accessed&gt;63061773&lt;/_accessed&gt;&lt;_author_aff&gt;西南交通大学地球科学与环境工程学院;西南交通大学高速铁路运营安全空间信息技术国家地方联合工程实验室;&lt;/_author_aff&gt;&lt;_collection_scope&gt;PKU&lt;/_collection_scope&gt;&lt;_created&gt;63061772&lt;/_created&gt;&lt;_date&gt;61794720&lt;/_date&gt;&lt;_db_provider&gt;CNKI: 期刊&lt;/_db_provider&gt;&lt;_db_updated&gt;CNKI - Reference&lt;/_db_updated&gt;&lt;_issue&gt;06&lt;/_issue&gt;&lt;_journal&gt;隧道建设&lt;/_journal&gt;&lt;_keywords&gt;综合赋权法;TOPSIS法;隧道突涌水;风险评价体系;祥云隧道&lt;/_keywords&gt;&lt;_language&gt;Chinese&lt;/_language&gt;&lt;_modified&gt;63061773&lt;/_modified&gt;&lt;_pages&gt;691-699&lt;/_pages&gt;&lt;_url&gt;http://kns.cnki.net/KCMS/detail/detail.aspx?FileName=JSSD201706009&amp;amp;DbName=CJFQ2017&lt;/_url&gt;&lt;_volume&gt;37&lt;/_volume&gt;&lt;_translated_author&gt;Hou, Dongsai;Zhang, Xiao;Wang, Lei&lt;/_translated_author&gt;&lt;/Details&gt;&lt;Extra&gt;&lt;DBUID&gt;{13BA3B49-12A1-4736-B8CB-B11B0D6D35A8}&lt;/DBUID&gt;&lt;/Extra&gt;&lt;/Item&gt;&lt;/References&gt;&lt;/Group&gt;&lt;/Citation&gt;_x000a_"/>
    <w:docVar w:name="NE.Ref{205B819A-553D-4D2D-B4C3-1747F5F931F3}" w:val=" ADDIN NE.Ref.{205B819A-553D-4D2D-B4C3-1747F5F931F3}&lt;Citation&gt;&lt;Group&gt;&lt;References&gt;&lt;Item&gt;&lt;ID&gt;29&lt;/ID&gt;&lt;UID&gt;{4C857A8B-6A8B-4AB8-8294-054E93831A51}&lt;/UID&gt;&lt;Title&gt;基于综合赋权-TOPSIS法隧道突涌水风险评价及应用&lt;/Title&gt;&lt;Template&gt;Journal Article&lt;/Template&gt;&lt;Star&gt;0&lt;/Star&gt;&lt;Tag&gt;0&lt;/Tag&gt;&lt;Author&gt;侯东赛; 张霄; 王磊&lt;/Author&gt;&lt;Year&gt;2017&lt;/Year&gt;&lt;Details&gt;&lt;_accessed&gt;63061773&lt;/_accessed&gt;&lt;_author_aff&gt;西南交通大学地球科学与环境工程学院;西南交通大学高速铁路运营安全空间信息技术国家地方联合工程实验室;&lt;/_author_aff&gt;&lt;_collection_scope&gt;PKU&lt;/_collection_scope&gt;&lt;_created&gt;63061772&lt;/_created&gt;&lt;_date&gt;61794720&lt;/_date&gt;&lt;_db_provider&gt;CNKI: 期刊&lt;/_db_provider&gt;&lt;_db_updated&gt;CNKI - Reference&lt;/_db_updated&gt;&lt;_issue&gt;06&lt;/_issue&gt;&lt;_journal&gt;隧道建设&lt;/_journal&gt;&lt;_keywords&gt;综合赋权法;TOPSIS法;隧道突涌水;风险评价体系;祥云隧道&lt;/_keywords&gt;&lt;_language&gt;Chinese&lt;/_language&gt;&lt;_modified&gt;63061773&lt;/_modified&gt;&lt;_pages&gt;691-699&lt;/_pages&gt;&lt;_url&gt;http://kns.cnki.net/KCMS/detail/detail.aspx?FileName=JSSD201706009&amp;amp;DbName=CJFQ2017&lt;/_url&gt;&lt;_volume&gt;37&lt;/_volume&gt;&lt;_translated_author&gt;Hou, Dongsai;Zhang, Xiao;Wang, Lei&lt;/_translated_author&gt;&lt;/Details&gt;&lt;Extra&gt;&lt;DBUID&gt;{13BA3B49-12A1-4736-B8CB-B11B0D6D35A8}&lt;/DBUID&gt;&lt;/Extra&gt;&lt;/Item&gt;&lt;/References&gt;&lt;/Group&gt;&lt;/Citation&gt;_x000a_"/>
    <w:docVar w:name="NE.Ref{228131BD-D953-46C0-8E0F-75B406DD5189}" w:val=" ADDIN NE.Ref.{228131BD-D953-46C0-8E0F-75B406DD5189}&lt;Citation&gt;&lt;Group&gt;&lt;References&gt;&lt;Item&gt;&lt;ID&gt;19&lt;/ID&gt;&lt;UID&gt;{96917D28-C008-46A6-B13A-F81D84296744}&lt;/UID&gt;&lt;Title&gt;山岭隧道塌方风险的集对分析方法&lt;/Title&gt;&lt;Template&gt;Journal Article&lt;/Template&gt;&lt;Star&gt;0&lt;/Star&gt;&lt;Tag&gt;0&lt;/Tag&gt;&lt;Author&gt;曹文贵; 翟友成; 王江营; 张永杰&lt;/Author&gt;&lt;Year&gt;2012&lt;/Year&gt;&lt;Details&gt;&lt;_accessed&gt;63061772&lt;/_accessed&gt;&lt;_author_adr&gt;湖南大学; 湖南大学; 湖南大学; 长沙理工大学&lt;/_author_adr&gt;&lt;_author_aff&gt;湖南大学; 湖南大学; 湖南大学; 长沙理工大学&lt;/_author_aff&gt;&lt;_collection_scope&gt;CSCD;PKU;EI&lt;/_collection_scope&gt;&lt;_created&gt;63061772&lt;/_created&gt;&lt;_db_provider&gt;北京万方数据股份有限公司&lt;/_db_provider&gt;&lt;_db_updated&gt;Wanfangdata&lt;/_db_updated&gt;&lt;_isbn&gt;1001-7372&lt;/_isbn&gt;&lt;_issue&gt;2&lt;/_issue&gt;&lt;_journal&gt;中国公路学报&lt;/_journal&gt;&lt;_keywords&gt;隧道工程; 塌方风险; 集对分析; 不确定型层次分析; 群组决策&lt;/_keywords&gt;&lt;_language&gt;chi&lt;/_language&gt;&lt;_modified&gt;63061772&lt;/_modified&gt;&lt;_pages&gt;90-99&lt;/_pages&gt;&lt;_tertiary_title&gt;China Journal of Highway and Transport&lt;/_tertiary_title&gt;&lt;_translated_title&gt;Method of Set Pair Analysis for Collapse Risk During Construction of Mountain Tunnel&lt;/_translated_title&gt;&lt;_url&gt;http://www.wanfangdata.com.cn/details/detail.do?_type=perio&amp;amp;id=zgglxb201202015&lt;/_url&gt;&lt;_volume&gt;25&lt;/_volume&gt;&lt;_translated_author&gt;Cao, Wengui;Zhai, Youcheng;Wang, Jiangying;Zhang, Yongjie&lt;/_translated_author&gt;&lt;/Details&gt;&lt;Extra&gt;&lt;DBUID&gt;{13BA3B49-12A1-4736-B8CB-B11B0D6D35A8}&lt;/DBUID&gt;&lt;/Extra&gt;&lt;/Item&gt;&lt;/References&gt;&lt;/Group&gt;&lt;/Citation&gt;_x000a_"/>
    <w:docVar w:name="NE.Ref{243AC4E7-9006-4B39-B2DA-A29A476E8E41}" w:val=" ADDIN NE.Ref.{243AC4E7-9006-4B39-B2DA-A29A476E8E41}&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24A03069-A46E-400C-9432-ACAC8491C2F4}" w:val=" ADDIN NE.Ref.{24A03069-A46E-400C-9432-ACAC8491C2F4}&lt;Citation&gt;&lt;Group&gt;&lt;References&gt;&lt;Item&gt;&lt;ID&gt;55&lt;/ID&gt;&lt;UID&gt;{D1E90C3F-C8D5-4960-97AF-328BCA73AD8A}&lt;/UID&gt;&lt;Title&gt;公路工程施工安全技术规范&lt;/Title&gt;&lt;Template&gt;Standard&lt;/Template&gt;&lt;Star&gt;1&lt;/Star&gt;&lt;Tag&gt;0&lt;/Tag&gt;&lt;Author&gt;中交第四公路工程局有限公司主编单位中国交通建设股份有限公司&lt;/Author&gt;&lt;Year&gt;2015&lt;/Year&gt;&lt;Details&gt;&lt;_created&gt;63061799&lt;/_created&gt;&lt;_modified&gt;63061867&lt;/_modified&gt;&lt;_publisher&gt;北京：人民交通出版社&lt;/_publisher&gt;&lt;_secondary_title&gt;JTG F90-2015&lt;/_secondary_title&gt;&lt;_translated_author&gt;Zhong, Jiaodisigonglugongchengjuyouxiangongsizhubiandanweizhongguojiaotongjianshegufenyouxiangongsi&lt;/_translated_author&gt;&lt;/Details&gt;&lt;Extra&gt;&lt;DBUID&gt;{13BA3B49-12A1-4736-B8CB-B11B0D6D35A8}&lt;/DBUID&gt;&lt;/Extra&gt;&lt;/Item&gt;&lt;/References&gt;&lt;/Group&gt;&lt;/Citation&gt;_x000a_"/>
    <w:docVar w:name="NE.Ref{251220A1-28DE-4E25-8161-5FB1F674925B}" w:val=" ADDIN NE.Ref.{251220A1-28DE-4E25-8161-5FB1F674925B}&lt;Citation&gt;&lt;Group&gt;&lt;References&gt;&lt;Item&gt;&lt;ID&gt;56&lt;/ID&gt;&lt;UID&gt;{B22FABD6-5C20-4758-815A-5CD25A150E73}&lt;/UID&gt;&lt;Title&gt;铁路隧道超前地质预报技术指南&lt;/Title&gt;&lt;Template&gt;Book&lt;/Template&gt;&lt;Star&gt;0&lt;/Star&gt;&lt;Tag&gt;0&lt;/Tag&gt;&lt;Author&gt;中国中铁隧道集团有限公司主编&lt;/Author&gt;&lt;Year&gt;2008&lt;/Year&gt;&lt;Details&gt;&lt;_created&gt;63061800&lt;/_created&gt;&lt;_modified&gt;63061800&lt;/_modified&gt;&lt;_publisher&gt;北京：中国铁道出版社&lt;/_publisher&gt;&lt;_translated_author&gt;Zhong, Guozhongtiesuidaojituanyouxiangongsizhubian&lt;/_translated_author&gt;&lt;/Details&gt;&lt;Extra&gt;&lt;DBUID&gt;{13BA3B49-12A1-4736-B8CB-B11B0D6D35A8}&lt;/DBUID&gt;&lt;/Extra&gt;&lt;/Item&gt;&lt;/References&gt;&lt;/Group&gt;&lt;/Citation&gt;_x000a_"/>
    <w:docVar w:name="NE.Ref{257B7FB2-56E4-4507-9D7A-3FEF16563D4D}" w:val=" ADDIN NE.Ref.{257B7FB2-56E4-4507-9D7A-3FEF16563D4D}&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25C5B3AE-AADA-4C13-9E6B-3F60B06AB404}" w:val=" ADDIN NE.Ref.{25C5B3AE-AADA-4C13-9E6B-3F60B06AB404}&lt;Citation&gt;&lt;Group&gt;&lt;References&gt;&lt;Item&gt;&lt;ID&gt;38&lt;/ID&gt;&lt;UID&gt;{375E4B50-091F-4568-9707-DB050D64C482}&lt;/UID&gt;&lt;Title&gt;岩溶隧道突涌水危险性评价的属性识别模型及其工程应用&lt;/Title&gt;&lt;Template&gt;Journal Article&lt;/Template&gt;&lt;Star&gt;0&lt;/Star&gt;&lt;Tag&gt;0&lt;/Tag&gt;&lt;Author&gt;周宗青; 李术才; 李利平; 石少帅; 宋曙光; 王凯&lt;/Author&gt;&lt;Year&gt;2013&lt;/Year&gt;&lt;Details&gt;&lt;_accessed&gt;63061774&lt;/_accessed&gt;&lt;_author_adr&gt;山东大学; 山东大学; 山东大学; 山东大学; 山东大学; 山东大学&lt;/_author_adr&gt;&lt;_author_aff&gt;山东大学; 山东大学; 山东大学; 山东大学; 山东大学; 山东大学&lt;/_author_aff&gt;&lt;_collection_scope&gt;CSCD;PKU;EI&lt;/_collection_scope&gt;&lt;_created&gt;63061774&lt;/_created&gt;&lt;_db_provider&gt;北京万方数据股份有限公司&lt;/_db_provider&gt;&lt;_db_updated&gt;Wanfangdata&lt;/_db_updated&gt;&lt;_isbn&gt;1000-7598&lt;/_isbn&gt;&lt;_issue&gt;3&lt;/_issue&gt;&lt;_journal&gt;岩土力学&lt;/_journal&gt;&lt;_keywords&gt;岩溶隧道; 突涌水; 危险性评价; 属性识别; 工程应用&lt;/_keywords&gt;&lt;_language&gt;chi&lt;/_language&gt;&lt;_modified&gt;63061774&lt;/_modified&gt;&lt;_pages&gt;818-826&lt;/_pages&gt;&lt;_tertiary_title&gt;Rock and Soil Mechanics&lt;/_tertiary_title&gt;&lt;_translated_title&gt;Attribute recognition model of fatalness assessment of water inrush in karst tunnels and its application&lt;/_translated_title&gt;&lt;_url&gt;http://www.wanfangdata.com.cn/details/detail.do?_type=perio&amp;amp;id=ytlx201303039&lt;/_url&gt;&lt;_translated_author&gt;Zhou, Zongqing;Li, Shucai;Li, Liping;Shi, Shaoshuai;Song, Shuguang;Wang, Kai&lt;/_translated_author&gt;&lt;/Details&gt;&lt;Extra&gt;&lt;DBUID&gt;{13BA3B49-12A1-4736-B8CB-B11B0D6D35A8}&lt;/DBUID&gt;&lt;/Extra&gt;&lt;/Item&gt;&lt;/References&gt;&lt;/Group&gt;&lt;/Citation&gt;_x000a_"/>
    <w:docVar w:name="NE.Ref{27AE9342-7165-4CDC-9E48-DC4A43C3E54F}" w:val=" ADDIN NE.Ref.{27AE9342-7165-4CDC-9E48-DC4A43C3E54F}&lt;Citation&gt;&lt;Group&gt;&lt;References&gt;&lt;Item&gt;&lt;ID&gt;9&lt;/ID&gt;&lt;UID&gt;{68E57873-D974-4D04-84AD-CAB3790C2F3D}&lt;/UID&gt;&lt;Title&gt;浅埋隧道塌方地质灾害成因及风险控制&lt;/Title&gt;&lt;Template&gt;Journal Article&lt;/Template&gt;&lt;Star&gt;0&lt;/Star&gt;&lt;Tag&gt;0&lt;/Tag&gt;&lt;Author&gt;周宗青; 李术才; 李利平; 隋斌; 石少帅; 张乾青&lt;/Author&gt;&lt;Year&gt;2013&lt;/Year&gt;&lt;Details&gt;&lt;_accessed&gt;63061735&lt;/_accessed&gt;&lt;_author_aff&gt;山东大学岩土与结构工程研究中心;中国矿业大学深部岩土力学与地下工程国家重点实验室;&lt;/_author_aff&gt;&lt;_collection_scope&gt;CSCD;PKU;EI&lt;/_collection_scope&gt;&lt;_created&gt;63061734&lt;/_created&gt;&lt;_date&gt;59618880&lt;/_date&gt;&lt;_db_provider&gt;CNKI: 期刊&lt;/_db_provider&gt;&lt;_db_updated&gt;CNKI - Reference&lt;/_db_updated&gt;&lt;_issue&gt;05&lt;/_issue&gt;&lt;_journal&gt;岩土力学&lt;/_journal&gt;&lt;_keywords&gt;浅埋隧道;地质灾害成因;风险分析;动态评估;风险控制&lt;/_keywords&gt;&lt;_language&gt;Chinese&lt;/_language&gt;&lt;_modified&gt;63061735&lt;/_modified&gt;&lt;_pages&gt;1375-1382&lt;/_pages&gt;&lt;_url&gt;http://kns.cnki.net/KCMS/detail/detail.aspx?FileName=YTLX201305022&amp;amp;DbName=CJFQ2013&lt;/_url&gt;&lt;_volume&gt;34&lt;/_volume&gt;&lt;_translated_author&gt;Zhou, Zongqing;Li, Shucai;Li, Liping;Sui, Bin;Shi, Shaoshuai;Zhang, Qianqing&lt;/_translated_author&gt;&lt;/Details&gt;&lt;Extra&gt;&lt;DBUID&gt;{13BA3B49-12A1-4736-B8CB-B11B0D6D35A8}&lt;/DBUID&gt;&lt;/Extra&gt;&lt;/Item&gt;&lt;/References&gt;&lt;/Group&gt;&lt;/Citation&gt;_x000a_"/>
    <w:docVar w:name="NE.Ref{292A86C2-72D2-449C-9536-444692745E6F}" w:val=" ADDIN NE.Ref.{292A86C2-72D2-449C-9536-444692745E6F}&lt;Citation&gt;&lt;Group&gt;&lt;References&gt;&lt;Item&gt;&lt;ID&gt;39&lt;/ID&gt;&lt;UID&gt;{A3E6ECDE-7A61-4897-A2F8-B84361E62812}&lt;/UID&gt;&lt;Title&gt;岩溶与采空区隧道涌水突泥区间概率风险响应研究&lt;/Title&gt;&lt;Template&gt;Journal Article&lt;/Template&gt;&lt;Star&gt;0&lt;/Star&gt;&lt;Tag&gt;0&lt;/Tag&gt;&lt;Author&gt;闫凯旋; 刘辉; 潘岳; 蒋小军&lt;/Author&gt;&lt;Year&gt;2017&lt;/Year&gt;&lt;Details&gt;&lt;_accessed&gt;63061774&lt;/_accessed&gt;&lt;_author_aff&gt;长沙理工大学;&lt;/_author_aff&gt;&lt;_created&gt;63061774&lt;/_created&gt;&lt;_date&gt;61747200&lt;/_date&gt;&lt;_db_provider&gt;CNKI: 期刊&lt;/_db_provider&gt;&lt;_db_updated&gt;CNKI - Reference&lt;/_db_updated&gt;&lt;_issue&gt;03&lt;/_issue&gt;&lt;_journal&gt;公路与汽运&lt;/_journal&gt;&lt;_keywords&gt;隧道;岩溶;涌水突泥;区间概率风险评价方法&lt;/_keywords&gt;&lt;_language&gt;Chinese&lt;/_language&gt;&lt;_modified&gt;63061774&lt;/_modified&gt;&lt;_pages&gt;198-200&lt;/_pages&gt;&lt;_url&gt;http://kns.cnki.net/KCMS/detail/detail.aspx?FileName=ZNQY201703055&amp;amp;DbName=CJFQ2017&lt;/_url&gt;&lt;_translated_author&gt;Yan, Kaixuan;Liu, Hui;Pan, Yue;Jiang, Xiaojun&lt;/_translated_author&gt;&lt;/Details&gt;&lt;Extra&gt;&lt;DBUID&gt;{13BA3B49-12A1-4736-B8CB-B11B0D6D35A8}&lt;/DBUID&gt;&lt;/Extra&gt;&lt;/Item&gt;&lt;/References&gt;&lt;/Group&gt;&lt;/Citation&gt;_x000a_"/>
    <w:docVar w:name="NE.Ref{2B892DBD-5A4A-4B4D-B42E-D012AB27C47C}" w:val=" ADDIN NE.Ref.{2B892DBD-5A4A-4B4D-B42E-D012AB27C47C}&lt;Citation&gt;&lt;Group&gt;&lt;References&gt;&lt;Item&gt;&lt;ID&gt;44&lt;/ID&gt;&lt;UID&gt;{A5069893-A71B-4B82-A7F2-372616694859}&lt;/UID&gt;&lt;Title&gt;铁路隧道揭煤防突设计与施工&lt;/Title&gt;&lt;Template&gt;Journal Article&lt;/Template&gt;&lt;Star&gt;0&lt;/Star&gt;&lt;Tag&gt;0&lt;/Tag&gt;&lt;Author&gt;刘雄伟; 刘科&lt;/Author&gt;&lt;Year&gt;2018&lt;/Year&gt;&lt;Details&gt;&lt;_accessed&gt;63061775&lt;/_accessed&gt;&lt;_author_adr&gt;中铁二院工程集团有限责任公司; 中铁二院工程集团有限责任公司&lt;/_author_adr&gt;&lt;_author_aff&gt;中铁二院工程集团有限责任公司; 中铁二院工程集团有限责任公司&lt;/_author_aff&gt;&lt;_created&gt;63061774&lt;/_created&gt;&lt;_db_provider&gt;北京万方数据股份有限公司&lt;/_db_provider&gt;&lt;_db_updated&gt;Wanfangdata&lt;/_db_updated&gt;&lt;_doi&gt;10.3969/j.issn.1673-6478.2018.01.025&lt;/_doi&gt;&lt;_isbn&gt;1673-6478&lt;/_isbn&gt;&lt;_issue&gt;1&lt;/_issue&gt;&lt;_journal&gt;交通节能与环保&lt;/_journal&gt;&lt;_keywords&gt;隧道工程; 揭煤防突; 瓦斯抽放&lt;/_keywords&gt;&lt;_language&gt;chi&lt;/_language&gt;&lt;_modified&gt;63061775&lt;/_modified&gt;&lt;_pages&gt;89-92&lt;/_pages&gt;&lt;_tertiary_title&gt;Energy Conservation &amp;amp; Environmental Protection in Transportation&lt;/_tertiary_title&gt;&lt;_translated_author&gt;Xiongwei, LIU; Ke, LIU&lt;/_translated_author&gt;&lt;_translated_title&gt;Design and construction of Pingzishang Tunnel Uncovering Coal Outburst Prevention&lt;/_translated_title&gt;&lt;_url&gt;http://www.wanfangdata.com.cn/details/detail.do?_type=perio&amp;amp;id=cbjn201801025&lt;/_url&gt;&lt;_volume&gt;14&lt;/_volume&gt;&lt;/Details&gt;&lt;Extra&gt;&lt;DBUID&gt;{13BA3B49-12A1-4736-B8CB-B11B0D6D35A8}&lt;/DBUID&gt;&lt;/Extra&gt;&lt;/Item&gt;&lt;/References&gt;&lt;/Group&gt;&lt;/Citation&gt;_x000a_"/>
    <w:docVar w:name="NE.Ref{2F3E7F91-B552-490D-9397-7D302504BC91}" w:val=" ADDIN NE.Ref.{2F3E7F91-B552-490D-9397-7D302504BC91}&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2F7AF6AA-E2EB-47B1-9D8F-B41B5E19E7ED}" w:val=" ADDIN NE.Ref.{2F7AF6AA-E2EB-47B1-9D8F-B41B5E19E7ED}&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301FC39C-46A8-4536-810F-B4E447556EFA}" w:val=" ADDIN NE.Ref.{301FC39C-46A8-4536-810F-B4E447556EFA}&lt;Citation&gt;&lt;Group&gt;&lt;References&gt;&lt;Item&gt;&lt;ID&gt;63&lt;/ID&gt;&lt;UID&gt;{F625F44B-F252-4A07-8E3B-C6FE110C73D0}&lt;/UID&gt;&lt;Title&gt;城市轨道交通地下工程建设风险管理规范&lt;/Title&gt;&lt;Template&gt;Standard&lt;/Template&gt;&lt;Star&gt;1&lt;/Star&gt;&lt;Tag&gt;0&lt;/Tag&gt;&lt;Author&gt;中华人民共和国住房和城乡建设部&lt;/Author&gt;&lt;Year&gt;2011&lt;/Year&gt;&lt;Details&gt;&lt;_keywords&gt;城区; 铁路轨道; 道路运输; 建设工程; 风险管理&lt;/_keywords&gt;&lt;_pages&gt;101&lt;/_pages&gt;&lt;_secondary_title&gt;GB 50652-2011&lt;/_secondary_title&gt;&lt;_translated_title&gt;Code for risk management of underground works in urban rail transit&lt;/_translated_title&gt;&lt;_url&gt;http://www.wanfangdata.com.cn/details/detail.do?_type=standards&amp;amp;id=GB 50652-2011&lt;/_url&gt;&lt;_created&gt;63061839&lt;/_created&gt;&lt;_modified&gt;63061841&lt;/_modified&gt;&lt;_publisher&gt;中国建筑工业出版社&lt;/_publisher&gt;&lt;_translated_author&gt;Zhong, Huarenmingongheguozhufanghechengxiangjianshebu&lt;/_translated_author&gt;&lt;/Details&gt;&lt;Extra&gt;&lt;DBUID&gt;{13BA3B49-12A1-4736-B8CB-B11B0D6D35A8}&lt;/DBUID&gt;&lt;/Extra&gt;&lt;/Item&gt;&lt;/References&gt;&lt;/Group&gt;&lt;/Citation&gt;_x000a_"/>
    <w:docVar w:name="NE.Ref{31D41D34-9D4A-416E-91DB-0574A8EC1132}" w:val=" ADDIN NE.Ref.{31D41D34-9D4A-416E-91DB-0574A8EC1132}&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3269718B-1204-4B7E-8F3C-4ED3BE5448C1}" w:val=" ADDIN NE.Ref.{3269718B-1204-4B7E-8F3C-4ED3BE5448C1}&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34679279-F997-4EBE-B331-0D8F4A9A124F}" w:val=" ADDIN NE.Ref.{34679279-F997-4EBE-B331-0D8F4A9A124F}&lt;Citation&gt;&lt;Group&gt;&lt;References&gt;&lt;Item&gt;&lt;ID&gt;176&lt;/ID&gt;&lt;UID&gt;{E68679B7-B5A5-460C-AEE7-ACD677BC6FBA}&lt;/UID&gt;&lt;Title&gt;地铁及地下工程建设风险管理指南&lt;/Title&gt;&lt;Template&gt;Book&lt;/Template&gt;&lt;Star&gt;0&lt;/Star&gt;&lt;Tag&gt;0&lt;/Tag&gt;&lt;Author&gt;中华人民共和国建设部编&lt;/Author&gt;&lt;Year&gt;2007&lt;/Year&gt;&lt;Details&gt;&lt;_created&gt;63035372&lt;/_created&gt;&lt;_modified&gt;63035372&lt;/_modified&gt;&lt;_publisher&gt;北京：中国建筑工业出版社&lt;/_publisher&gt;&lt;_translated_author&gt;Zhong, Huarenmingongheguojianshebubian&lt;/_translated_author&gt;&lt;/Details&gt;&lt;Extra&gt;&lt;DBUID&gt;{C5464CEE-9149-4B7D-84D8-26EAAD582844}&lt;/DBUID&gt;&lt;/Extra&gt;&lt;/Item&gt;&lt;/References&gt;&lt;/Group&gt;&lt;/Citation&gt;_x000a_"/>
    <w:docVar w:name="NE.Ref{395A3660-552A-4921-BD29-EBFC01C1BDC8}" w:val=" ADDIN NE.Ref.{395A3660-552A-4921-BD29-EBFC01C1BDC8}&lt;Citation&gt;&lt;Group&gt;&lt;References&gt;&lt;Item&gt;&lt;ID&gt;68&lt;/ID&gt;&lt;UID&gt;{DED7DE10-20D2-4C7C-831F-26DEE2DAFCBE}&lt;/UID&gt;&lt;Title&gt;山岭铁路隧道工程施工风险评估及其应用研究&lt;/Title&gt;&lt;Template&gt;Thesis&lt;/Template&gt;&lt;Star&gt;0&lt;/Star&gt;&lt;Tag&gt;0&lt;/Tag&gt;&lt;Author&gt;贺志军&lt;/Author&gt;&lt;Year&gt;2009&lt;/Year&gt;&lt;Details&gt;&lt;_created&gt;63062423&lt;/_created&gt;&lt;_modified&gt;63062423&lt;/_modified&gt;&lt;_url&gt;http://kns.cnki.net/KCMS/detail/detail.aspx?FileName=2010185532.nh&amp;amp;DbName=CDFD2011&lt;/_url&gt;&lt;_publisher&gt;中南大学&lt;/_publisher&gt;&lt;_volume&gt;博士&lt;/_volume&gt;&lt;_pages&gt;149&lt;/_pages&gt;&lt;_tertiary_author&gt;徐志胜&lt;/_tertiary_author&gt;&lt;_keywords&gt;山岭铁路隧道;施工风险;风险评估;管理模式;绩效分析&lt;/_keywords&gt;&lt;_db_provider&gt;CNKI: 博士&lt;/_db_provider&gt;&lt;_accessed&gt;63062423&lt;/_accessed&gt;&lt;_db_updated&gt;CNKI - Reference&lt;/_db_updated&gt;&lt;_translated_author&gt;He, Zhijun&lt;/_translated_author&gt;&lt;_translated_tertiary_author&gt;Xu, Zhisheng&lt;/_translated_tertiary_author&gt;&lt;/Details&gt;&lt;Extra&gt;&lt;DBUID&gt;{13BA3B49-12A1-4736-B8CB-B11B0D6D35A8}&lt;/DBUID&gt;&lt;/Extra&gt;&lt;/Item&gt;&lt;/References&gt;&lt;/Group&gt;&lt;/Citation&gt;_x000a_"/>
    <w:docVar w:name="NE.Ref{39895844-5F1E-4671-8F37-1EEA527904D2}" w:val=" ADDIN NE.Ref.{39895844-5F1E-4671-8F37-1EEA527904D2}&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3A3E0D99-BC68-47BC-A1EF-A15F9E04FA51}" w:val=" ADDIN NE.Ref.{3A3E0D99-BC68-47BC-A1EF-A15F9E04FA51}&lt;Citation&gt;&lt;Group&gt;&lt;References&gt;&lt;Item&gt;&lt;ID&gt;3&lt;/ID&gt;&lt;UID&gt;{41B97283-F8AC-43DB-A41B-0841238DC80D}&lt;/UID&gt;&lt;Title&gt;中国10 km以上超长公路隧道统计&lt;/Title&gt;&lt;Template&gt;Journal Article&lt;/Template&gt;&lt;Star&gt;0&lt;/Star&gt;&lt;Tag&gt;0&lt;/Tag&gt;&lt;Author&gt;罗刚&lt;/Author&gt;&lt;Year&gt;2019&lt;/Year&gt;&lt;Details&gt;&lt;_accessed&gt;63058515&lt;/_accessed&gt;&lt;_author_aff&gt;长安大学公路学院;&lt;/_author_aff&gt;&lt;_created&gt;63058514&lt;/_created&gt;&lt;_date&gt;62943840&lt;/_date&gt;&lt;_db_provider&gt;CNKI: 期刊&lt;/_db_provider&gt;&lt;_db_updated&gt;CNKI - Reference&lt;/_db_updated&gt;&lt;_issue&gt;08&lt;/_issue&gt;&lt;_journal&gt;隧道建设(中英文)&lt;/_journal&gt;&lt;_keywords&gt;中国;中华人民共和国;&lt;/_keywords&gt;&lt;_language&gt;Chinese&lt;/_language&gt;&lt;_modified&gt;63058515&lt;/_modified&gt;&lt;_pages&gt;1380-1383&lt;/_pages&gt;&lt;_url&gt;http://kns.cnki.net/KCMS/detail/detail.aspx?FileName=JSSD201908030&amp;amp;DbName=CJFQ2019&lt;/_url&gt;&lt;_volume&gt;39&lt;/_volume&gt;&lt;_translated_author&gt;Luo, Gang&lt;/_translated_author&gt;&lt;/Details&gt;&lt;Extra&gt;&lt;DBUID&gt;{13BA3B49-12A1-4736-B8CB-B11B0D6D35A8}&lt;/DBUID&gt;&lt;/Extra&gt;&lt;/Item&gt;&lt;/References&gt;&lt;/Group&gt;&lt;/Citation&gt;_x000a_"/>
    <w:docVar w:name="NE.Ref{3A9983EE-5D23-4EAE-B5BD-2F6F8E08AEEA}" w:val=" ADDIN NE.Ref.{3A9983EE-5D23-4EAE-B5BD-2F6F8E08AEEA}&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3ACF207B-E17E-4275-B905-7F03CC9CEEC5}" w:val=" ADDIN NE.Ref.{3ACF207B-E17E-4275-B905-7F03CC9CEEC5}&lt;Citation&gt;&lt;Group&gt;&lt;References&gt;&lt;Item&gt;&lt;ID&gt;18&lt;/ID&gt;&lt;UID&gt;{A9D13A11-7F11-4199-8FC6-B4DDB68AAE40}&lt;/UID&gt;&lt;Title&gt;基于风险矩阵法的隧道洞口失稳风险评估&lt;/Title&gt;&lt;Template&gt;Journal Article&lt;/Template&gt;&lt;Star&gt;0&lt;/Star&gt;&lt;Tag&gt;0&lt;/Tag&gt;&lt;Author&gt;郭彦伟; 龚雪晴; 杨利明&lt;/Author&gt;&lt;Year&gt;2016&lt;/Year&gt;&lt;Details&gt;&lt;_accessed&gt;63061772&lt;/_accessed&gt;&lt;_author_adr&gt;河南省三门峡至淅川高速公路项目有限公司; 河南省三门峡至淅川高速公路项目有限公司; 河南省三门峡至淅川高速公路项目有限公司&lt;/_author_adr&gt;&lt;_author_aff&gt;河南省三门峡至淅川高速公路项目有限公司; 河南省三门峡至淅川高速公路项目有限公司; 河南省三门峡至淅川高速公路项目有限公司&lt;/_author_aff&gt;&lt;_created&gt;63061772&lt;/_created&gt;&lt;_db_provider&gt;北京万方数据股份有限公司&lt;/_db_provider&gt;&lt;_db_updated&gt;Wanfangdata&lt;/_db_updated&gt;&lt;_isbn&gt;1002-0268&lt;/_isbn&gt;&lt;_issue&gt;8&lt;/_issue&gt;&lt;_journal&gt;公路交通科技·应用技术版&lt;/_journal&gt;&lt;_keywords&gt;隧道; 风险矩阵; 洞口失稳; 风险源; 风险评估; 风险控制&lt;/_keywords&gt;&lt;_language&gt;chi&lt;/_language&gt;&lt;_modified&gt;63061772&lt;/_modified&gt;&lt;_pages&gt;28-30&lt;/_pages&gt;&lt;_tertiary_title&gt;GongluJiaoTongKeJI&lt;/_tertiary_title&gt;&lt;_url&gt;http://www.wanfangdata.com.cn/details/detail.do?_type=perio&amp;amp;id=gljtkj-yyjsb201608011&lt;/_url&gt;&lt;_volume&gt;12&lt;/_volume&gt;&lt;_translated_author&gt;Guo, Yanwei;Gong, Xueqing;Yang, Liming&lt;/_translated_author&gt;&lt;/Details&gt;&lt;Extra&gt;&lt;DBUID&gt;{13BA3B49-12A1-4736-B8CB-B11B0D6D35A8}&lt;/DBUID&gt;&lt;/Extra&gt;&lt;/Item&gt;&lt;/References&gt;&lt;/Group&gt;&lt;/Citation&gt;_x000a_"/>
    <w:docVar w:name="NE.Ref{3BACE700-D2AF-4A44-9BE4-38E3A10AA5BC}" w:val=" ADDIN NE.Ref.{3BACE700-D2AF-4A44-9BE4-38E3A10AA5BC}&lt;Citation&gt;&lt;Group&gt;&lt;References&gt;&lt;Item&gt;&lt;ID&gt;54&lt;/ID&gt;&lt;UID&gt;{61095D25-2A02-495F-9CF5-5D621C19C161}&lt;/UID&gt;&lt;Title&gt;铁路瓦斯隧道技术规范&lt;/Title&gt;&lt;Template&gt;Standard&lt;/Template&gt;&lt;Star&gt;1&lt;/Star&gt;&lt;Tag&gt;0&lt;/Tag&gt;&lt;Author&gt;中华人民共和国铁道部&lt;/Author&gt;&lt;Year&gt;2002&lt;/Year&gt;&lt;Details&gt;&lt;_created&gt;63061798&lt;/_created&gt;&lt;_modified&gt;63061867&lt;/_modified&gt;&lt;_publisher&gt;北京：中国铁道出版社&lt;/_publisher&gt;&lt;_secondary_title&gt; TB 10120-2002&lt;/_secondary_title&gt;&lt;_translated_author&gt;Zhong, Huarenmingongheguotiedaobu&lt;/_translated_author&gt;&lt;/Details&gt;&lt;Extra&gt;&lt;DBUID&gt;{13BA3B49-12A1-4736-B8CB-B11B0D6D35A8}&lt;/DBUID&gt;&lt;/Extra&gt;&lt;/Item&gt;&lt;/References&gt;&lt;/Group&gt;&lt;/Citation&gt;_x000a_"/>
    <w:docVar w:name="NE.Ref{3E764CE8-58E7-4DF7-B6A7-8FF0BA409375}" w:val=" ADDIN NE.Ref.{3E764CE8-58E7-4DF7-B6A7-8FF0BA409375}&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3EAADA75-4E53-4FE8-884F-51011B8DB071}" w:val=" ADDIN NE.Ref.{3EAADA75-4E53-4FE8-884F-51011B8DB071}&lt;Citation&gt;&lt;Group&gt;&lt;References&gt;&lt;Item&gt;&lt;ID&gt;64&lt;/ID&gt;&lt;UID&gt;{6138F5A5-4349-43FB-8424-B21ABA9EAB68}&lt;/UID&gt;&lt;Title&gt;企业职工伤亡事故统计分析标准讲析&lt;/Title&gt;&lt;Template&gt;Book&lt;/Template&gt;&lt;Star&gt;0&lt;/Star&gt;&lt;Tag&gt;0&lt;/Tag&gt;&lt;Author&gt;吴道成等编&lt;/Author&gt;&lt;Year&gt;1988&lt;/Year&gt;&lt;Details&gt;&lt;_publisher&gt;北京：劳动人事出版社&lt;/_publisher&gt;&lt;_created&gt;63061842&lt;/_created&gt;&lt;_modified&gt;63061842&lt;/_modified&gt;&lt;_translated_author&gt;Wu, Daochengdengbian&lt;/_translated_author&gt;&lt;/Details&gt;&lt;Extra&gt;&lt;DBUID&gt;{13BA3B49-12A1-4736-B8CB-B11B0D6D35A8}&lt;/DBUID&gt;&lt;/Extra&gt;&lt;/Item&gt;&lt;/References&gt;&lt;/Group&gt;&lt;/Citation&gt;_x000a_"/>
    <w:docVar w:name="NE.Ref{3F5640B7-BBBD-46DC-9892-FE356CAE4443}" w:val=" ADDIN NE.Ref.{3F5640B7-BBBD-46DC-9892-FE356CAE4443}&lt;Citation&gt;&lt;Group&gt;&lt;References&gt;&lt;Item&gt;&lt;ID&gt;53&lt;/ID&gt;&lt;UID&gt;{33C5B9A0-DB5C-4519-A79C-C07ACA7084FC}&lt;/UID&gt;&lt;Title&gt;公路隧道设计规范&lt;/Title&gt;&lt;Template&gt;Standard&lt;/Template&gt;&lt;Star&gt;0&lt;/Star&gt;&lt;Tag&gt;0&lt;/Tag&gt;&lt;Author&gt;重庆交通科研设计院主编&lt;/Author&gt;&lt;Year&gt;2004&lt;/Year&gt;&lt;Details&gt;&lt;_created&gt;63061797&lt;/_created&gt;&lt;_modified&gt;63061867&lt;/_modified&gt;&lt;_publisher&gt;北京：人民交通出版社&lt;/_publisher&gt;&lt;_secondary_title&gt;JTG D70—2004&lt;/_secondary_title&gt;&lt;_translated_author&gt;Zhong, Qingjiaotongkeyanshejiyuanzhubian&lt;/_translated_author&gt;&lt;/Details&gt;&lt;Extra&gt;&lt;DBUID&gt;{13BA3B49-12A1-4736-B8CB-B11B0D6D35A8}&lt;/DBUID&gt;&lt;/Extra&gt;&lt;/Item&gt;&lt;/References&gt;&lt;/Group&gt;&lt;/Citation&gt;_x000a_"/>
    <w:docVar w:name="NE.Ref{41EF9106-40F2-40E5-906F-59FAB5294F7D}" w:val=" ADDIN NE.Ref.{41EF9106-40F2-40E5-906F-59FAB5294F7D}&lt;Citation&gt;&lt;Group&gt;&lt;References&gt;&lt;Item&gt;&lt;ID&gt;65&lt;/ID&gt;&lt;UID&gt;{2561025C-65CC-473F-9300-309D10D492EC}&lt;/UID&gt;&lt;Title&gt;水利水电工程地质勘察规范&lt;/Title&gt;&lt;Template&gt;Standard&lt;/Template&gt;&lt;Star&gt;1&lt;/Star&gt;&lt;Tag&gt;0&lt;/Tag&gt;&lt;Author&gt;中华人民共和国住房和城乡建设部; 中华人民共和国国家质量监督检验检疫总局&lt;/Author&gt;&lt;Year&gt;2008&lt;/Year&gt;&lt;Details&gt;&lt;_keywords&gt;建筑; 施工作业; 勘探; 地质学; 水力学&lt;/_keywords&gt;&lt;_pages&gt;272&lt;/_pages&gt;&lt;_secondary_title&gt;GB 50487-2008&lt;/_secondary_title&gt;&lt;_translated_title&gt;Code for engineering geological investigation of water resources and hydropower&lt;/_translated_title&gt;&lt;_url&gt;http://www.wanfangdata.com.cn/details/detail.do?_type=standards&amp;amp;id=GB 50487-2008&lt;/_url&gt;&lt;_created&gt;63061843&lt;/_created&gt;&lt;_modified&gt;63061845&lt;/_modified&gt;&lt;_publisher&gt;北京：中国计划出版社&lt;/_publisher&gt;&lt;_translated_author&gt;Zhong, Huarenmingongheguozhufanghechengxiangjianshebu;Zhong, Huarenmingongheguoguojiazhiliangjiandujianyanjianyizongju&lt;/_translated_author&gt;&lt;/Details&gt;&lt;Extra&gt;&lt;DBUID&gt;{13BA3B49-12A1-4736-B8CB-B11B0D6D35A8}&lt;/DBUID&gt;&lt;/Extra&gt;&lt;/Item&gt;&lt;/References&gt;&lt;/Group&gt;&lt;/Citation&gt;_x000a_"/>
    <w:docVar w:name="NE.Ref{424C7238-2C54-444A-A4D8-8C3521FA6D35}" w:val=" ADDIN NE.Ref.{424C7238-2C54-444A-A4D8-8C3521FA6D35}&lt;Citation&gt;&lt;Group&gt;&lt;References&gt;&lt;Item&gt;&lt;ID&gt;69&lt;/ID&gt;&lt;UID&gt;{CD9A388D-CDFB-406F-9F9E-A6C2290F09A0}&lt;/UID&gt;&lt;Title&gt;铁路隧道施工安全风险管理研究&lt;/Title&gt;&lt;Template&gt;Thesis&lt;/Template&gt;&lt;Star&gt;0&lt;/Star&gt;&lt;Tag&gt;0&lt;/Tag&gt;&lt;Author&gt;宋平&lt;/Author&gt;&lt;Year&gt;2009&lt;/Year&gt;&lt;Details&gt;&lt;_created&gt;63062423&lt;/_created&gt;&lt;_modified&gt;63062424&lt;/_modified&gt;&lt;_db_updated&gt;CNKI - Reference&lt;/_db_updated&gt;&lt;_url&gt;http://kns.cnki.net/KCMS/detail/detail.aspx?FileName=2009241151.nh&amp;amp;DbName=CMFD2010&lt;/_url&gt;&lt;_publisher&gt;中南大学&lt;/_publisher&gt;&lt;_volume&gt;硕士&lt;/_volume&gt;&lt;_pages&gt;87&lt;/_pages&gt;&lt;_tertiary_author&gt;徐志胜&lt;/_tertiary_author&gt;&lt;_keywords&gt;铁路隧道;施工安全;风险管理;指标体系;风险评估;风险控制&lt;/_keywords&gt;&lt;_db_provider&gt;CNKI: 硕士&lt;/_db_provider&gt;&lt;_accessed&gt;63062424&lt;/_accessed&gt;&lt;_translated_author&gt;Song, Ping&lt;/_translated_author&gt;&lt;_translated_tertiary_author&gt;Xu, Zhisheng&lt;/_translated_tertiary_author&gt;&lt;/Details&gt;&lt;Extra&gt;&lt;DBUID&gt;{13BA3B49-12A1-4736-B8CB-B11B0D6D35A8}&lt;/DBUID&gt;&lt;/Extra&gt;&lt;/Item&gt;&lt;/References&gt;&lt;/Group&gt;&lt;/Citation&gt;_x000a_"/>
    <w:docVar w:name="NE.Ref{42704663-FC39-4AA3-9BF6-347DFCCD40C9}" w:val=" ADDIN NE.Ref.{42704663-FC39-4AA3-9BF6-347DFCCD40C9}&lt;Citation&gt;&lt;Group&gt;&lt;References&gt;&lt;Item&gt;&lt;ID&gt;54&lt;/ID&gt;&lt;UID&gt;{61095D25-2A02-495F-9CF5-5D621C19C161}&lt;/UID&gt;&lt;Title&gt;铁路瓦斯隧道技术规范&lt;/Title&gt;&lt;Template&gt;Standard&lt;/Template&gt;&lt;Star&gt;1&lt;/Star&gt;&lt;Tag&gt;0&lt;/Tag&gt;&lt;Author&gt;中华人民共和国铁道部&lt;/Author&gt;&lt;Year&gt;2002&lt;/Year&gt;&lt;Details&gt;&lt;_created&gt;63061798&lt;/_created&gt;&lt;_modified&gt;63061867&lt;/_modified&gt;&lt;_publisher&gt;北京：中国铁道出版社&lt;/_publisher&gt;&lt;_secondary_title&gt; TB 10120-2002&lt;/_secondary_title&gt;&lt;_translated_author&gt;Zhong, Huarenmingongheguotiedaobu&lt;/_translated_author&gt;&lt;/Details&gt;&lt;Extra&gt;&lt;DBUID&gt;{13BA3B49-12A1-4736-B8CB-B11B0D6D35A8}&lt;/DBUID&gt;&lt;/Extra&gt;&lt;/Item&gt;&lt;/References&gt;&lt;/Group&gt;&lt;/Citation&gt;_x000a_"/>
    <w:docVar w:name="NE.Ref{43D120C3-8071-46E3-AA12-BC54CF7D5840}" w:val=" ADDIN NE.Ref.{43D120C3-8071-46E3-AA12-BC54CF7D5840}&lt;Citation&gt;&lt;Group&gt;&lt;References&gt;&lt;Item&gt;&lt;ID&gt;78&lt;/ID&gt;&lt;UID&gt;{7B16D60F-8B93-4A34-9221-C23949F2A2B2}&lt;/UID&gt;&lt;Title&gt;岩石力学与工程 第2版&lt;/Title&gt;&lt;Template&gt;Book&lt;/Template&gt;&lt;Star&gt;0&lt;/Star&gt;&lt;Tag&gt;0&lt;/Tag&gt;&lt;Author&gt;蔡美峰主编&lt;/Author&gt;&lt;Year&gt;2013&lt;/Year&gt;&lt;Details&gt;&lt;_publisher&gt;北京：科学出版社&lt;/_publisher&gt;&lt;_created&gt;63114861&lt;/_created&gt;&lt;_modified&gt;63114861&lt;/_modified&gt;&lt;_translated_author&gt;Cai, Meifengzhubian&lt;/_translated_author&gt;&lt;/Details&gt;&lt;Extra&gt;&lt;DBUID&gt;{13BA3B49-12A1-4736-B8CB-B11B0D6D35A8}&lt;/DBUID&gt;&lt;/Extra&gt;&lt;/Item&gt;&lt;/References&gt;&lt;/Group&gt;&lt;/Citation&gt;_x000a_"/>
    <w:docVar w:name="NE.Ref{444F1B7C-F651-493F-99BC-0200459F26E8}" w:val=" ADDIN NE.Ref.{444F1B7C-F651-493F-99BC-0200459F26E8}&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44A0F749-2CCD-471C-BAC6-EFF611F481CE}" w:val=" ADDIN NE.Ref.{44A0F749-2CCD-471C-BAC6-EFF611F481CE}&lt;Citation&gt;&lt;Group&gt;&lt;References&gt;&lt;Item&gt;&lt;ID&gt;55&lt;/ID&gt;&lt;UID&gt;{D1E90C3F-C8D5-4960-97AF-328BCA73AD8A}&lt;/UID&gt;&lt;Title&gt;公路工程施工安全技术规范&lt;/Title&gt;&lt;Template&gt;Standard&lt;/Template&gt;&lt;Star&gt;1&lt;/Star&gt;&lt;Tag&gt;0&lt;/Tag&gt;&lt;Author&gt;中交第四公路工程局有限公司主编单位中国交通建设股份有限公司&lt;/Author&gt;&lt;Year&gt;2015&lt;/Year&gt;&lt;Details&gt;&lt;_created&gt;63061799&lt;/_created&gt;&lt;_modified&gt;63061867&lt;/_modified&gt;&lt;_publisher&gt;北京：人民交通出版社&lt;/_publisher&gt;&lt;_secondary_title&gt;JTG F90-2015&lt;/_secondary_title&gt;&lt;_translated_author&gt;Zhong, Jiaodisigonglugongchengjuyouxiangongsizhubiandanweizhongguojiaotongjianshegufenyouxiangongsi&lt;/_translated_author&gt;&lt;/Details&gt;&lt;Extra&gt;&lt;DBUID&gt;{13BA3B49-12A1-4736-B8CB-B11B0D6D35A8}&lt;/DBUID&gt;&lt;/Extra&gt;&lt;/Item&gt;&lt;/References&gt;&lt;/Group&gt;&lt;/Citation&gt;_x000a_"/>
    <w:docVar w:name="NE.Ref{44AC78F9-1BBB-420C-8212-B52DA094850C}" w:val=" ADDIN NE.Ref.{44AC78F9-1BBB-420C-8212-B52DA094850C}&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48A90248-D823-4106-AC00-EB94C435BC47}" w:val=" ADDIN NE.Ref.{48A90248-D823-4106-AC00-EB94C435BC47}&lt;Citation&gt;&lt;Group&gt;&lt;References&gt;&lt;Item&gt;&lt;ID&gt;81&lt;/ID&gt;&lt;UID&gt;{D21A042E-D35B-4F13-B9B1-4EA4B0B23AD4}&lt;/UID&gt;&lt;Title&gt;高地应力软岩隧道大变形预测及防治研究&lt;/Title&gt;&lt;Template&gt;Journal Article&lt;/Template&gt;&lt;Star&gt;0&lt;/Star&gt;&lt;Tag&gt;0&lt;/Tag&gt;&lt;Author&gt;谷建岭&lt;/Author&gt;&lt;Year&gt;2011&lt;/Year&gt;&lt;Details&gt;&lt;_author_adr&gt;中铁二十二局第二工程有限公司;&lt;/_author_adr&gt;&lt;_db_provider&gt;CNKI&lt;/_db_provider&gt;&lt;_isbn&gt;1007-3973&lt;/_isbn&gt;&lt;_issue&gt;04&lt;/_issue&gt;&lt;_journal&gt;科协论坛(下半月)&lt;/_journal&gt;&lt;_keywords&gt;隧道;稳定性;高地应力;大变形;预测与防治&lt;/_keywords&gt;&lt;_pages&gt;13-14&lt;/_pages&gt;&lt;_created&gt;63114914&lt;/_created&gt;&lt;_modified&gt;63114914&lt;/_modified&gt;&lt;_translated_author&gt;Gu, Jianling&lt;/_translated_author&gt;&lt;/Details&gt;&lt;Extra&gt;&lt;DBUID&gt;{13BA3B49-12A1-4736-B8CB-B11B0D6D35A8}&lt;/DBUID&gt;&lt;/Extra&gt;&lt;/Item&gt;&lt;/References&gt;&lt;/Group&gt;&lt;Group&gt;&lt;References&gt;&lt;Item&gt;&lt;ID&gt;82&lt;/ID&gt;&lt;UID&gt;{25F9C16B-3186-4BAB-BA6F-DC2861036653}&lt;/UID&gt;&lt;Title&gt;挤压性围岩隧道大变形机理及分级标准研究&lt;/Title&gt;&lt;Template&gt;Journal Article&lt;/Template&gt;&lt;Star&gt;0&lt;/Star&gt;&lt;Tag&gt;0&lt;/Tag&gt;&lt;Author&gt;刘志春; 朱永全; 李文江; 刘泮兴&lt;/Author&gt;&lt;Year&gt;2008&lt;/Year&gt;&lt;Details&gt;&lt;_author_adr&gt;石家庄铁道学院,石家庄铁道学院,石家庄铁道学院,石家庄铁道学院 河北石家庄050043,河北石家庄050043,河北石家庄050043,河北石家庄050043&lt;/_author_adr&gt;&lt;_db_provider&gt;CNKI&lt;/_db_provider&gt;&lt;_isbn&gt;1000-4548&lt;/_isbn&gt;&lt;_issue&gt;05&lt;/_issue&gt;&lt;_journal&gt;岩土工程学报&lt;/_journal&gt;&lt;_keywords&gt;挤压性围岩隧道;大变形;强度应力比;塑性区;分级标准&lt;/_keywords&gt;&lt;_pages&gt;690-697&lt;/_pages&gt;&lt;_created&gt;63114915&lt;/_created&gt;&lt;_modified&gt;63114915&lt;/_modified&gt;&lt;_collection_scope&gt;CSCD;PKU;EI&lt;/_collection_scope&gt;&lt;_translated_author&gt;Liu, Zhichun;Zhu, Yongquan;Li, Wenjiang;Liu, Panxing&lt;/_translated_author&gt;&lt;/Details&gt;&lt;Extra&gt;&lt;DBUID&gt;{13BA3B49-12A1-4736-B8CB-B11B0D6D35A8}&lt;/DBUID&gt;&lt;/Extra&gt;&lt;/Item&gt;&lt;/References&gt;&lt;/Group&gt;&lt;/Citation&gt;_x000a_"/>
    <w:docVar w:name="NE.Ref{4A287DF8-E5B6-4C75-9C28-08C305E372D5}" w:val=" ADDIN NE.Ref.{4A287DF8-E5B6-4C75-9C28-08C305E372D5}&lt;Citation&gt;&lt;Group&gt;&lt;References&gt;&lt;Item&gt;&lt;ID&gt;122&lt;/ID&gt;&lt;UID&gt;{8BE051BF-6C22-46D5-B0BE-FD69A9304667}&lt;/UID&gt;&lt;Title&gt;Guidelines for tunnelling risk management: International Tunnelling Association, Working Group No. 2&lt;/Title&gt;&lt;Template&gt;Journal Article&lt;/Template&gt;&lt;Star&gt;0&lt;/Star&gt;&lt;Tag&gt;0&lt;/Tag&gt;&lt;Author&gt;Degn Eskesen, Søren; Tengborg, Per; Kampmann, Jørgen; Holst Veicherts, Trine&lt;/Author&gt;&lt;Year&gt;2004&lt;/Year&gt;&lt;Details&gt;&lt;_accessed&gt;63034018&lt;/_accessed&gt;&lt;_collection_scope&gt;SCIE;EI&lt;/_collection_scope&gt;&lt;_created&gt;63034018&lt;/_created&gt;&lt;_db_updated&gt;CrossRef&lt;/_db_updated&gt;&lt;_doi&gt;10.1016/j.tust.2004.01.001&lt;/_doi&gt;&lt;_impact_factor&gt;   3.942&lt;/_impact_factor&gt;&lt;_isbn&gt;08867798&lt;/_isbn&gt;&lt;_issue&gt;3&lt;/_issue&gt;&lt;_journal&gt;Tunnelling and Underground Space Technology&lt;/_journal&gt;&lt;_modified&gt;63034018&lt;/_modified&gt;&lt;_pages&gt;217-237&lt;/_pages&gt;&lt;_tertiary_title&gt;Tunnelling and Underground Space Technology&lt;/_tertiary_title&gt;&lt;_url&gt;https://linkinghub.elsevier.com/retrieve/pii/S0886779804000021_x000d__x000a_https://api.elsevier.com/content/article/PII:S0886779804000021?httpAccept=text/xml&lt;/_url&gt;&lt;_volume&gt;19&lt;/_volume&gt;&lt;/Details&gt;&lt;Extra&gt;&lt;DBUID&gt;{C5464CEE-9149-4B7D-84D8-26EAAD582844}&lt;/DBUID&gt;&lt;/Extra&gt;&lt;/Item&gt;&lt;/References&gt;&lt;/Group&gt;&lt;/Citation&gt;_x000a_"/>
    <w:docVar w:name="NE.Ref{4C7A7FE0-6021-412A-812F-441C525D560C}" w:val=" ADDIN NE.Ref.{4C7A7FE0-6021-412A-812F-441C525D560C}&lt;Citation&gt;&lt;Group&gt;&lt;References&gt;&lt;Item&gt;&lt;ID&gt;24&lt;/ID&gt;&lt;UID&gt;{EF564CED-A65A-4D88-A476-62EC16CC80A9}&lt;/UID&gt;&lt;Title&gt;公路隧道穿越断层塌方预测多级模糊综合评判&lt;/Title&gt;&lt;Template&gt;Journal Article&lt;/Template&gt;&lt;Star&gt;0&lt;/Star&gt;&lt;Tag&gt;0&lt;/Tag&gt;&lt;Author&gt;刘学增; 包浩杉; 米东阳&lt;/Author&gt;&lt;Year&gt;2011&lt;/Year&gt;&lt;Details&gt;&lt;_accessed&gt;63061772&lt;/_accessed&gt;&lt;_author_aff&gt;同济大学土木信息技术教育部工程研究中心;同济大学地下建筑与工程系;山西省交通科学研究院;&lt;/_author_aff&gt;&lt;_collection_scope&gt;CSCD;PKU&lt;/_collection_scope&gt;&lt;_created&gt;63061772&lt;/_created&gt;&lt;_date&gt;58881600&lt;/_date&gt;&lt;_db_provider&gt;CNKI: 期刊&lt;/_db_provider&gt;&lt;_db_updated&gt;CNKI - Reference&lt;/_db_updated&gt;&lt;_issue&gt;06&lt;/_issue&gt;&lt;_journal&gt;现代隧道技术&lt;/_journal&gt;&lt;_keywords&gt;断层;塌方预测;影响因素;评判模型;隶属函数&lt;/_keywords&gt;&lt;_language&gt;Chinese&lt;/_language&gt;&lt;_modified&gt;63061772&lt;/_modified&gt;&lt;_pages&gt;65-71&lt;/_pages&gt;&lt;_url&gt;http://kns.cnki.net/KCMS/detail/detail.aspx?FileName=XDSD201106014&amp;amp;DbName=CJFQ2011&lt;/_url&gt;&lt;_volume&gt;48&lt;/_volume&gt;&lt;_translated_author&gt;Liu, Xuezeng;Bao, Haoshan;Mi, Dongyang&lt;/_translated_author&gt;&lt;/Details&gt;&lt;Extra&gt;&lt;DBUID&gt;{13BA3B49-12A1-4736-B8CB-B11B0D6D35A8}&lt;/DBUID&gt;&lt;/Extra&gt;&lt;/Item&gt;&lt;/References&gt;&lt;/Group&gt;&lt;/Citation&gt;_x000a_"/>
    <w:docVar w:name="NE.Ref{4CA85652-973F-4CFD-BD2A-6E806E766718}" w:val=" ADDIN NE.Ref.{4CA85652-973F-4CFD-BD2A-6E806E766718}&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4CFE1023-C058-4ABC-A5F3-5E5EE34E828E}" w:val=" ADDIN NE.Ref.{4CFE1023-C058-4ABC-A5F3-5E5EE34E828E}&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4E1DDE9A-FEB5-41E1-B949-BB5C0E690364}" w:val=" ADDIN NE.Ref.{4E1DDE9A-FEB5-41E1-B949-BB5C0E690364}&lt;Citation&gt;&lt;Group&gt;&lt;References&gt;&lt;Item&gt;&lt;ID&gt;66&lt;/ID&gt;&lt;UID&gt;{94D06DA0-5BEB-4DB2-8E70-B23FE7B9FF0E}&lt;/UID&gt;&lt;Title&gt;公路隧道施工技术规范&lt;/Title&gt;&lt;Template&gt;Standard&lt;/Template&gt;&lt;Star&gt;1&lt;/Star&gt;&lt;Tag&gt;0&lt;/Tag&gt;&lt;Author&gt;中交第一公路工程局有限公司主编&lt;/Author&gt;&lt;Year&gt;2009&lt;/Year&gt;&lt;Details&gt;&lt;_publisher&gt;北京：人民交通出版社&lt;/_publisher&gt;&lt;_created&gt;63061846&lt;/_created&gt;&lt;_modified&gt;63061869&lt;/_modified&gt;&lt;_secondary_title&gt;JTG F60-2009&lt;/_secondary_title&gt;&lt;_translated_author&gt;Zhong, Jiaodiyigonglugongchengjuyouxiangongsizhubian&lt;/_translated_author&gt;&lt;/Details&gt;&lt;Extra&gt;&lt;DBUID&gt;{13BA3B49-12A1-4736-B8CB-B11B0D6D35A8}&lt;/DBUID&gt;&lt;/Extra&gt;&lt;/Item&gt;&lt;/References&gt;&lt;/Group&gt;&lt;/Citation&gt;_x000a_"/>
    <w:docVar w:name="NE.Ref{4EEDA3F2-0CCE-4B0E-A01E-171AEC7ACF0E}" w:val=" ADDIN NE.Ref.{4EEDA3F2-0CCE-4B0E-A01E-171AEC7ACF0E}&lt;Citation&gt;&lt;Group&gt;&lt;References&gt;&lt;Item&gt;&lt;ID&gt;55&lt;/ID&gt;&lt;UID&gt;{D1E90C3F-C8D5-4960-97AF-328BCA73AD8A}&lt;/UID&gt;&lt;Title&gt;公路工程施工安全技术规范&lt;/Title&gt;&lt;Template&gt;Standard&lt;/Template&gt;&lt;Star&gt;1&lt;/Star&gt;&lt;Tag&gt;0&lt;/Tag&gt;&lt;Author&gt;中交第四公路工程局有限公司主编单位中国交通建设股份有限公司&lt;/Author&gt;&lt;Year&gt;2015&lt;/Year&gt;&lt;Details&gt;&lt;_created&gt;63061799&lt;/_created&gt;&lt;_modified&gt;63061867&lt;/_modified&gt;&lt;_publisher&gt;北京：人民交通出版社&lt;/_publisher&gt;&lt;_secondary_title&gt;JTG F90-2015&lt;/_secondary_title&gt;&lt;_translated_author&gt;Zhong, Jiaodisigonglugongchengjuyouxiangongsizhubiandanweizhongguojiaotongjianshegufenyouxiangongsi&lt;/_translated_author&gt;&lt;/Details&gt;&lt;Extra&gt;&lt;DBUID&gt;{13BA3B49-12A1-4736-B8CB-B11B0D6D35A8}&lt;/DBUID&gt;&lt;/Extra&gt;&lt;/Item&gt;&lt;/References&gt;&lt;/Group&gt;&lt;/Citation&gt;_x000a_"/>
    <w:docVar w:name="NE.Ref{4F5B9522-35CB-482E-8F46-28364D9F3EBE}" w:val=" ADDIN NE.Ref.{4F5B9522-35CB-482E-8F46-28364D9F3EBE}&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53C6C9E0-9EF6-4049-B846-E5F77918CAAB}" w:val=" ADDIN NE.Ref.{53C6C9E0-9EF6-4049-B846-E5F77918CAAB}&lt;Citation&gt;&lt;Group&gt;&lt;References&gt;&lt;Item&gt;&lt;ID&gt;76&lt;/ID&gt;&lt;UID&gt;{57E46213-8956-452E-9A39-F906CC742C0A}&lt;/UID&gt;&lt;Title&gt;宁波市交通质监站组织开展公路工程施工安全风险管理知识培训&lt;/Title&gt;&lt;Template&gt;Web Page&lt;/Template&gt;&lt;Star&gt;0&lt;/Star&gt;&lt;Tag&gt;0&lt;/Tag&gt;&lt;Author&gt;宁波市交通工程质量监督站&lt;/Author&gt;&lt;Year&gt;2018&lt;/Year&gt;&lt;Details&gt;&lt;_url&gt;http://zjzj.zjt.gov.cn/art/2018/11/6/art_5460_1029387.html&lt;/_url&gt;&lt;_volume&gt;2020年&lt;/_volume&gt;&lt;_issue&gt;2020-01-01&lt;/_issue&gt;&lt;_date_display&gt;2018年11月6日&lt;/_date_display&gt;&lt;_accessed&gt;63114843&lt;/_accessed&gt;&lt;_created&gt;63114840&lt;/_created&gt;&lt;_modified&gt;63114844&lt;/_modified&gt;&lt;_date&gt;62507520&lt;/_date&gt;&lt;_translated_author&gt;Ning, Boshijiaotonggongchengzhiliangjianduzhan&lt;/_translated_author&gt;&lt;/Details&gt;&lt;Extra&gt;&lt;DBUID&gt;{13BA3B49-12A1-4736-B8CB-B11B0D6D35A8}&lt;/DBUID&gt;&lt;/Extra&gt;&lt;/Item&gt;&lt;/References&gt;&lt;/Group&gt;&lt;/Citation&gt;_x000a_"/>
    <w:docVar w:name="NE.Ref{54265740-2486-4719-95F4-53AD9EACE1EC}" w:val=" ADDIN NE.Ref.{54265740-2486-4719-95F4-53AD9EACE1EC}&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54C009E0-884D-4C20-8BF2-F4E5D3C8218B}" w:val=" ADDIN NE.Ref.{54C009E0-884D-4C20-8BF2-F4E5D3C8218B}&lt;Citation&gt;&lt;Group&gt;&lt;References&gt;&lt;Item&gt;&lt;ID&gt;52&lt;/ID&gt;&lt;UID&gt;{186C33C3-95BB-472F-B0C5-D1BCCB29B45D}&lt;/UID&gt;&lt;Title&gt;生产安全事故报告和调查处理条例&lt;/Title&gt;&lt;Template&gt;Book&lt;/Template&gt;&lt;Star&gt;0&lt;/Star&gt;&lt;Tag&gt;0&lt;/Tag&gt;&lt;Author&gt;国务院法制办公室编&lt;/Author&gt;&lt;Year&gt;2007&lt;/Year&gt;&lt;Details&gt;&lt;_created&gt;63061796&lt;/_created&gt;&lt;_modified&gt;63061796&lt;/_modified&gt;&lt;_publisher&gt;北京：中国法制出版社&lt;/_publisher&gt;&lt;_translated_author&gt;Guo, Wuyuanfazhibangongshibian&lt;/_translated_author&gt;&lt;/Details&gt;&lt;Extra&gt;&lt;DBUID&gt;{13BA3B49-12A1-4736-B8CB-B11B0D6D35A8}&lt;/DBUID&gt;&lt;/Extra&gt;&lt;/Item&gt;&lt;/References&gt;&lt;/Group&gt;&lt;/Citation&gt;_x000a_"/>
    <w:docVar w:name="NE.Ref{5518EB55-718E-4601-A8AB-30603BA2A7B2}" w:val=" ADDIN NE.Ref.{5518EB55-718E-4601-A8AB-30603BA2A7B2}&lt;Citation&gt;&lt;Group&gt;&lt;References&gt;&lt;Item&gt;&lt;ID&gt;122&lt;/ID&gt;&lt;UID&gt;{8BE051BF-6C22-46D5-B0BE-FD69A9304667}&lt;/UID&gt;&lt;Title&gt;Guidelines for tunnelling risk management: International Tunnelling Association, Working Group No. 2&lt;/Title&gt;&lt;Template&gt;Journal Article&lt;/Template&gt;&lt;Star&gt;0&lt;/Star&gt;&lt;Tag&gt;0&lt;/Tag&gt;&lt;Author&gt;Degn Eskesen, Søren; Tengborg, Per; Kampmann, Jørgen; Holst Veicherts, Trine&lt;/Author&gt;&lt;Year&gt;2004&lt;/Year&gt;&lt;Details&gt;&lt;_accessed&gt;63034018&lt;/_accessed&gt;&lt;_collection_scope&gt;SCIE;EI&lt;/_collection_scope&gt;&lt;_created&gt;63034018&lt;/_created&gt;&lt;_db_updated&gt;CrossRef&lt;/_db_updated&gt;&lt;_doi&gt;10.1016/j.tust.2004.01.001&lt;/_doi&gt;&lt;_impact_factor&gt;   3.942&lt;/_impact_factor&gt;&lt;_isbn&gt;08867798&lt;/_isbn&gt;&lt;_issue&gt;3&lt;/_issue&gt;&lt;_journal&gt;Tunnelling and Underground Space Technology&lt;/_journal&gt;&lt;_modified&gt;63034018&lt;/_modified&gt;&lt;_pages&gt;217-237&lt;/_pages&gt;&lt;_tertiary_title&gt;Tunnelling and Underground Space Technology&lt;/_tertiary_title&gt;&lt;_url&gt;https://linkinghub.elsevier.com/retrieve/pii/S0886779804000021_x000d__x000a_https://api.elsevier.com/content/article/PII:S0886779804000021?httpAccept=text/xml&lt;/_url&gt;&lt;_volume&gt;19&lt;/_volume&gt;&lt;/Details&gt;&lt;Extra&gt;&lt;DBUID&gt;{C5464CEE-9149-4B7D-84D8-26EAAD582844}&lt;/DBUID&gt;&lt;/Extra&gt;&lt;/Item&gt;&lt;/References&gt;&lt;/Group&gt;&lt;/Citation&gt;_x000a_"/>
    <w:docVar w:name="NE.Ref{55958FD8-D4A8-468C-9C6E-D87B8138849F}" w:val=" ADDIN NE.Ref.{55958FD8-D4A8-468C-9C6E-D87B8138849F}&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55B1C787-FB9E-47A3-9E4E-0F830B6CF173}" w:val=" ADDIN NE.Ref.{55B1C787-FB9E-47A3-9E4E-0F830B6CF173}&lt;Citation&gt;&lt;Group&gt;&lt;References&gt;&lt;Item&gt;&lt;ID&gt;73&lt;/ID&gt;&lt;UID&gt;{929AC508-B56B-4920-9D7B-FE5A21002F4F}&lt;/UID&gt;&lt;Title&gt;水工隧洞设计规范&lt;/Title&gt;&lt;Template&gt;Standard&lt;/Template&gt;&lt;Star&gt;0&lt;/Star&gt;&lt;Tag&gt;0&lt;/Tag&gt;&lt;Author&gt;中华人民共和国水利部编&lt;/Author&gt;&lt;Year&gt;2016&lt;/Year&gt;&lt;Details&gt;&lt;_publisher&gt;北京：中国水利水电出版社&lt;/_publisher&gt;&lt;_created&gt;63062751&lt;/_created&gt;&lt;_modified&gt;63062754&lt;/_modified&gt;&lt;_secondary_title&gt;DL/T 5195-2004&lt;/_secondary_title&gt;&lt;_translated_author&gt;Zhong, Huarenmingongheguoshuilibubian&lt;/_translated_author&gt;&lt;/Details&gt;&lt;Extra&gt;&lt;DBUID&gt;{13BA3B49-12A1-4736-B8CB-B11B0D6D35A8}&lt;/DBUID&gt;&lt;/Extra&gt;&lt;/Item&gt;&lt;/References&gt;&lt;/Group&gt;&lt;/Citation&gt;_x000a_"/>
    <w:docVar w:name="NE.Ref{5665E540-9E91-47F9-8CF1-C040C69E1DE0}" w:val=" ADDIN NE.Ref.{5665E540-9E91-47F9-8CF1-C040C69E1DE0}&lt;Citation&gt;&lt;Group&gt;&lt;References&gt;&lt;Item&gt;&lt;ID&gt;58&lt;/ID&gt;&lt;UID&gt;{A259D4B8-F5B3-4F12-9466-34A8983B7983}&lt;/UID&gt;&lt;Title&gt;企业职工伤亡事故分类&lt;/Title&gt;&lt;Template&gt;Standard&lt;/Template&gt;&lt;Star&gt;0&lt;/Star&gt;&lt;Tag&gt;0&lt;/Tag&gt;&lt;Author&gt;国家标准局&lt;/Author&gt;&lt;Year&gt;1986&lt;/Year&gt;&lt;Details&gt;&lt;_issue&gt;13;13.200&lt;/_issue&gt;&lt;_keywords&gt;工厂职工; 死亡; 工业事故; 受伤; 分类系统; 企业; 事故&lt;/_keywords&gt;&lt;_pages&gt;15&lt;/_pages&gt;&lt;_secondary_title&gt;GB/T 6441-1986&lt;/_secondary_title&gt;&lt;_translated_title&gt;The classification for casualty accidents of enterprise staff and workers&lt;/_translated_title&gt;&lt;_url&gt;http://www.wanfangdata.com.cn/details/detail.do?_type=standards&amp;amp;id=GB/T 6441-1986&lt;/_url&gt;&lt;_created&gt;63061812&lt;/_created&gt;&lt;_modified&gt;63061816&lt;/_modified&gt;&lt;_publisher&gt;北京：中国标准出版社&lt;/_publisher&gt;&lt;_translated_author&gt;Guo, Jiabiaozhunju&lt;/_translated_author&gt;&lt;/Details&gt;&lt;Extra&gt;&lt;DBUID&gt;{13BA3B49-12A1-4736-B8CB-B11B0D6D35A8}&lt;/DBUID&gt;&lt;/Extra&gt;&lt;/Item&gt;&lt;/References&gt;&lt;/Group&gt;&lt;/Citation&gt;_x000a_"/>
    <w:docVar w:name="NE.Ref{594372E5-F823-4718-A2B2-54F38D9D96D4}" w:val=" ADDIN NE.Ref.{594372E5-F823-4718-A2B2-54F38D9D96D4}&lt;Citation&gt;&lt;Group&gt;&lt;References&gt;&lt;Item&gt;&lt;ID&gt;52&lt;/ID&gt;&lt;UID&gt;{186C33C3-95BB-472F-B0C5-D1BCCB29B45D}&lt;/UID&gt;&lt;Title&gt;生产安全事故报告和调查处理条例&lt;/Title&gt;&lt;Template&gt;Book&lt;/Template&gt;&lt;Star&gt;0&lt;/Star&gt;&lt;Tag&gt;0&lt;/Tag&gt;&lt;Author&gt;国务院法制办公室编&lt;/Author&gt;&lt;Year&gt;2007&lt;/Year&gt;&lt;Details&gt;&lt;_created&gt;63061796&lt;/_created&gt;&lt;_modified&gt;63061796&lt;/_modified&gt;&lt;_publisher&gt;北京：中国法制出版社&lt;/_publisher&gt;&lt;_translated_author&gt;Guo, Wuyuanfazhibangongshibian&lt;/_translated_author&gt;&lt;/Details&gt;&lt;Extra&gt;&lt;DBUID&gt;{13BA3B49-12A1-4736-B8CB-B11B0D6D35A8}&lt;/DBUID&gt;&lt;/Extra&gt;&lt;/Item&gt;&lt;/References&gt;&lt;/Group&gt;&lt;/Citation&gt;_x000a_"/>
    <w:docVar w:name="NE.Ref{595B1693-64C1-458D-BF03-1169C14383F5}" w:val=" ADDIN NE.Ref.{595B1693-64C1-458D-BF03-1169C14383F5}&lt;Citation&gt;&lt;Group&gt;&lt;References&gt;&lt;Item&gt;&lt;ID&gt;54&lt;/ID&gt;&lt;UID&gt;{61095D25-2A02-495F-9CF5-5D621C19C161}&lt;/UID&gt;&lt;Title&gt;铁路瓦斯隧道技术规范&lt;/Title&gt;&lt;Template&gt;Standard&lt;/Template&gt;&lt;Star&gt;1&lt;/Star&gt;&lt;Tag&gt;0&lt;/Tag&gt;&lt;Author&gt;中华人民共和国铁道部&lt;/Author&gt;&lt;Year&gt;2002&lt;/Year&gt;&lt;Details&gt;&lt;_created&gt;63061798&lt;/_created&gt;&lt;_modified&gt;63061867&lt;/_modified&gt;&lt;_publisher&gt;北京：中国铁道出版社&lt;/_publisher&gt;&lt;_secondary_title&gt; TB 10120-2002&lt;/_secondary_title&gt;&lt;_translated_author&gt;Zhong, Huarenmingongheguotiedaobu&lt;/_translated_author&gt;&lt;/Details&gt;&lt;Extra&gt;&lt;DBUID&gt;{13BA3B49-12A1-4736-B8CB-B11B0D6D35A8}&lt;/DBUID&gt;&lt;/Extra&gt;&lt;/Item&gt;&lt;/References&gt;&lt;/Group&gt;&lt;/Citation&gt;_x000a_"/>
    <w:docVar w:name="NE.Ref{5964E9A8-7224-49DA-AB65-3CF881D33FAC}" w:val=" ADDIN NE.Ref.{5964E9A8-7224-49DA-AB65-3CF881D33FAC}&lt;Citation&gt;&lt;Group&gt;&lt;References&gt;&lt;Item&gt;&lt;ID&gt;53&lt;/ID&gt;&lt;UID&gt;{33C5B9A0-DB5C-4519-A79C-C07ACA7084FC}&lt;/UID&gt;&lt;Title&gt;公路隧道设计规范&lt;/Title&gt;&lt;Template&gt;Standard&lt;/Template&gt;&lt;Star&gt;0&lt;/Star&gt;&lt;Tag&gt;0&lt;/Tag&gt;&lt;Author&gt;重庆交通科研设计院主编&lt;/Author&gt;&lt;Year&gt;2004&lt;/Year&gt;&lt;Details&gt;&lt;_created&gt;63061797&lt;/_created&gt;&lt;_modified&gt;63061867&lt;/_modified&gt;&lt;_publisher&gt;北京：人民交通出版社&lt;/_publisher&gt;&lt;_secondary_title&gt;JTG D70—2004&lt;/_secondary_title&gt;&lt;_translated_author&gt;Zhong, Qingjiaotongkeyanshejiyuanzhubian&lt;/_translated_author&gt;&lt;/Details&gt;&lt;Extra&gt;&lt;DBUID&gt;{13BA3B49-12A1-4736-B8CB-B11B0D6D35A8}&lt;/DBUID&gt;&lt;/Extra&gt;&lt;/Item&gt;&lt;/References&gt;&lt;/Group&gt;&lt;/Citation&gt;_x000a_"/>
    <w:docVar w:name="NE.Ref{5B2542D1-CE83-4584-8E15-1C38EA1B98B0}" w:val=" ADDIN NE.Ref.{5B2542D1-CE83-4584-8E15-1C38EA1B98B0}&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5CF480E8-DDFE-4CC5-85D6-46FBA2FE8B5E}" w:val=" ADDIN NE.Ref.{5CF480E8-DDFE-4CC5-85D6-46FBA2FE8B5E}&lt;Citation&gt;&lt;Group&gt;&lt;References&gt;&lt;Item&gt;&lt;ID&gt;55&lt;/ID&gt;&lt;UID&gt;{D1E90C3F-C8D5-4960-97AF-328BCA73AD8A}&lt;/UID&gt;&lt;Title&gt;公路工程施工安全技术规范&lt;/Title&gt;&lt;Template&gt;Standard&lt;/Template&gt;&lt;Star&gt;1&lt;/Star&gt;&lt;Tag&gt;0&lt;/Tag&gt;&lt;Author&gt;中交第四公路工程局有限公司主编单位中国交通建设股份有限公司&lt;/Author&gt;&lt;Year&gt;2015&lt;/Year&gt;&lt;Details&gt;&lt;_created&gt;63061799&lt;/_created&gt;&lt;_modified&gt;63061867&lt;/_modified&gt;&lt;_publisher&gt;北京：人民交通出版社&lt;/_publisher&gt;&lt;_secondary_title&gt;JTG F90-2015&lt;/_secondary_title&gt;&lt;_translated_author&gt;Zhong, Jiaodisigonglugongchengjuyouxiangongsizhubiandanweizhongguojiaotongjianshegufenyouxiangongsi&lt;/_translated_author&gt;&lt;/Details&gt;&lt;Extra&gt;&lt;DBUID&gt;{13BA3B49-12A1-4736-B8CB-B11B0D6D35A8}&lt;/DBUID&gt;&lt;/Extra&gt;&lt;/Item&gt;&lt;/References&gt;&lt;/Group&gt;&lt;/Citation&gt;_x000a_"/>
    <w:docVar w:name="NE.Ref{5F6989F2-B14B-48CD-B673-B5693B13BC28}" w:val=" ADDIN NE.Ref.{5F6989F2-B14B-48CD-B673-B5693B13BC28}&lt;Citation&gt;&lt;Group&gt;&lt;References&gt;&lt;Item&gt;&lt;ID&gt;62&lt;/ID&gt;&lt;UID&gt;{6AA3DA3A-BF3C-47A4-BDB7-34D554A817AC}&lt;/UID&gt;&lt;Title&gt;Q/CR9006-2014 铁路建设工程风险管理技术规范&lt;/Title&gt;&lt;Template&gt;Web Page&lt;/Template&gt;&lt;Star&gt;0&lt;/Star&gt;&lt;Tag&gt;0&lt;/Tag&gt;&lt;Author&gt;中国铁路总公司&lt;/Author&gt;&lt;Year&gt;2014&lt;/Year&gt;&lt;Details&gt;&lt;_url&gt;https://max.book118.com/html/2018/0123/150146620.shtm&lt;/_url&gt;&lt;_secondary_title&gt;Q/CR9006-2014 &lt;/_secondary_title&gt;&lt;_volume&gt;2019&lt;/_volume&gt;&lt;_issue&gt;2019-11-25&lt;/_issue&gt;&lt;_date_display&gt;2018年11月25日&lt;/_date_display&gt;&lt;_date&gt;62534880&lt;/_date&gt;&lt;_accessed&gt;63061838&lt;/_accessed&gt;&lt;_created&gt;63061838&lt;/_created&gt;&lt;_modified&gt;63061838&lt;/_modified&gt;&lt;_translated_author&gt;Zhong, Guotieluzonggongsi&lt;/_translated_author&gt;&lt;/Details&gt;&lt;Extra&gt;&lt;DBUID&gt;{13BA3B49-12A1-4736-B8CB-B11B0D6D35A8}&lt;/DBUID&gt;&lt;/Extra&gt;&lt;/Item&gt;&lt;/References&gt;&lt;/Group&gt;&lt;/Citation&gt;_x000a_"/>
    <w:docVar w:name="NE.Ref{61C919A1-8976-46D7-A00F-7DFCD27EDCDA}" w:val=" ADDIN NE.Ref.{61C919A1-8976-46D7-A00F-7DFCD27EDCDA}&lt;Citation&gt;&lt;Group&gt;&lt;References&gt;&lt;Item&gt;&lt;ID&gt;1&lt;/ID&gt;&lt;UID&gt;{2DC6ADBF-CC34-428D-B8BD-A784AA541D0D}&lt;/UID&gt;&lt;Title&gt;2018年中国公路隧道发展&lt;/Title&gt;&lt;Template&gt;Journal Article&lt;/Template&gt;&lt;Star&gt;0&lt;/Star&gt;&lt;Tag&gt;0&lt;/Tag&gt;&lt;Author&gt;蒋树屏; 林志; 王少飞&lt;/Author&gt;&lt;Year&gt;2019&lt;/Year&gt;&lt;Details&gt;&lt;_accessed&gt;63058515&lt;/_accessed&gt;&lt;_author_aff&gt;招商局重庆交通科研设计院有限公司;重庆交通大学;&lt;/_author_aff&gt;&lt;_created&gt;63058514&lt;/_created&gt;&lt;_date&gt;62893440&lt;/_date&gt;&lt;_db_provider&gt;CNKI: 期刊&lt;/_db_provider&gt;&lt;_db_updated&gt;CNKI - Reference&lt;/_db_updated&gt;&lt;_issue&gt;07&lt;/_issue&gt;&lt;_journal&gt;隧道建设(中英文)&lt;/_journal&gt;&lt;_keywords&gt;交通运输部;控制性工程;港珠澳大桥;隧道养护;&lt;/_keywords&gt;&lt;_language&gt;Chinese&lt;/_language&gt;&lt;_modified&gt;63058515&lt;/_modified&gt;&lt;_pages&gt;1217-1220&lt;/_pages&gt;&lt;_url&gt;http://kns.cnki.net/KCMS/detail/detail.aspx?FileName=JSSD201907026&amp;amp;DbName=CJFQ2019&lt;/_url&gt;&lt;_volume&gt;39&lt;/_volume&gt;&lt;_translated_author&gt;Jiang, Shuping;Lin, Zhi;Wang, Shaofei&lt;/_translated_author&gt;&lt;/Details&gt;&lt;Extra&gt;&lt;DBUID&gt;{13BA3B49-12A1-4736-B8CB-B11B0D6D35A8}&lt;/DBUID&gt;&lt;/Extra&gt;&lt;/Item&gt;&lt;/References&gt;&lt;/Group&gt;&lt;/Citation&gt;_x000a_"/>
    <w:docVar w:name="NE.Ref{622EDB64-9E4E-44E7-B611-2437F9083321}" w:val=" ADDIN NE.Ref.{622EDB64-9E4E-44E7-B611-2437F9083321}&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62A64918-DACE-415C-ADBA-EB8846DC1844}" w:val=" ADDIN NE.Ref.{62A64918-DACE-415C-ADBA-EB8846DC1844}&lt;Citation&gt;&lt;Group&gt;&lt;References&gt;&lt;Item&gt;&lt;ID&gt;41&lt;/ID&gt;&lt;UID&gt;{72127A32-FF6B-4608-899A-4B34CF668233}&lt;/UID&gt;&lt;Title&gt;隧道工程瓦斯灾害危险性评价体系研究&lt;/Title&gt;&lt;Template&gt;Thesis&lt;/Template&gt;&lt;Star&gt;0&lt;/Star&gt;&lt;Tag&gt;0&lt;/Tag&gt;&lt;Author&gt;康小兵&lt;/Author&gt;&lt;Year&gt;2009&lt;/Year&gt;&lt;Details&gt;&lt;_accessed&gt;63061777&lt;/_accessed&gt;&lt;_created&gt;63061774&lt;/_created&gt;&lt;_db_provider&gt;CNKI: 博士&lt;/_db_provider&gt;&lt;_db_updated&gt;CNKI - Reference&lt;/_db_updated&gt;&lt;_keywords&gt;隧道工程;瓦斯灾害;评价指标体系;综合集成赋权法;瓦斯隧道分级评价;瓦斯隧道施工危险性评价;瓦斯隧道掌子面突出评价&lt;/_keywords&gt;&lt;_modified&gt;63061777&lt;/_modified&gt;&lt;_pages&gt;200&lt;/_pages&gt;&lt;_publisher&gt;成都理工大学&lt;/_publisher&gt;&lt;_tertiary_author&gt;许模&lt;/_tertiary_author&gt;&lt;_url&gt;http://kns.cnki.net/KCMS/detail/detail.aspx?FileName=2009221308.nh&amp;amp;DbName=CDFD2009&lt;/_url&gt;&lt;_volume&gt;博士&lt;/_volume&gt;&lt;_translated_author&gt;Kang, Xiaobing&lt;/_translated_author&gt;&lt;_translated_tertiary_author&gt;Xu, Mo&lt;/_translated_tertiary_author&gt;&lt;/Details&gt;&lt;Extra&gt;&lt;DBUID&gt;{13BA3B49-12A1-4736-B8CB-B11B0D6D35A8}&lt;/DBUID&gt;&lt;/Extra&gt;&lt;/Item&gt;&lt;/References&gt;&lt;/Group&gt;&lt;/Citation&gt;_x000a_"/>
    <w:docVar w:name="NE.Ref{658D3C82-7C1C-4BE2-8A66-62DD6909B4D5}" w:val=" ADDIN NE.Ref.{658D3C82-7C1C-4BE2-8A66-62DD6909B4D5}&lt;Citation&gt;&lt;Group&gt;&lt;References&gt;&lt;Item&gt;&lt;ID&gt;7&lt;/ID&gt;&lt;UID&gt;{B2D34D78-ACDD-450A-A079-6A3ECE2F15D3}&lt;/UID&gt;&lt;Title&gt;深覆盖宽河床多种复杂岩体作为重力坝建基岩体研究&lt;/Title&gt;&lt;Template&gt;Thesis&lt;/Template&gt;&lt;Star&gt;0&lt;/Star&gt;&lt;Tag&gt;0&lt;/Tag&gt;&lt;Author&gt;周洪福&lt;/Author&gt;&lt;Year&gt;2008&lt;/Year&gt;&lt;Details&gt;&lt;_accessed&gt;63061461&lt;/_accessed&gt;&lt;_created&gt;63061461&lt;/_created&gt;&lt;_db_provider&gt;CNKI: 博士&lt;/_db_provider&gt;&lt;_db_updated&gt;CNKI - Reference&lt;/_db_updated&gt;&lt;_keywords&gt;赛格水电站;玄武岩;白云岩;断层破碎带岩体;充填胶结碎裂岩体;岩体结构;岩体质量;岩体力学参数;建基面;三维数值分析;处理措施&lt;/_keywords&gt;&lt;_modified&gt;63061461&lt;/_modified&gt;&lt;_pages&gt;158&lt;/_pages&gt;&lt;_publisher&gt;成都理工大学&lt;/_publisher&gt;&lt;_tertiary_author&gt;聂德新&lt;/_tertiary_author&gt;&lt;_url&gt;http://kns.cnki.net/KCMS/detail/detail.aspx?FileName=2008086112.nh&amp;amp;DbName=CDFD2008&lt;/_url&gt;&lt;_volume&gt;博士&lt;/_volume&gt;&lt;_translated_author&gt;Zhou, Hongfu&lt;/_translated_author&gt;&lt;_translated_tertiary_author&gt;Nie, Dexin&lt;/_translated_tertiary_author&gt;&lt;/Details&gt;&lt;Extra&gt;&lt;DBUID&gt;{13BA3B49-12A1-4736-B8CB-B11B0D6D35A8}&lt;/DBUID&gt;&lt;/Extra&gt;&lt;/Item&gt;&lt;/References&gt;&lt;/Group&gt;&lt;/Citation&gt;_x000a_"/>
    <w:docVar w:name="NE.Ref{670F4BAF-D32E-4499-880F-FA22E8B0B447}" w:val=" ADDIN NE.Ref.{670F4BAF-D32E-4499-880F-FA22E8B0B447}&lt;Citation&gt;&lt;Group&gt;&lt;References&gt;&lt;Item&gt;&lt;ID&gt;48&lt;/ID&gt;&lt;UID&gt;{C05622A5-A03C-4E08-8547-243359D8A72F}&lt;/UID&gt;&lt;Title&gt;公路工程质量检验评定标准 第1册 土建工程 JTG F80/1-2017&lt;/Title&gt;&lt;Template&gt;Standard&lt;/Template&gt;&lt;Star&gt;0&lt;/Star&gt;&lt;Tag&gt;0&lt;/Tag&gt;&lt;Author&gt;交通运输部公路科学研究院&lt;/Author&gt;&lt;Year&gt;2017&lt;/Year&gt;&lt;Details&gt;&lt;_created&gt;63061788&lt;/_created&gt;&lt;_modified&gt;63061858&lt;/_modified&gt;&lt;_publisher&gt;北京：人民交通出版社&lt;/_publisher&gt;&lt;_translated_author&gt;Jiao, Tongyunshubugonglukexueyanjiuyuan&lt;/_translated_author&gt;&lt;/Details&gt;&lt;Extra&gt;&lt;DBUID&gt;{13BA3B49-12A1-4736-B8CB-B11B0D6D35A8}&lt;/DBUID&gt;&lt;/Extra&gt;&lt;/Item&gt;&lt;/References&gt;&lt;/Group&gt;&lt;/Citation&gt;_x000a_"/>
    <w:docVar w:name="NE.Ref{6951E81C-9436-475C-BEEF-DE6B6F1C1514}" w:val=" ADDIN NE.Ref.{6951E81C-9436-475C-BEEF-DE6B6F1C1514}&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69C84475-2D35-4F52-818D-7C336455CF6D}" w:val=" ADDIN NE.Ref.{69C84475-2D35-4F52-818D-7C336455CF6D}&lt;Citation&gt;&lt;Group&gt;&lt;References&gt;&lt;Item&gt;&lt;ID&gt;32&lt;/ID&gt;&lt;UID&gt;{766BF12A-85BC-40FC-A6F0-AB1681315DF7}&lt;/UID&gt;&lt;Title&gt;隧道软弱围岩变形机制与控制技术研究&lt;/Title&gt;&lt;Template&gt;Thesis&lt;/Template&gt;&lt;Star&gt;0&lt;/Star&gt;&lt;Tag&gt;0&lt;/Tag&gt;&lt;Author&gt;赵勇&lt;/Author&gt;&lt;Year&gt;2012&lt;/Year&gt;&lt;Details&gt;&lt;_accessed&gt;63061776&lt;/_accessed&gt;&lt;_created&gt;63061773&lt;/_created&gt;&lt;_db_provider&gt;CNKI: 博士&lt;/_db_provider&gt;&lt;_db_updated&gt;CNKI - Reference&lt;/_db_updated&gt;&lt;_keywords&gt;隧道;软弱围岩;超前变形;掌子面挤出变形;掌子面后方变形;变形机制;变形预测;变形控制技术&lt;/_keywords&gt;&lt;_modified&gt;63061776&lt;/_modified&gt;&lt;_pages&gt;193&lt;/_pages&gt;&lt;_publisher&gt;北京交通大学&lt;/_publisher&gt;&lt;_tertiary_author&gt;王梦恕&lt;/_tertiary_author&gt;&lt;_url&gt;http://kns.cnki.net/KCMS/detail/detail.aspx?FileName=1012356602.nh&amp;amp;DbName=CDFD2012&lt;/_url&gt;&lt;_volume&gt;博士&lt;/_volume&gt;&lt;_translated_author&gt;Zhao, Yong&lt;/_translated_author&gt;&lt;_translated_tertiary_author&gt;Wang, Mengshu&lt;/_translated_tertiary_author&gt;&lt;/Details&gt;&lt;Extra&gt;&lt;DBUID&gt;{13BA3B49-12A1-4736-B8CB-B11B0D6D35A8}&lt;/DBUID&gt;&lt;/Extra&gt;&lt;/Item&gt;&lt;/References&gt;&lt;/Group&gt;&lt;/Citation&gt;_x000a_"/>
    <w:docVar w:name="NE.Ref{6B33A5A2-E4D9-4DF7-845E-E0303DE2A30A}" w:val=" ADDIN NE.Ref.{6B33A5A2-E4D9-4DF7-845E-E0303DE2A30A}&lt;Citation&gt;&lt;Group&gt;&lt;References&gt;&lt;Item&gt;&lt;ID&gt;77&lt;/ID&gt;&lt;UID&gt;{71579CCE-E020-42C7-BA68-246EE8405A7B}&lt;/UID&gt;&lt;Title&gt;五松瓦斯隧道施工危险性评估研究&lt;/Title&gt;&lt;Template&gt;Thesis&lt;/Template&gt;&lt;Star&gt;0&lt;/Star&gt;&lt;Tag&gt;0&lt;/Tag&gt;&lt;Author&gt;袁和勇&lt;/Author&gt;&lt;Year&gt;2014&lt;/Year&gt;&lt;Details&gt;&lt;_created&gt;63114855&lt;/_created&gt;&lt;_modified&gt;63114855&lt;/_modified&gt;&lt;_url&gt;http://kns.cnki.net/KCMS/detail/detail.aspx?FileName=1014382652.nh&amp;amp;DbName=CMFD2015&lt;/_url&gt;&lt;_publisher&gt;安徽理工大学&lt;/_publisher&gt;&lt;_volume&gt;硕士&lt;/_volume&gt;&lt;_pages&gt;80&lt;/_pages&gt;&lt;_tertiary_author&gt;何启林&lt;/_tertiary_author&gt;&lt;_keywords&gt;瓦斯隧道;瓦斯扩散;施工危险性评估;灾害防治&lt;/_keywords&gt;&lt;_db_provider&gt;CNKI: 硕士&lt;/_db_provider&gt;&lt;_accessed&gt;63114855&lt;/_accessed&gt;&lt;_db_updated&gt;CNKI - Reference&lt;/_db_updated&gt;&lt;_translated_author&gt;Yuan, Heyong&lt;/_translated_author&gt;&lt;_translated_tertiary_author&gt;He, Qilin&lt;/_translated_tertiary_author&gt;&lt;/Details&gt;&lt;Extra&gt;&lt;DBUID&gt;{13BA3B49-12A1-4736-B8CB-B11B0D6D35A8}&lt;/DBUID&gt;&lt;/Extra&gt;&lt;/Item&gt;&lt;/References&gt;&lt;/Group&gt;&lt;/Citation&gt;_x000a_"/>
    <w:docVar w:name="NE.Ref{6BD6BEFC-317E-4BC3-8417-E394D9A373D1}" w:val=" ADDIN NE.Ref.{6BD6BEFC-317E-4BC3-8417-E394D9A373D1}&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6BE01198-B0FE-4B18-ADB3-CB178CC2C357}" w:val=" ADDIN NE.Ref.{6BE01198-B0FE-4B18-ADB3-CB178CC2C357}&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6D42D4EA-F62A-4C9C-B124-EA145C6B4C0D}" w:val=" ADDIN NE.Ref.{6D42D4EA-F62A-4C9C-B124-EA145C6B4C0D}&lt;Citation&gt;&lt;Group&gt;&lt;References&gt;&lt;Item&gt;&lt;ID&gt;72&lt;/ID&gt;&lt;UID&gt;{1FA9F884-1B5D-4189-9C37-68AA6E7DA6F6}&lt;/UID&gt;&lt;Title&gt;岩土工程勘察规范&lt;/Title&gt;&lt;Template&gt;Standard&lt;/Template&gt;&lt;Star&gt;1&lt;/Star&gt;&lt;Tag&gt;0&lt;/Tag&gt;&lt;Author&gt;中华人民共和国建设部&lt;/Author&gt;&lt;Year&gt;2001&lt;/Year&gt;&lt;Details&gt;&lt;_keywords&gt;岩石; 规范; 工程地质学&lt;/_keywords&gt;&lt;_pages&gt;413&lt;/_pages&gt;&lt;_secondary_title&gt;GB 50021-2001&lt;/_secondary_title&gt;&lt;_translated_title&gt;Code for investigation of geotechnical engineering&lt;/_translated_title&gt;&lt;_url&gt;http://www.wanfangdata.com.cn/details/detail.do?_type=standards&amp;amp;id=GB 50021-2001&lt;/_url&gt;&lt;_created&gt;63062749&lt;/_created&gt;&lt;_modified&gt;63062750&lt;/_modified&gt;&lt;_publisher&gt;北京：中国建筑工业出版社&lt;/_publisher&gt;&lt;_translated_author&gt;Zhong, Huarenmingongheguojianshebu&lt;/_translated_author&gt;&lt;/Details&gt;&lt;Extra&gt;&lt;DBUID&gt;{13BA3B49-12A1-4736-B8CB-B11B0D6D35A8}&lt;/DBUID&gt;&lt;/Extra&gt;&lt;/Item&gt;&lt;/References&gt;&lt;/Group&gt;&lt;/Citation&gt;_x000a_"/>
    <w:docVar w:name="NE.Ref{6FB322D9-2F7A-4890-9D56-8A135DD06FF6}" w:val=" ADDIN NE.Ref.{6FB322D9-2F7A-4890-9D56-8A135DD06FF6}&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7150FE23-4CDB-4B3E-A385-27FD69DC21AA}" w:val=" ADDIN NE.Ref.{7150FE23-4CDB-4B3E-A385-27FD69DC21AA}&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72B582AE-3087-4A94-85E4-5F81FCDF89FB}" w:val=" ADDIN NE.Ref.{72B582AE-3087-4A94-85E4-5F81FCDF89FB}&lt;Citation&gt;&lt;Group&gt;&lt;References&gt;&lt;Item&gt;&lt;ID&gt;7&lt;/ID&gt;&lt;UID&gt;{B2D34D78-ACDD-450A-A079-6A3ECE2F15D3}&lt;/UID&gt;&lt;Title&gt;深覆盖宽河床多种复杂岩体作为重力坝建基岩体研究&lt;/Title&gt;&lt;Template&gt;Thesis&lt;/Template&gt;&lt;Star&gt;0&lt;/Star&gt;&lt;Tag&gt;0&lt;/Tag&gt;&lt;Author&gt;周洪福&lt;/Author&gt;&lt;Year&gt;2008&lt;/Year&gt;&lt;Details&gt;&lt;_accessed&gt;63061461&lt;/_accessed&gt;&lt;_created&gt;63061461&lt;/_created&gt;&lt;_db_provider&gt;CNKI: 博士&lt;/_db_provider&gt;&lt;_db_updated&gt;CNKI - Reference&lt;/_db_updated&gt;&lt;_keywords&gt;赛格水电站;玄武岩;白云岩;断层破碎带岩体;充填胶结碎裂岩体;岩体结构;岩体质量;岩体力学参数;建基面;三维数值分析;处理措施&lt;/_keywords&gt;&lt;_modified&gt;63061461&lt;/_modified&gt;&lt;_pages&gt;158&lt;/_pages&gt;&lt;_publisher&gt;成都理工大学&lt;/_publisher&gt;&lt;_tertiary_author&gt;聂德新&lt;/_tertiary_author&gt;&lt;_url&gt;http://kns.cnki.net/KCMS/detail/detail.aspx?FileName=2008086112.nh&amp;amp;DbName=CDFD2008&lt;/_url&gt;&lt;_volume&gt;博士&lt;/_volume&gt;&lt;_translated_author&gt;Zhou, Hongfu&lt;/_translated_author&gt;&lt;_translated_tertiary_author&gt;Nie, Dexin&lt;/_translated_tertiary_author&gt;&lt;/Details&gt;&lt;Extra&gt;&lt;DBUID&gt;{13BA3B49-12A1-4736-B8CB-B11B0D6D35A8}&lt;/DBUID&gt;&lt;/Extra&gt;&lt;/Item&gt;&lt;/References&gt;&lt;/Group&gt;&lt;/Citation&gt;_x000a_"/>
    <w:docVar w:name="NE.Ref{734F1C72-CD73-48E4-A715-1394E729E460}" w:val=" ADDIN NE.Ref.{734F1C72-CD73-48E4-A715-1394E729E460}&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739A1261-C061-4D2F-A93A-37D31837AA94}" w:val=" ADDIN NE.Ref.{739A1261-C061-4D2F-A93A-37D31837AA94}&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74259859-CE0E-4A73-AC79-71F09DD78743}" w:val=" ADDIN NE.Ref.{74259859-CE0E-4A73-AC79-71F09DD78743}&lt;Citation&gt;&lt;Group&gt;&lt;References&gt;&lt;Item&gt;&lt;ID&gt;122&lt;/ID&gt;&lt;UID&gt;{8BE051BF-6C22-46D5-B0BE-FD69A9304667}&lt;/UID&gt;&lt;Title&gt;Guidelines for tunnelling risk management: International Tunnelling Association, Working Group No. 2&lt;/Title&gt;&lt;Template&gt;Journal Article&lt;/Template&gt;&lt;Star&gt;0&lt;/Star&gt;&lt;Tag&gt;0&lt;/Tag&gt;&lt;Author&gt;Degn Eskesen, Søren; Tengborg, Per; Kampmann, Jørgen; Holst Veicherts, Trine&lt;/Author&gt;&lt;Year&gt;2004&lt;/Year&gt;&lt;Details&gt;&lt;_accessed&gt;63034018&lt;/_accessed&gt;&lt;_collection_scope&gt;SCIE;EI&lt;/_collection_scope&gt;&lt;_created&gt;63034018&lt;/_created&gt;&lt;_db_updated&gt;CrossRef&lt;/_db_updated&gt;&lt;_doi&gt;10.1016/j.tust.2004.01.001&lt;/_doi&gt;&lt;_impact_factor&gt;   3.942&lt;/_impact_factor&gt;&lt;_isbn&gt;08867798&lt;/_isbn&gt;&lt;_issue&gt;3&lt;/_issue&gt;&lt;_journal&gt;Tunnelling and Underground Space Technology&lt;/_journal&gt;&lt;_modified&gt;63034018&lt;/_modified&gt;&lt;_pages&gt;217-237&lt;/_pages&gt;&lt;_tertiary_title&gt;Tunnelling and Underground Space Technology&lt;/_tertiary_title&gt;&lt;_url&gt;https://linkinghub.elsevier.com/retrieve/pii/S0886779804000021_x000d__x000a_https://api.elsevier.com/content/article/PII:S0886779804000021?httpAccept=text/xml&lt;/_url&gt;&lt;_volume&gt;19&lt;/_volume&gt;&lt;/Details&gt;&lt;Extra&gt;&lt;DBUID&gt;{C5464CEE-9149-4B7D-84D8-26EAAD582844}&lt;/DBUID&gt;&lt;/Extra&gt;&lt;/Item&gt;&lt;/References&gt;&lt;/Group&gt;&lt;/Citation&gt;_x000a_"/>
    <w:docVar w:name="NE.Ref{750A848D-B233-4254-A35E-9F73FFB22EA5}" w:val=" ADDIN NE.Ref.{750A848D-B233-4254-A35E-9F73FFB22EA5}&lt;Citation&gt;&lt;Group&gt;&lt;References&gt;&lt;Item&gt;&lt;ID&gt;62&lt;/ID&gt;&lt;UID&gt;{6AA3DA3A-BF3C-47A4-BDB7-34D554A817AC}&lt;/UID&gt;&lt;Title&gt;Q/CR9006-2014 铁路建设工程风险管理技术规范&lt;/Title&gt;&lt;Template&gt;Web Page&lt;/Template&gt;&lt;Star&gt;0&lt;/Star&gt;&lt;Tag&gt;0&lt;/Tag&gt;&lt;Author&gt;中国铁路总公司&lt;/Author&gt;&lt;Year&gt;2014&lt;/Year&gt;&lt;Details&gt;&lt;_url&gt;https://max.book118.com/html/2018/0123/150146620.shtm&lt;/_url&gt;&lt;_secondary_title&gt;Q/CR9006-2014 &lt;/_secondary_title&gt;&lt;_volume&gt;2019&lt;/_volume&gt;&lt;_issue&gt;2019-11-25&lt;/_issue&gt;&lt;_date_display&gt;2018年11月25日&lt;/_date_display&gt;&lt;_date&gt;62534880&lt;/_date&gt;&lt;_accessed&gt;63061838&lt;/_accessed&gt;&lt;_created&gt;63061838&lt;/_created&gt;&lt;_modified&gt;63061838&lt;/_modified&gt;&lt;_translated_author&gt;Zhong, Guotieluzonggongsi&lt;/_translated_author&gt;&lt;/Details&gt;&lt;Extra&gt;&lt;DBUID&gt;{13BA3B49-12A1-4736-B8CB-B11B0D6D35A8}&lt;/DBUID&gt;&lt;/Extra&gt;&lt;/Item&gt;&lt;/References&gt;&lt;/Group&gt;&lt;/Citation&gt;_x000a_"/>
    <w:docVar w:name="NE.Ref{769E866F-AE10-414F-A013-89281C87B260}" w:val=" ADDIN NE.Ref.{769E866F-AE10-414F-A013-89281C87B260}&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76FC3C92-F95A-445B-9798-6515750329B7}" w:val=" ADDIN NE.Ref.{76FC3C92-F95A-445B-9798-6515750329B7}&lt;Citation&gt;&lt;Group&gt;&lt;References&gt;&lt;Item&gt;&lt;ID&gt;55&lt;/ID&gt;&lt;UID&gt;{D1E90C3F-C8D5-4960-97AF-328BCA73AD8A}&lt;/UID&gt;&lt;Title&gt;公路工程施工安全技术规范&lt;/Title&gt;&lt;Template&gt;Standard&lt;/Template&gt;&lt;Star&gt;1&lt;/Star&gt;&lt;Tag&gt;0&lt;/Tag&gt;&lt;Author&gt;中交第四公路工程局有限公司主编单位中国交通建设股份有限公司&lt;/Author&gt;&lt;Year&gt;2015&lt;/Year&gt;&lt;Details&gt;&lt;_created&gt;63061799&lt;/_created&gt;&lt;_modified&gt;63061867&lt;/_modified&gt;&lt;_publisher&gt;北京：人民交通出版社&lt;/_publisher&gt;&lt;_secondary_title&gt;JTG F90-2015&lt;/_secondary_title&gt;&lt;_translated_author&gt;Zhong, Jiaodisigonglugongchengjuyouxiangongsizhubiandanweizhongguojiaotongjianshegufenyouxiangongsi&lt;/_translated_author&gt;&lt;/Details&gt;&lt;Extra&gt;&lt;DBUID&gt;{13BA3B49-12A1-4736-B8CB-B11B0D6D35A8}&lt;/DBUID&gt;&lt;/Extra&gt;&lt;/Item&gt;&lt;/References&gt;&lt;/Group&gt;&lt;/Citation&gt;_x000a_"/>
    <w:docVar w:name="NE.Ref{79957181-BC7D-4949-BE78-E3797B485EE6}" w:val=" ADDIN NE.Ref.{79957181-BC7D-4949-BE78-E3797B485EE6}&lt;Citation&gt;&lt;Group&gt;&lt;References&gt;&lt;Item&gt;&lt;ID&gt;71&lt;/ID&gt;&lt;UID&gt;{470192EA-5A07-4616-8228-4B8A8A88D09A}&lt;/UID&gt;&lt;Title&gt;优势结构面理论在岩土工程中的应用&lt;/Title&gt;&lt;Template&gt;Journal Article&lt;/Template&gt;&lt;Star&gt;0&lt;/Star&gt;&lt;Tag&gt;0&lt;/Tag&gt;&lt;Author&gt;蒋建平; 章杨松; 罗国煜; 阎长虹; 汪明武&lt;/Author&gt;&lt;Year&gt;2001&lt;/Year&gt;&lt;Details&gt;&lt;_language&gt;Chinese&lt;/_language&gt;&lt;_created&gt;63062564&lt;/_created&gt;&lt;_modified&gt;63062564&lt;/_modified&gt;&lt;_url&gt;http://kns.cnki.net/KCMS/detail/detail.aspx?FileName=SLXB200108016&amp;amp;DbName=CJFQ2001&lt;/_url&gt;&lt;_journal&gt;水利学报&lt;/_journal&gt;&lt;_issue&gt;08&lt;/_issue&gt;&lt;_pages&gt;90-96&lt;/_pages&gt;&lt;_date&gt;53465760&lt;/_date&gt;&lt;_keywords&gt;优势结构面理论;区域稳定性;优势面力学参数;岩体质量;地基变形;工程加固;土体&lt;/_keywords&gt;&lt;_author_aff&gt;南京大学地球科学系!江苏南京210093;南京理工大学土木工程系!江苏南京210014;南京大学地球科学系!江苏南京210093;南京大学地球科学系!江苏南京210093;合肥工业大学建筑工程学院!安徽合肥230009&lt;/_author_aff&gt;&lt;_db_provider&gt;CNKI: 期刊&lt;/_db_provider&gt;&lt;_accessed&gt;63062564&lt;/_accessed&gt;&lt;_db_updated&gt;CNKI - Reference&lt;/_db_updated&gt;&lt;_collection_scope&gt;CSCD;PKU;EI&lt;/_collection_scope&gt;&lt;_translated_author&gt;Jiang, Jianping;Zhang, Yangsong;Luo, Guoyu;Yan, Zhanghong;Wang, Mingwu&lt;/_translated_author&gt;&lt;/Details&gt;&lt;Extra&gt;&lt;DBUID&gt;{13BA3B49-12A1-4736-B8CB-B11B0D6D35A8}&lt;/DBUID&gt;&lt;/Extra&gt;&lt;/Item&gt;&lt;/References&gt;&lt;/Group&gt;&lt;Group&gt;&lt;References&gt;&lt;Item&gt;&lt;ID&gt;27&lt;/ID&gt;&lt;UID&gt;{B6A34112-7519-448A-BDF6-A0F1DE8B5B6D}&lt;/UID&gt;&lt;Title&gt;浅埋偏压大跨度隧道风险评估与围岩稳定性研究&lt;/Title&gt;&lt;Template&gt;Thesis&lt;/Template&gt;&lt;Star&gt;0&lt;/Star&gt;&lt;Tag&gt;0&lt;/Tag&gt;&lt;Author&gt;谢小鱼&lt;/Author&gt;&lt;Year&gt;2014&lt;/Year&gt;&lt;Details&gt;&lt;_accessed&gt;63061779&lt;/_accessed&gt;&lt;_created&gt;63061772&lt;/_created&gt;&lt;_db_provider&gt;CNKI: 硕士&lt;/_db_provider&gt;&lt;_db_updated&gt;CNKI - Reference&lt;/_db_updated&gt;&lt;_keywords&gt;浅埋偏压大跨度隧道;数值模拟;可拓评估;地震波法;克里格法&lt;/_keywords&gt;&lt;_modified&gt;63061779&lt;/_modified&gt;&lt;_pages&gt;88&lt;/_pages&gt;&lt;_publisher&gt;湖南科技大学&lt;/_publisher&gt;&lt;_tertiary_author&gt;陈秋南&lt;/_tertiary_author&gt;&lt;_url&gt;http://kns.cnki.net/KCMS/detail/detail.aspx?FileName=1015015241.nh&amp;amp;DbName=CMFD2015&lt;/_url&gt;&lt;_volume&gt;硕士&lt;/_volume&gt;&lt;_translated_author&gt;Xie, Xiaoyu&lt;/_translated_author&gt;&lt;_translated_tertiary_author&gt;Chen, Qiunan&lt;/_translated_tertiary_author&gt;&lt;/Details&gt;&lt;Extra&gt;&lt;DBUID&gt;{13BA3B49-12A1-4736-B8CB-B11B0D6D35A8}&lt;/DBUID&gt;&lt;/Extra&gt;&lt;/Item&gt;&lt;/References&gt;&lt;/Group&gt;&lt;Group&gt;&lt;References&gt;&lt;Item&gt;&lt;ID&gt;28&lt;/ID&gt;&lt;UID&gt;{C9C92E1D-681E-4C25-9A48-1D4354E41ED6}&lt;/UID&gt;&lt;Title&gt;隧道工程施工塌方风险评估研究&lt;/Title&gt;&lt;Template&gt;Thesis&lt;/Template&gt;&lt;Star&gt;0&lt;/Star&gt;&lt;Tag&gt;0&lt;/Tag&gt;&lt;Author&gt;岳诚东&lt;/Author&gt;&lt;Year&gt;2016&lt;/Year&gt;&lt;Details&gt;&lt;_accessed&gt;63061779&lt;/_accessed&gt;&lt;_created&gt;63061772&lt;/_created&gt;&lt;_db_provider&gt;CNKI: 硕士&lt;/_db_provider&gt;&lt;_db_updated&gt;CNKI - Reference&lt;/_db_updated&gt;&lt;_keywords&gt;隧道塌方;风险评估;事故树;塌方风险评估表&lt;/_keywords&gt;&lt;_modified&gt;63061779&lt;/_modified&gt;&lt;_pages&gt;91&lt;/_pages&gt;&lt;_publisher&gt;兰州大学&lt;/_publisher&gt;&lt;_tertiary_author&gt;梁收运&lt;/_tertiary_author&gt;&lt;_url&gt;http://kns.cnki.net/KCMS/detail/detail.aspx?FileName=1016723665.nh&amp;amp;DbName=CMFD2016&lt;/_url&gt;&lt;_volume&gt;硕士&lt;/_volume&gt;&lt;_translated_author&gt;Yue, Chengdong&lt;/_translated_author&gt;&lt;_translated_tertiary_author&gt;Liang, Shouyun&lt;/_translated_tertiary_author&gt;&lt;/Details&gt;&lt;Extra&gt;&lt;DBUID&gt;{13BA3B49-12A1-4736-B8CB-B11B0D6D35A8}&lt;/DBUID&gt;&lt;/Extra&gt;&lt;/Item&gt;&lt;/References&gt;&lt;/Group&gt;&lt;/Citation&gt;_x000a_"/>
    <w:docVar w:name="NE.Ref{79CC3391-011E-446C-91E7-5E0E2ACBD0AE}" w:val=" ADDIN NE.Ref.{79CC3391-011E-446C-91E7-5E0E2ACBD0AE}&lt;Citation&gt;&lt;Group&gt;&lt;References&gt;&lt;Item&gt;&lt;ID&gt;48&lt;/ID&gt;&lt;UID&gt;{C05622A5-A03C-4E08-8547-243359D8A72F}&lt;/UID&gt;&lt;Title&gt;公路工程质量检验评定标准 第1册 土建工程 JTG F80/1-2017&lt;/Title&gt;&lt;Template&gt;Standard&lt;/Template&gt;&lt;Star&gt;0&lt;/Star&gt;&lt;Tag&gt;0&lt;/Tag&gt;&lt;Author&gt;交通运输部公路科学研究院&lt;/Author&gt;&lt;Year&gt;2017&lt;/Year&gt;&lt;Details&gt;&lt;_created&gt;63061788&lt;/_created&gt;&lt;_modified&gt;63061858&lt;/_modified&gt;&lt;_publisher&gt;北京：人民交通出版社&lt;/_publisher&gt;&lt;_translated_author&gt;Jiao, Tongyunshubugonglukexueyanjiuyuan&lt;/_translated_author&gt;&lt;/Details&gt;&lt;Extra&gt;&lt;DBUID&gt;{13BA3B49-12A1-4736-B8CB-B11B0D6D35A8}&lt;/DBUID&gt;&lt;/Extra&gt;&lt;/Item&gt;&lt;/References&gt;&lt;/Group&gt;&lt;/Citation&gt;_x000a_"/>
    <w:docVar w:name="NE.Ref{79E23D28-9590-4913-83DD-0850445FCA16}" w:val=" ADDIN NE.Ref.{79E23D28-9590-4913-83DD-0850445FCA16}&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7AD97E1D-2FDE-4FB6-B428-4ED5F8AE05BA}" w:val=" ADDIN NE.Ref.{7AD97E1D-2FDE-4FB6-B428-4ED5F8AE05BA}&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7D97D583-92F9-4E95-8B1F-25030AB1BC46}" w:val=" ADDIN NE.Ref.{7D97D583-92F9-4E95-8B1F-25030AB1BC46}&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80276ABB-CFBA-473D-8806-39D36283FA67}" w:val=" ADDIN NE.Ref.{80276ABB-CFBA-473D-8806-39D36283FA67}&lt;Citation&gt;&lt;Group&gt;&lt;References&gt;&lt;Item&gt;&lt;ID&gt;66&lt;/ID&gt;&lt;UID&gt;{94D06DA0-5BEB-4DB2-8E70-B23FE7B9FF0E}&lt;/UID&gt;&lt;Title&gt;公路隧道施工技术规范&lt;/Title&gt;&lt;Template&gt;Standard&lt;/Template&gt;&lt;Star&gt;1&lt;/Star&gt;&lt;Tag&gt;0&lt;/Tag&gt;&lt;Author&gt;中交第一公路工程局有限公司主编&lt;/Author&gt;&lt;Year&gt;2009&lt;/Year&gt;&lt;Details&gt;&lt;_publisher&gt;北京：人民交通出版社&lt;/_publisher&gt;&lt;_created&gt;63061846&lt;/_created&gt;&lt;_modified&gt;63061869&lt;/_modified&gt;&lt;_secondary_title&gt;JTG F60-2009&lt;/_secondary_title&gt;&lt;_translated_author&gt;Zhong, Jiaodiyigonglugongchengjuyouxiangongsizhubian&lt;/_translated_author&gt;&lt;/Details&gt;&lt;Extra&gt;&lt;DBUID&gt;{13BA3B49-12A1-4736-B8CB-B11B0D6D35A8}&lt;/DBUID&gt;&lt;/Extra&gt;&lt;/Item&gt;&lt;/References&gt;&lt;/Group&gt;&lt;/Citation&gt;_x000a_"/>
    <w:docVar w:name="NE.Ref{8462F9BA-E84D-4268-AA5F-0FDA74FC10B7}" w:val=" ADDIN NE.Ref.{8462F9BA-E84D-4268-AA5F-0FDA74FC10B7}&lt;Citation&gt;&lt;Group&gt;&lt;References&gt;&lt;Item&gt;&lt;ID&gt;57&lt;/ID&gt;&lt;UID&gt;{A12C8D51-ABD8-4BB8-8A86-C1E46C528236}&lt;/UID&gt;&lt;Title&gt;公路瓦斯隧道技术规程&lt;/Title&gt;&lt;Template&gt;Standard&lt;/Template&gt;&lt;Star&gt;0&lt;/Star&gt;&lt;Tag&gt;0&lt;/Tag&gt;&lt;Author&gt;四川省交通运输厅公路规划勘察设计研究院主编&lt;/Author&gt;&lt;Year&gt;2017&lt;/Year&gt;&lt;Details&gt;&lt;_created&gt;63061802&lt;/_created&gt;&lt;_modified&gt;63061863&lt;/_modified&gt;&lt;_publisher&gt;成都：西南交通大学出版社&lt;/_publisher&gt;&lt;_secondary_title&gt;DB51/T2243-2016&lt;/_secondary_title&gt;&lt;_translated_author&gt;Si, Chuanshengjiaotongyunshutinggongluguihuakanchashejiyanjiuyuanzhubian&lt;/_translated_author&gt;&lt;/Details&gt;&lt;Extra&gt;&lt;DBUID&gt;{13BA3B49-12A1-4736-B8CB-B11B0D6D35A8}&lt;/DBUID&gt;&lt;/Extra&gt;&lt;/Item&gt;&lt;/References&gt;&lt;/Group&gt;&lt;/Citation&gt;_x000a_"/>
    <w:docVar w:name="NE.Ref{85422656-0311-4598-B07A-CB9F48213D2B}" w:val=" ADDIN NE.Ref.{85422656-0311-4598-B07A-CB9F48213D2B}&lt;Citation&gt;&lt;Group&gt;&lt;References&gt;&lt;Item&gt;&lt;ID&gt;55&lt;/ID&gt;&lt;UID&gt;{D1E90C3F-C8D5-4960-97AF-328BCA73AD8A}&lt;/UID&gt;&lt;Title&gt;公路工程施工安全技术规范&lt;/Title&gt;&lt;Template&gt;Standard&lt;/Template&gt;&lt;Star&gt;1&lt;/Star&gt;&lt;Tag&gt;0&lt;/Tag&gt;&lt;Author&gt;中交第四公路工程局有限公司主编单位中国交通建设股份有限公司&lt;/Author&gt;&lt;Year&gt;2015&lt;/Year&gt;&lt;Details&gt;&lt;_created&gt;63061799&lt;/_created&gt;&lt;_modified&gt;63061867&lt;/_modified&gt;&lt;_publisher&gt;北京：人民交通出版社&lt;/_publisher&gt;&lt;_secondary_title&gt;JTG F90-2015&lt;/_secondary_title&gt;&lt;_translated_author&gt;Zhong, Jiaodisigonglugongchengjuyouxiangongsizhubiandanweizhongguojiaotongjianshegufenyouxiangongsi&lt;/_translated_author&gt;&lt;/Details&gt;&lt;Extra&gt;&lt;DBUID&gt;{13BA3B49-12A1-4736-B8CB-B11B0D6D35A8}&lt;/DBUID&gt;&lt;/Extra&gt;&lt;/Item&gt;&lt;/References&gt;&lt;/Group&gt;&lt;/Citation&gt;_x000a_"/>
    <w:docVar w:name="NE.Ref{861AB401-9E64-4899-991E-4C368288A47B}" w:val=" ADDIN NE.Ref.{861AB401-9E64-4899-991E-4C368288A47B}&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87A45BF7-703D-4602-B5FB-2CB48F1BB7EB}" w:val=" ADDIN NE.Ref.{87A45BF7-703D-4602-B5FB-2CB48F1BB7EB}&lt;Citation&gt;&lt;Group&gt;&lt;References&gt;&lt;Item&gt;&lt;ID&gt;46&lt;/ID&gt;&lt;UID&gt;{C5DB8B15-F089-4607-B88E-C6501754418D}&lt;/UID&gt;&lt;Title&gt;高地应力区的岩爆及其判别&lt;/Title&gt;&lt;Template&gt;Journal Article&lt;/Template&gt;&lt;Star&gt;0&lt;/Star&gt;&lt;Tag&gt;0&lt;/Tag&gt;&lt;Author&gt;陶振宇&lt;/Author&gt;&lt;Year&gt;1987&lt;/Year&gt;&lt;Details&gt;&lt;_accessed&gt;63061775&lt;/_accessed&gt;&lt;_author_aff&gt;武汉水利电力学院;&lt;/_author_aff&gt;&lt;_collection_scope&gt;PKU&lt;/_collection_scope&gt;&lt;_created&gt;63061775&lt;/_created&gt;&lt;_date&gt;45973440&lt;/_date&gt;&lt;_db_provider&gt;CNKI: 期刊&lt;/_db_provider&gt;&lt;_db_updated&gt;CNKI - Reference&lt;/_db_updated&gt;&lt;_issue&gt;05&lt;/_issue&gt;&lt;_journal&gt;人民长江&lt;/_journal&gt;&lt;_keywords&gt;岩爆现象;岩石;高地应力区;隧洞工程;隧道工程;&lt;/_keywords&gt;&lt;_language&gt;Chinese&lt;/_language&gt;&lt;_modified&gt;63061775&lt;/_modified&gt;&lt;_pages&gt;25-32&lt;/_pages&gt;&lt;_url&gt;http://kns.cnki.net/KCMS/detail/detail.aspx?FileName=RIVE198705004&amp;amp;DbName=CJFQ1987&lt;/_url&gt;&lt;_translated_author&gt;Tao, Zhenyu&lt;/_translated_author&gt;&lt;/Details&gt;&lt;Extra&gt;&lt;DBUID&gt;{13BA3B49-12A1-4736-B8CB-B11B0D6D35A8}&lt;/DBUID&gt;&lt;/Extra&gt;&lt;/Item&gt;&lt;/References&gt;&lt;/Group&gt;&lt;/Citation&gt;_x000a_"/>
    <w:docVar w:name="NE.Ref{8855B807-BD09-4262-A820-C6868B98CF82}" w:val=" ADDIN NE.Ref.{8855B807-BD09-4262-A820-C6868B98CF82}&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88BB3BF6-878F-4123-B805-EAD604BD0BFC}" w:val=" ADDIN NE.Ref.{88BB3BF6-878F-4123-B805-EAD604BD0BFC}&lt;Citation&gt;&lt;Group&gt;&lt;References&gt;&lt;Item&gt;&lt;ID&gt;55&lt;/ID&gt;&lt;UID&gt;{D1E90C3F-C8D5-4960-97AF-328BCA73AD8A}&lt;/UID&gt;&lt;Title&gt;公路工程施工安全技术规范&lt;/Title&gt;&lt;Template&gt;Standard&lt;/Template&gt;&lt;Star&gt;1&lt;/Star&gt;&lt;Tag&gt;0&lt;/Tag&gt;&lt;Author&gt;中交第四公路工程局有限公司主编单位中国交通建设股份有限公司&lt;/Author&gt;&lt;Year&gt;2015&lt;/Year&gt;&lt;Details&gt;&lt;_created&gt;63061799&lt;/_created&gt;&lt;_modified&gt;63061867&lt;/_modified&gt;&lt;_publisher&gt;北京：人民交通出版社&lt;/_publisher&gt;&lt;_secondary_title&gt;JTG F90-2015&lt;/_secondary_title&gt;&lt;_translated_author&gt;Zhong, Jiaodisigonglugongchengjuyouxiangongsizhubiandanweizhongguojiaotongjianshegufenyouxiangongsi&lt;/_translated_author&gt;&lt;/Details&gt;&lt;Extra&gt;&lt;DBUID&gt;{13BA3B49-12A1-4736-B8CB-B11B0D6D35A8}&lt;/DBUID&gt;&lt;/Extra&gt;&lt;/Item&gt;&lt;/References&gt;&lt;/Group&gt;&lt;/Citation&gt;_x000a_"/>
    <w:docVar w:name="NE.Ref{88D19699-1B48-4553-B2D7-1EC2C0E4679C}" w:val=" ADDIN NE.Ref.{88D19699-1B48-4553-B2D7-1EC2C0E4679C}&lt;Citation&gt;&lt;Group&gt;&lt;References&gt;&lt;Item&gt;&lt;ID&gt;62&lt;/ID&gt;&lt;UID&gt;{6AA3DA3A-BF3C-47A4-BDB7-34D554A817AC}&lt;/UID&gt;&lt;Title&gt;Q/CR9006-2014 铁路建设工程风险管理技术规范&lt;/Title&gt;&lt;Template&gt;Web Page&lt;/Template&gt;&lt;Star&gt;0&lt;/Star&gt;&lt;Tag&gt;0&lt;/Tag&gt;&lt;Author&gt;中国铁路总公司&lt;/Author&gt;&lt;Year&gt;2014&lt;/Year&gt;&lt;Details&gt;&lt;_url&gt;https://max.book118.com/html/2018/0123/150146620.shtm&lt;/_url&gt;&lt;_secondary_title&gt;Q/CR9006-2014 &lt;/_secondary_title&gt;&lt;_volume&gt;2019&lt;/_volume&gt;&lt;_issue&gt;2019-11-25&lt;/_issue&gt;&lt;_date_display&gt;2018年11月25日&lt;/_date_display&gt;&lt;_date&gt;62534880&lt;/_date&gt;&lt;_accessed&gt;63061838&lt;/_accessed&gt;&lt;_created&gt;63061838&lt;/_created&gt;&lt;_modified&gt;63061838&lt;/_modified&gt;&lt;_translated_author&gt;Zhong, Guotieluzonggongsi&lt;/_translated_author&gt;&lt;/Details&gt;&lt;Extra&gt;&lt;DBUID&gt;{13BA3B49-12A1-4736-B8CB-B11B0D6D35A8}&lt;/DBUID&gt;&lt;/Extra&gt;&lt;/Item&gt;&lt;/References&gt;&lt;/Group&gt;&lt;/Citation&gt;_x000a_"/>
    <w:docVar w:name="NE.Ref{8EB84455-68A7-4B4E-8705-E5C27122C4D6}" w:val=" ADDIN NE.Ref.{8EB84455-68A7-4B4E-8705-E5C27122C4D6}&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92EA6BDB-2689-4765-B213-1C6E23FAD6D7}" w:val=" ADDIN NE.Ref.{92EA6BDB-2689-4765-B213-1C6E23FAD6D7}&lt;Citation&gt;&lt;Group&gt;&lt;References&gt;&lt;Item&gt;&lt;ID&gt;41&lt;/ID&gt;&lt;UID&gt;{72127A32-FF6B-4608-899A-4B34CF668233}&lt;/UID&gt;&lt;Title&gt;隧道工程瓦斯灾害危险性评价体系研究&lt;/Title&gt;&lt;Template&gt;Thesis&lt;/Template&gt;&lt;Star&gt;0&lt;/Star&gt;&lt;Tag&gt;0&lt;/Tag&gt;&lt;Author&gt;康小兵&lt;/Author&gt;&lt;Year&gt;2009&lt;/Year&gt;&lt;Details&gt;&lt;_accessed&gt;63061777&lt;/_accessed&gt;&lt;_created&gt;63061774&lt;/_created&gt;&lt;_db_provider&gt;CNKI: 博士&lt;/_db_provider&gt;&lt;_db_updated&gt;CNKI - Reference&lt;/_db_updated&gt;&lt;_keywords&gt;隧道工程;瓦斯灾害;评价指标体系;综合集成赋权法;瓦斯隧道分级评价;瓦斯隧道施工危险性评价;瓦斯隧道掌子面突出评价&lt;/_keywords&gt;&lt;_modified&gt;63061777&lt;/_modified&gt;&lt;_pages&gt;200&lt;/_pages&gt;&lt;_publisher&gt;成都理工大学&lt;/_publisher&gt;&lt;_tertiary_author&gt;许模&lt;/_tertiary_author&gt;&lt;_url&gt;http://kns.cnki.net/KCMS/detail/detail.aspx?FileName=2009221308.nh&amp;amp;DbName=CDFD2009&lt;/_url&gt;&lt;_volume&gt;博士&lt;/_volume&gt;&lt;_translated_author&gt;Kang, Xiaobing&lt;/_translated_author&gt;&lt;_translated_tertiary_author&gt;Xu, Mo&lt;/_translated_tertiary_author&gt;&lt;/Details&gt;&lt;Extra&gt;&lt;DBUID&gt;{13BA3B49-12A1-4736-B8CB-B11B0D6D35A8}&lt;/DBUID&gt;&lt;/Extra&gt;&lt;/Item&gt;&lt;/References&gt;&lt;/Group&gt;&lt;/Citation&gt;_x000a_"/>
    <w:docVar w:name="NE.Ref{94C32C02-BF35-42F2-82BA-72E1B8939B4D}" w:val=" ADDIN NE.Ref.{94C32C02-BF35-42F2-82BA-72E1B8939B4D}&lt;Citation&gt;&lt;Group&gt;&lt;References&gt;&lt;Item&gt;&lt;ID&gt;37&lt;/ID&gt;&lt;UID&gt;{36829B9A-6847-4D3A-826A-A6BCF9252499}&lt;/UID&gt;&lt;Title&gt;挤压性围岩隧道大变形机理及分级标准研究&lt;/Title&gt;&lt;Template&gt;Journal Article&lt;/Template&gt;&lt;Star&gt;0&lt;/Star&gt;&lt;Tag&gt;0&lt;/Tag&gt;&lt;Author&gt;刘志春; 朱永全; 李文江; 刘泮兴&lt;/Author&gt;&lt;Year&gt;2008&lt;/Year&gt;&lt;Details&gt;&lt;_accessed&gt;63061773&lt;/_accessed&gt;&lt;_author_aff&gt;石家庄铁道学院;石家庄铁道学院;石家庄铁道学院;石家庄铁道学院 河北石家庄050043;河北石家庄050043;河北石家庄050043;河北石家庄050043&lt;/_author_aff&gt;&lt;_collection_scope&gt;CSCD;PKU;EI&lt;/_collection_scope&gt;&lt;_created&gt;63061773&lt;/_created&gt;&lt;_date&gt;56996640&lt;/_date&gt;&lt;_db_provider&gt;CNKI: 期刊&lt;/_db_provider&gt;&lt;_db_updated&gt;CNKI - Reference&lt;/_db_updated&gt;&lt;_issue&gt;05&lt;/_issue&gt;&lt;_journal&gt;岩土工程学报&lt;/_journal&gt;&lt;_keywords&gt;挤压性围岩隧道;大变形;强度应力比;塑性区;分级标准&lt;/_keywords&gt;&lt;_language&gt;Chinese&lt;/_language&gt;&lt;_modified&gt;63061773&lt;/_modified&gt;&lt;_pages&gt;690-697&lt;/_pages&gt;&lt;_url&gt;http://kns.cnki.net/KCMS/detail/detail.aspx?FileName=YTGC200805014&amp;amp;DbName=CJFQ2008&lt;/_url&gt;&lt;_translated_author&gt;Liu, Zhichun;Zhu, Yongquan;Li, Wenjiang;Liu, Panxing&lt;/_translated_author&gt;&lt;/Details&gt;&lt;Extra&gt;&lt;DBUID&gt;{13BA3B49-12A1-4736-B8CB-B11B0D6D35A8}&lt;/DBUID&gt;&lt;/Extra&gt;&lt;/Item&gt;&lt;/References&gt;&lt;/Group&gt;&lt;/Citation&gt;_x000a_"/>
    <w:docVar w:name="NE.Ref{9558D410-5D65-412B-9815-101C23EAC503}" w:val=" ADDIN NE.Ref.{9558D410-5D65-412B-9815-101C23EAC503}&lt;Citation&gt;&lt;Group&gt;&lt;References&gt;&lt;Item&gt;&lt;ID&gt;76&lt;/ID&gt;&lt;UID&gt;{57E46213-8956-452E-9A39-F906CC742C0A}&lt;/UID&gt;&lt;Title&gt;宁波市交通质监站组织开展公路工程施工安全风险管理知识培训&lt;/Title&gt;&lt;Template&gt;Web Page&lt;/Template&gt;&lt;Star&gt;0&lt;/Star&gt;&lt;Tag&gt;0&lt;/Tag&gt;&lt;Author&gt;宁波市交通工程质量监督站&lt;/Author&gt;&lt;Year&gt;2018&lt;/Year&gt;&lt;Details&gt;&lt;_url&gt;http://zjzj.zjt.gov.cn/art/2018/11/6/art_5460_1029387.html&lt;/_url&gt;&lt;_volume&gt;2020年&lt;/_volume&gt;&lt;_issue&gt;2020年1月1日&lt;/_issue&gt;&lt;_date_display&gt;2018年11月6日&lt;/_date_display&gt;&lt;_accessed&gt;63114840&lt;/_accessed&gt;&lt;_created&gt;63114840&lt;/_created&gt;&lt;_modified&gt;63114842&lt;/_modified&gt;&lt;_date&gt;62507520&lt;/_date&gt;&lt;_translated_author&gt;Ning, Boshijiaotonggongchengzhiliangjianduzhan&lt;/_translated_author&gt;&lt;/Details&gt;&lt;Extra&gt;&lt;DBUID&gt;{13BA3B49-12A1-4736-B8CB-B11B0D6D35A8}&lt;/DBUID&gt;&lt;/Extra&gt;&lt;/Item&gt;&lt;/References&gt;&lt;/Group&gt;&lt;/Citation&gt;_x000a_"/>
    <w:docVar w:name="NE.Ref{976F41F6-FFF0-489B-9EA7-C651CA01B8BB}" w:val=" ADDIN NE.Ref.{976F41F6-FFF0-489B-9EA7-C651CA01B8BB}&lt;Citation&gt;&lt;Group&gt;&lt;References&gt;&lt;Item&gt;&lt;ID&gt;58&lt;/ID&gt;&lt;UID&gt;{A259D4B8-F5B3-4F12-9466-34A8983B7983}&lt;/UID&gt;&lt;Title&gt;企业职工伤亡事故分类&lt;/Title&gt;&lt;Template&gt;Standard&lt;/Template&gt;&lt;Star&gt;0&lt;/Star&gt;&lt;Tag&gt;0&lt;/Tag&gt;&lt;Author&gt;国家标准局&lt;/Author&gt;&lt;Year&gt;1986&lt;/Year&gt;&lt;Details&gt;&lt;_issue&gt;13;13.200&lt;/_issue&gt;&lt;_keywords&gt;工厂职工; 死亡; 工业事故; 受伤; 分类系统; 企业; 事故&lt;/_keywords&gt;&lt;_pages&gt;15&lt;/_pages&gt;&lt;_secondary_title&gt;GB/T 6441-1986&lt;/_secondary_title&gt;&lt;_translated_title&gt;The classification for casualty accidents of enterprise staff and workers&lt;/_translated_title&gt;&lt;_url&gt;http://www.wanfangdata.com.cn/details/detail.do?_type=standards&amp;amp;id=GB/T 6441-1986&lt;/_url&gt;&lt;_created&gt;63061812&lt;/_created&gt;&lt;_modified&gt;63061816&lt;/_modified&gt;&lt;_publisher&gt;北京：中国标准出版社&lt;/_publisher&gt;&lt;_translated_author&gt;Guo, Jiabiaozhunju&lt;/_translated_author&gt;&lt;/Details&gt;&lt;Extra&gt;&lt;DBUID&gt;{13BA3B49-12A1-4736-B8CB-B11B0D6D35A8}&lt;/DBUID&gt;&lt;/Extra&gt;&lt;/Item&gt;&lt;/References&gt;&lt;/Group&gt;&lt;/Citation&gt;_x000a_"/>
    <w:docVar w:name="NE.Ref{983EDE55-70FA-4111-8E6E-D56DA62BD4FC}" w:val=" ADDIN NE.Ref.{983EDE55-70FA-4111-8E6E-D56DA62BD4FC}&lt;Citation&gt;&lt;Group&gt;&lt;References&gt;&lt;Item&gt;&lt;ID&gt;62&lt;/ID&gt;&lt;UID&gt;{6AA3DA3A-BF3C-47A4-BDB7-34D554A817AC}&lt;/UID&gt;&lt;Title&gt;Q/CR9006-2014 铁路建设工程风险管理技术规范&lt;/Title&gt;&lt;Template&gt;Web Page&lt;/Template&gt;&lt;Star&gt;0&lt;/Star&gt;&lt;Tag&gt;0&lt;/Tag&gt;&lt;Author&gt;中国铁路总公司&lt;/Author&gt;&lt;Year&gt;2014&lt;/Year&gt;&lt;Details&gt;&lt;_url&gt;https://max.book118.com/html/2018/0123/150146620.shtm&lt;/_url&gt;&lt;_secondary_title&gt;Q/CR9006-2014 &lt;/_secondary_title&gt;&lt;_volume&gt;2019&lt;/_volume&gt;&lt;_issue&gt;2019-11-25&lt;/_issue&gt;&lt;_date_display&gt;2018年11月25日&lt;/_date_display&gt;&lt;_date&gt;62534880&lt;/_date&gt;&lt;_accessed&gt;63061838&lt;/_accessed&gt;&lt;_created&gt;63061838&lt;/_created&gt;&lt;_modified&gt;63061838&lt;/_modified&gt;&lt;_translated_author&gt;Zhong, Guotieluzonggongsi&lt;/_translated_author&gt;&lt;/Details&gt;&lt;Extra&gt;&lt;DBUID&gt;{13BA3B49-12A1-4736-B8CB-B11B0D6D35A8}&lt;/DBUID&gt;&lt;/Extra&gt;&lt;/Item&gt;&lt;/References&gt;&lt;/Group&gt;&lt;/Citation&gt;_x000a_"/>
    <w:docVar w:name="NE.Ref{984EC68F-4044-4E9C-B91F-F9665B29E433}" w:val=" ADDIN NE.Ref.{984EC68F-4044-4E9C-B91F-F9665B29E433}&lt;Citation&gt;&lt;Group&gt;&lt;References&gt;&lt;Item&gt;&lt;ID&gt;79&lt;/ID&gt;&lt;UID&gt;{903B7D40-8B37-4B83-BF9F-BE96E24B52FE}&lt;/UID&gt;&lt;Title&gt;西南山区岩溶隧道涌突水灾害危险性评价系统研究&lt;/Title&gt;&lt;Template&gt;Thesis&lt;/Template&gt;&lt;Star&gt;0&lt;/Star&gt;&lt;Tag&gt;0&lt;/Tag&gt;&lt;Author&gt;杨艳娜&lt;/Author&gt;&lt;Year&gt;2009&lt;/Year&gt;&lt;Details&gt;&lt;_created&gt;63114904&lt;/_created&gt;&lt;_modified&gt;63114904&lt;/_modified&gt;&lt;_url&gt;http://kns.cnki.net/KCMS/detail/detail.aspx?FileName=1013288460.nh&amp;amp;DbName=CDFD2013&lt;/_url&gt;&lt;_publisher&gt;成都理工大学&lt;/_publisher&gt;&lt;_volume&gt;博士&lt;/_volume&gt;&lt;_pages&gt;205&lt;/_pages&gt;&lt;_tertiary_author&gt;许模&lt;/_tertiary_author&gt;&lt;_keywords&gt;西南山区;岩溶隧道;涌突水;超前预报;灾害预警;危险性评价系统&lt;/_keywords&gt;&lt;_db_provider&gt;CNKI: 博士&lt;/_db_provider&gt;&lt;_accessed&gt;63114904&lt;/_accessed&gt;&lt;_db_updated&gt;CNKI - Reference&lt;/_db_updated&gt;&lt;_translated_author&gt;Yang, Yanna&lt;/_translated_author&gt;&lt;_translated_tertiary_author&gt;Xu, Mo&lt;/_translated_tertiary_author&gt;&lt;/Details&gt;&lt;Extra&gt;&lt;DBUID&gt;{13BA3B49-12A1-4736-B8CB-B11B0D6D35A8}&lt;/DBUID&gt;&lt;/Extra&gt;&lt;/Item&gt;&lt;/References&gt;&lt;/Group&gt;&lt;/Citation&gt;_x000a_"/>
    <w:docVar w:name="NE.Ref{98B75AAB-609E-4A99-86AD-BF6E8DCB7940}" w:val=" ADDIN NE.Ref.{98B75AAB-609E-4A99-86AD-BF6E8DCB7940}&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98B97A54-A57B-4CFF-8054-4BB05E62A9B2}" w:val=" ADDIN NE.Ref.{98B97A54-A57B-4CFF-8054-4BB05E62A9B2}&lt;Citation&gt;&lt;Group&gt;&lt;References&gt;&lt;Item&gt;&lt;ID&gt;4&lt;/ID&gt;&lt;UID&gt;{59A39798-0800-426A-A7E9-A879D7443C22}&lt;/UID&gt;&lt;Title&gt;高地应力软岩隧道变形特征及施工方案优化研究&lt;/Title&gt;&lt;Template&gt;Thesis&lt;/Template&gt;&lt;Star&gt;0&lt;/Star&gt;&lt;Tag&gt;0&lt;/Tag&gt;&lt;Author&gt;魏来&lt;/Author&gt;&lt;Year&gt;2018&lt;/Year&gt;&lt;Details&gt;&lt;_accessed&gt;63061455&lt;/_accessed&gt;&lt;_created&gt;63061455&lt;/_created&gt;&lt;_db_provider&gt;CNKI: 硕士&lt;/_db_provider&gt;&lt;_db_updated&gt;CNKI - Reference&lt;/_db_updated&gt;&lt;_keywords&gt;隧道工程;软弱围岩;高地应力;变形特征;施工方案&lt;/_keywords&gt;&lt;_modified&gt;63061455&lt;/_modified&gt;&lt;_pages&gt;93&lt;/_pages&gt;&lt;_publisher&gt;长安大学&lt;/_publisher&gt;&lt;_tertiary_author&gt;刘钦;张亚&lt;/_tertiary_author&gt;&lt;_url&gt;http://kns.cnki.net/KCMS/detail/detail.aspx?FileName=1018791844.nh&amp;amp;DbName=CMFD2019&lt;/_url&gt;&lt;_volume&gt;硕士&lt;/_volume&gt;&lt;_translated_author&gt;Wei, Lai&lt;/_translated_author&gt;&lt;_translated_tertiary_author&gt;Liu, Qin;Zhang, Ya&lt;/_translated_tertiary_author&gt;&lt;/Details&gt;&lt;Extra&gt;&lt;DBUID&gt;{13BA3B49-12A1-4736-B8CB-B11B0D6D35A8}&lt;/DBUID&gt;&lt;/Extra&gt;&lt;/Item&gt;&lt;/References&gt;&lt;/Group&gt;&lt;Group&gt;&lt;References&gt;&lt;Item&gt;&lt;ID&gt;5&lt;/ID&gt;&lt;UID&gt;{0C12350E-46D1-46CA-92EA-115F8C570653}&lt;/UID&gt;&lt;Title&gt;天坪隧道高地应力大变形机理及控制技术研究&lt;/Title&gt;&lt;Template&gt;Thesis&lt;/Template&gt;&lt;Star&gt;0&lt;/Star&gt;&lt;Tag&gt;0&lt;/Tag&gt;&lt;Author&gt;刘永刚&lt;/Author&gt;&lt;Year&gt;2017&lt;/Year&gt;&lt;Details&gt;&lt;_accessed&gt;63061455&lt;/_accessed&gt;&lt;_created&gt;63061455&lt;/_created&gt;&lt;_db_provider&gt;CNKI: 硕士&lt;/_db_provider&gt;&lt;_db_updated&gt;CNKI - Reference&lt;/_db_updated&gt;&lt;_keywords&gt;高地应力;软岩隧道;大变形;支护参数&lt;/_keywords&gt;&lt;_modified&gt;63061455&lt;/_modified&gt;&lt;_pages&gt;71&lt;/_pages&gt;&lt;_publisher&gt;西南交通大学&lt;/_publisher&gt;&lt;_tertiary_author&gt;郑余朝;辛国平&lt;/_tertiary_author&gt;&lt;_url&gt;http://kns.cnki.net/KCMS/detail/detail.aspx?FileName=1017301332.nh&amp;amp;DbName=CMFD2018&lt;/_url&gt;&lt;_volume&gt;硕士&lt;/_volume&gt;&lt;_translated_author&gt;Liu, Yonggang&lt;/_translated_author&gt;&lt;_translated_tertiary_author&gt;Zheng, Yuchao;Xin, Guoping&lt;/_translated_tertiary_author&gt;&lt;/Details&gt;&lt;Extra&gt;&lt;DBUID&gt;{13BA3B49-12A1-4736-B8CB-B11B0D6D35A8}&lt;/DBUID&gt;&lt;/Extra&gt;&lt;/Item&gt;&lt;/References&gt;&lt;/Group&gt;&lt;/Citation&gt;_x000a_"/>
    <w:docVar w:name="NE.Ref{98E82C08-BA88-42BF-8948-EB79364B31AE}" w:val=" ADDIN NE.Ref.{98E82C08-BA88-42BF-8948-EB79364B31AE}&lt;Citation&gt;&lt;Group&gt;&lt;References&gt;&lt;Item&gt;&lt;ID&gt;29&lt;/ID&gt;&lt;UID&gt;{4C857A8B-6A8B-4AB8-8294-054E93831A51}&lt;/UID&gt;&lt;Title&gt;基于综合赋权-TOPSIS法隧道突涌水风险评价及应用&lt;/Title&gt;&lt;Template&gt;Journal Article&lt;/Template&gt;&lt;Star&gt;0&lt;/Star&gt;&lt;Tag&gt;0&lt;/Tag&gt;&lt;Author&gt;侯东赛; 张霄; 王磊&lt;/Author&gt;&lt;Year&gt;2017&lt;/Year&gt;&lt;Details&gt;&lt;_accessed&gt;63061773&lt;/_accessed&gt;&lt;_author_aff&gt;西南交通大学地球科学与环境工程学院;西南交通大学高速铁路运营安全空间信息技术国家地方联合工程实验室;&lt;/_author_aff&gt;&lt;_collection_scope&gt;PKU&lt;/_collection_scope&gt;&lt;_created&gt;63061772&lt;/_created&gt;&lt;_date&gt;61794720&lt;/_date&gt;&lt;_db_provider&gt;CNKI: 期刊&lt;/_db_provider&gt;&lt;_db_updated&gt;CNKI - Reference&lt;/_db_updated&gt;&lt;_issue&gt;06&lt;/_issue&gt;&lt;_journal&gt;隧道建设&lt;/_journal&gt;&lt;_keywords&gt;综合赋权法;TOPSIS法;隧道突涌水;风险评价体系;祥云隧道&lt;/_keywords&gt;&lt;_language&gt;Chinese&lt;/_language&gt;&lt;_modified&gt;63061773&lt;/_modified&gt;&lt;_pages&gt;691-699&lt;/_pages&gt;&lt;_url&gt;http://kns.cnki.net/KCMS/detail/detail.aspx?FileName=JSSD201706009&amp;amp;DbName=CJFQ2017&lt;/_url&gt;&lt;_volume&gt;37&lt;/_volume&gt;&lt;_translated_author&gt;Hou, Dongsai;Zhang, Xiao;Wang, Lei&lt;/_translated_author&gt;&lt;/Details&gt;&lt;Extra&gt;&lt;DBUID&gt;{13BA3B49-12A1-4736-B8CB-B11B0D6D35A8}&lt;/DBUID&gt;&lt;/Extra&gt;&lt;/Item&gt;&lt;/References&gt;&lt;/Group&gt;&lt;/Citation&gt;_x000a_"/>
    <w:docVar w:name="NE.Ref{9B658ABC-7C9D-41AF-84D7-DB781DDAE972}" w:val=" ADDIN NE.Ref.{9B658ABC-7C9D-41AF-84D7-DB781DDAE972}&lt;Citation&gt;&lt;Group&gt;&lt;References&gt;&lt;Item&gt;&lt;ID&gt;62&lt;/ID&gt;&lt;UID&gt;{6AA3DA3A-BF3C-47A4-BDB7-34D554A817AC}&lt;/UID&gt;&lt;Title&gt;Q/CR9006-2014 铁路建设工程风险管理技术规范&lt;/Title&gt;&lt;Template&gt;Web Page&lt;/Template&gt;&lt;Star&gt;0&lt;/Star&gt;&lt;Tag&gt;0&lt;/Tag&gt;&lt;Author&gt;中国铁路总公司&lt;/Author&gt;&lt;Year&gt;2014&lt;/Year&gt;&lt;Details&gt;&lt;_url&gt;https://max.book118.com/html/2018/0123/150146620.shtm&lt;/_url&gt;&lt;_secondary_title&gt;Q/CR9006-2014 &lt;/_secondary_title&gt;&lt;_volume&gt;2019&lt;/_volume&gt;&lt;_issue&gt;2019-11-25&lt;/_issue&gt;&lt;_date_display&gt;2018年11月25日&lt;/_date_display&gt;&lt;_date&gt;62534880&lt;/_date&gt;&lt;_accessed&gt;63061838&lt;/_accessed&gt;&lt;_created&gt;63061838&lt;/_created&gt;&lt;_modified&gt;63061838&lt;/_modified&gt;&lt;_translated_author&gt;Zhong, Guotieluzonggongsi&lt;/_translated_author&gt;&lt;/Details&gt;&lt;Extra&gt;&lt;DBUID&gt;{13BA3B49-12A1-4736-B8CB-B11B0D6D35A8}&lt;/DBUID&gt;&lt;/Extra&gt;&lt;/Item&gt;&lt;/References&gt;&lt;/Group&gt;&lt;/Citation&gt;_x000a_"/>
    <w:docVar w:name="NE.Ref{9F3975D6-A55A-438F-A73D-20EC6829FBCE}" w:val=" ADDIN NE.Ref.{9F3975D6-A55A-438F-A73D-20EC6829FBCE}&lt;Citation&gt;&lt;Group&gt;&lt;References&gt;&lt;Item&gt;&lt;ID&gt;78&lt;/ID&gt;&lt;UID&gt;{7B16D60F-8B93-4A34-9221-C23949F2A2B2}&lt;/UID&gt;&lt;Title&gt;岩石力学与工程 第2版&lt;/Title&gt;&lt;Template&gt;Book&lt;/Template&gt;&lt;Star&gt;0&lt;/Star&gt;&lt;Tag&gt;0&lt;/Tag&gt;&lt;Author&gt;蔡美峰主编&lt;/Author&gt;&lt;Year&gt;2013&lt;/Year&gt;&lt;Details&gt;&lt;_publisher&gt;北京：科学出版社&lt;/_publisher&gt;&lt;_created&gt;63114861&lt;/_created&gt;&lt;_modified&gt;63114861&lt;/_modified&gt;&lt;_translated_author&gt;Cai, Meifengzhubian&lt;/_translated_author&gt;&lt;/Details&gt;&lt;Extra&gt;&lt;DBUID&gt;{13BA3B49-12A1-4736-B8CB-B11B0D6D35A8}&lt;/DBUID&gt;&lt;/Extra&gt;&lt;/Item&gt;&lt;/References&gt;&lt;/Group&gt;&lt;/Citation&gt;_x000a_"/>
    <w:docVar w:name="NE.Ref{9FFDCE18-AD11-452B-A844-275496A22C91}" w:val=" ADDIN NE.Ref.{9FFDCE18-AD11-452B-A844-275496A22C91}&lt;Citation&gt;&lt;Group&gt;&lt;References&gt;&lt;Item&gt;&lt;ID&gt;53&lt;/ID&gt;&lt;UID&gt;{33C5B9A0-DB5C-4519-A79C-C07ACA7084FC}&lt;/UID&gt;&lt;Title&gt;公路隧道设计规范&lt;/Title&gt;&lt;Template&gt;Standard&lt;/Template&gt;&lt;Star&gt;0&lt;/Star&gt;&lt;Tag&gt;0&lt;/Tag&gt;&lt;Author&gt;重庆交通科研设计院主编&lt;/Author&gt;&lt;Year&gt;2004&lt;/Year&gt;&lt;Details&gt;&lt;_created&gt;63061797&lt;/_created&gt;&lt;_modified&gt;63061867&lt;/_modified&gt;&lt;_publisher&gt;北京：人民交通出版社&lt;/_publisher&gt;&lt;_secondary_title&gt;JTG D70—2004&lt;/_secondary_title&gt;&lt;_translated_author&gt;Zhong, Qingjiaotongkeyanshejiyuanzhubian&lt;/_translated_author&gt;&lt;/Details&gt;&lt;Extra&gt;&lt;DBUID&gt;{13BA3B49-12A1-4736-B8CB-B11B0D6D35A8}&lt;/DBUID&gt;&lt;/Extra&gt;&lt;/Item&gt;&lt;/References&gt;&lt;/Group&gt;&lt;/Citation&gt;_x000a_"/>
    <w:docVar w:name="NE.Ref{A039D74A-562E-4E06-9D7E-89FDE6A177F9}" w:val=" ADDIN NE.Ref.{A039D74A-562E-4E06-9D7E-89FDE6A177F9}&lt;Citation&gt;&lt;Group&gt;&lt;References&gt;&lt;Item&gt;&lt;ID&gt;85&lt;/ID&gt;&lt;UID&gt;{6B1526D0-9DD9-4371-9790-0CA54E1F977D}&lt;/UID&gt;&lt;Title&gt;公路隧道设计规范 第一册 土建工程&lt;/Title&gt;&lt;Template&gt;Standard&lt;/Template&gt;&lt;Star&gt;0&lt;/Star&gt;&lt;Tag&gt;0&lt;/Tag&gt;&lt;Author&gt;中华人民共和国交通运输部&lt;/Author&gt;&lt;Year&gt;2018&lt;/Year&gt;&lt;Details&gt;&lt;_secondary_title&gt;JTG 3370.1-2018&lt;/_secondary_title&gt;&lt;_publisher&gt;人民交通出版社&lt;/_publisher&gt;&lt;_accessed&gt;63124722&lt;/_accessed&gt;&lt;_created&gt;63124719&lt;/_created&gt;&lt;_modified&gt;63124722&lt;/_modified&gt;&lt;_place_published&gt;北京&lt;/_place_published&gt;&lt;_date_display&gt;2018年12月25日&lt;/_date_display&gt;&lt;_translated_author&gt;Zhong, Huarenmingongheguojiaotongyunshubu&lt;/_translated_author&gt;&lt;/Details&gt;&lt;Extra&gt;&lt;DBUID&gt;{13BA3B49-12A1-4736-B8CB-B11B0D6D35A8}&lt;/DBUID&gt;&lt;/Extra&gt;&lt;/Item&gt;&lt;/References&gt;&lt;/Group&gt;&lt;/Citation&gt;_x000a_"/>
    <w:docVar w:name="NE.Ref{A10766A4-CC7F-4F26-8A8F-5875DEE46CB7}" w:val=" ADDIN NE.Ref.{A10766A4-CC7F-4F26-8A8F-5875DEE46CB7}&lt;Citation&gt;&lt;Group&gt;&lt;References&gt;&lt;Item&gt;&lt;ID&gt;63&lt;/ID&gt;&lt;UID&gt;{F625F44B-F252-4A07-8E3B-C6FE110C73D0}&lt;/UID&gt;&lt;Title&gt;城市轨道交通地下工程建设风险管理规范&lt;/Title&gt;&lt;Template&gt;Standard&lt;/Template&gt;&lt;Star&gt;1&lt;/Star&gt;&lt;Tag&gt;0&lt;/Tag&gt;&lt;Author&gt;中华人民共和国住房和城乡建设部&lt;/Author&gt;&lt;Year&gt;2011&lt;/Year&gt;&lt;Details&gt;&lt;_keywords&gt;城区; 铁路轨道; 道路运输; 建设工程; 风险管理&lt;/_keywords&gt;&lt;_pages&gt;101&lt;/_pages&gt;&lt;_secondary_title&gt;GB 50652-2011&lt;/_secondary_title&gt;&lt;_translated_title&gt;Code for risk management of underground works in urban rail transit&lt;/_translated_title&gt;&lt;_url&gt;http://www.wanfangdata.com.cn/details/detail.do?_type=standards&amp;amp;id=GB 50652-2011&lt;/_url&gt;&lt;_created&gt;63061839&lt;/_created&gt;&lt;_modified&gt;63061841&lt;/_modified&gt;&lt;_publisher&gt;中国建筑工业出版社&lt;/_publisher&gt;&lt;_translated_author&gt;Zhong, Huarenmingongheguozhufanghechengxiangjianshebu&lt;/_translated_author&gt;&lt;/Details&gt;&lt;Extra&gt;&lt;DBUID&gt;{13BA3B49-12A1-4736-B8CB-B11B0D6D35A8}&lt;/DBUID&gt;&lt;/Extra&gt;&lt;/Item&gt;&lt;/References&gt;&lt;/Group&gt;&lt;/Citation&gt;_x000a_"/>
    <w:docVar w:name="NE.Ref{A39C344C-116C-4AD0-8A59-2FB97323088A}" w:val=" ADDIN NE.Ref.{A39C344C-116C-4AD0-8A59-2FB97323088A}&lt;Citation&gt;&lt;Group&gt;&lt;References&gt;&lt;Item&gt;&lt;ID&gt;53&lt;/ID&gt;&lt;UID&gt;{33C5B9A0-DB5C-4519-A79C-C07ACA7084FC}&lt;/UID&gt;&lt;Title&gt;公路隧道设计规范&lt;/Title&gt;&lt;Template&gt;Standard&lt;/Template&gt;&lt;Star&gt;0&lt;/Star&gt;&lt;Tag&gt;0&lt;/Tag&gt;&lt;Author&gt;重庆交通科研设计院主编&lt;/Author&gt;&lt;Year&gt;2004&lt;/Year&gt;&lt;Details&gt;&lt;_created&gt;63061797&lt;/_created&gt;&lt;_modified&gt;63061867&lt;/_modified&gt;&lt;_publisher&gt;北京：人民交通出版社&lt;/_publisher&gt;&lt;_secondary_title&gt;JTG D70—2004&lt;/_secondary_title&gt;&lt;_translated_author&gt;Zhong, Qingjiaotongkeyanshejiyuanzhubian&lt;/_translated_author&gt;&lt;/Details&gt;&lt;Extra&gt;&lt;DBUID&gt;{13BA3B49-12A1-4736-B8CB-B11B0D6D35A8}&lt;/DBUID&gt;&lt;/Extra&gt;&lt;/Item&gt;&lt;/References&gt;&lt;/Group&gt;&lt;/Citation&gt;_x000a_"/>
    <w:docVar w:name="NE.Ref{A7C0340A-2072-4FFA-B7B4-19EF649B0E64}" w:val=" ADDIN NE.Ref.{A7C0340A-2072-4FFA-B7B4-19EF649B0E64}&lt;Citation&gt;&lt;Group&gt;&lt;References&gt;&lt;Item&gt;&lt;ID&gt;122&lt;/ID&gt;&lt;UID&gt;{8BE051BF-6C22-46D5-B0BE-FD69A9304667}&lt;/UID&gt;&lt;Title&gt;Guidelines for tunnelling risk management: International Tunnelling Association, Working Group No. 2&lt;/Title&gt;&lt;Template&gt;Journal Article&lt;/Template&gt;&lt;Star&gt;0&lt;/Star&gt;&lt;Tag&gt;0&lt;/Tag&gt;&lt;Author&gt;Degn Eskesen, Søren; Tengborg, Per; Kampmann, Jørgen; Holst Veicherts, Trine&lt;/Author&gt;&lt;Year&gt;2004&lt;/Year&gt;&lt;Details&gt;&lt;_accessed&gt;63034018&lt;/_accessed&gt;&lt;_collection_scope&gt;SCIE;EI&lt;/_collection_scope&gt;&lt;_created&gt;63034018&lt;/_created&gt;&lt;_db_updated&gt;CrossRef&lt;/_db_updated&gt;&lt;_doi&gt;10.1016/j.tust.2004.01.001&lt;/_doi&gt;&lt;_impact_factor&gt;   3.942&lt;/_impact_factor&gt;&lt;_isbn&gt;08867798&lt;/_isbn&gt;&lt;_issue&gt;3&lt;/_issue&gt;&lt;_journal&gt;Tunnelling and Underground Space Technology&lt;/_journal&gt;&lt;_modified&gt;63034018&lt;/_modified&gt;&lt;_pages&gt;217-237&lt;/_pages&gt;&lt;_tertiary_title&gt;Tunnelling and Underground Space Technology&lt;/_tertiary_title&gt;&lt;_url&gt;https://linkinghub.elsevier.com/retrieve/pii/S0886779804000021_x000d__x000a_https://api.elsevier.com/content/article/PII:S0886779804000021?httpAccept=text/xml&lt;/_url&gt;&lt;_volume&gt;19&lt;/_volume&gt;&lt;/Details&gt;&lt;Extra&gt;&lt;DBUID&gt;{C5464CEE-9149-4B7D-84D8-26EAAD582844}&lt;/DBUID&gt;&lt;/Extra&gt;&lt;/Item&gt;&lt;/References&gt;&lt;/Group&gt;&lt;/Citation&gt;_x000a_"/>
    <w:docVar w:name="NE.Ref{A89417E0-C85E-4A24-B233-7B39D67057B9}" w:val=" ADDIN NE.Ref.{A89417E0-C85E-4A24-B233-7B39D67057B9}&lt;Citation&gt;&lt;Group&gt;&lt;References&gt;&lt;Item&gt;&lt;ID&gt;48&lt;/ID&gt;&lt;UID&gt;{C05622A5-A03C-4E08-8547-243359D8A72F}&lt;/UID&gt;&lt;Title&gt;公路工程质量检验评定标准 第1册 土建工程 JTG F80/1-2017&lt;/Title&gt;&lt;Template&gt;Standard&lt;/Template&gt;&lt;Star&gt;0&lt;/Star&gt;&lt;Tag&gt;0&lt;/Tag&gt;&lt;Author&gt;交通运输部公路科学研究院&lt;/Author&gt;&lt;Year&gt;2017&lt;/Year&gt;&lt;Details&gt;&lt;_created&gt;63061788&lt;/_created&gt;&lt;_modified&gt;63061858&lt;/_modified&gt;&lt;_publisher&gt;北京：人民交通出版社&lt;/_publisher&gt;&lt;_translated_author&gt;Jiao, Tongyunshubugonglukexueyanjiuyuan&lt;/_translated_author&gt;&lt;/Details&gt;&lt;Extra&gt;&lt;DBUID&gt;{13BA3B49-12A1-4736-B8CB-B11B0D6D35A8}&lt;/DBUID&gt;&lt;/Extra&gt;&lt;/Item&gt;&lt;/References&gt;&lt;/Group&gt;&lt;/Citation&gt;_x000a_"/>
    <w:docVar w:name="NE.Ref{A9D5928B-9539-4263-8BB8-A1C0D2B8AA3A}" w:val=" ADDIN NE.Ref.{A9D5928B-9539-4263-8BB8-A1C0D2B8AA3A}&lt;Citation&gt;&lt;Group&gt;&lt;References&gt;&lt;Item&gt;&lt;ID&gt;59&lt;/ID&gt;&lt;UID&gt;{7463273C-3187-4AF1-88DD-43058A12AFD0}&lt;/UID&gt;&lt;Title&gt;水力发电工程地质勘察规范&lt;/Title&gt;&lt;Template&gt;Standard&lt;/Template&gt;&lt;Star&gt;1&lt;/Star&gt;&lt;Tag&gt;0&lt;/Tag&gt;&lt;Author&gt;中华人民共和国住房和城乡建设部&lt;/Author&gt;&lt;Year&gt;2016&lt;/Year&gt;&lt;Details&gt;&lt;_pages&gt;255&lt;/_pages&gt;&lt;_secondary_title&gt;GB 50287-2016&lt;/_secondary_title&gt;&lt;_translated_title&gt;Code for hydropower engineering geological investigation&lt;/_translated_title&gt;&lt;_url&gt;http://www.wanfangdata.com.cn/details/detail.do?_type=standards&amp;amp;id=GB 50287-2016&lt;/_url&gt;&lt;_created&gt;63061817&lt;/_created&gt;&lt;_modified&gt;63061868&lt;/_modified&gt;&lt;_accessed&gt;63061817&lt;/_accessed&gt;&lt;_publisher&gt;中国计划出版社&lt;/_publisher&gt;&lt;_translated_author&gt;Zhong, Huarenmingongheguozhufanghechengxiangjianshebu&lt;/_translated_author&gt;&lt;/Details&gt;&lt;Extra&gt;&lt;DBUID&gt;{13BA3B49-12A1-4736-B8CB-B11B0D6D35A8}&lt;/DBUID&gt;&lt;/Extra&gt;&lt;/Item&gt;&lt;/References&gt;&lt;/Group&gt;&lt;/Citation&gt;_x000a_"/>
    <w:docVar w:name="NE.Ref{AB4941B8-B977-44AE-9C55-9F9D78DF2645}" w:val=" ADDIN NE.Ref.{AB4941B8-B977-44AE-9C55-9F9D78DF2645}&lt;Citation&gt;&lt;Group&gt;&lt;References&gt;&lt;Item&gt;&lt;ID&gt;76&lt;/ID&gt;&lt;UID&gt;{57E46213-8956-452E-9A39-F906CC742C0A}&lt;/UID&gt;&lt;Title&gt;宁波市交通质监站组织开展公路工程施工安全风险管理知识培训&lt;/Title&gt;&lt;Template&gt;Web Page&lt;/Template&gt;&lt;Star&gt;0&lt;/Star&gt;&lt;Tag&gt;0&lt;/Tag&gt;&lt;Author&gt;宁波市交通工程质量监督站&lt;/Author&gt;&lt;Year&gt;2018&lt;/Year&gt;&lt;Details&gt;&lt;_url&gt;http://zjzj.zjt.gov.cn/art/2018/11/6/art_5460_1029387.html&lt;/_url&gt;&lt;_volume&gt;2020年&lt;/_volume&gt;&lt;_issue&gt;2020-01-01&lt;/_issue&gt;&lt;_date_display&gt;2018年11月6日&lt;/_date_display&gt;&lt;_accessed&gt;63114843&lt;/_accessed&gt;&lt;_created&gt;63114840&lt;/_created&gt;&lt;_modified&gt;63114844&lt;/_modified&gt;&lt;_date&gt;62507520&lt;/_date&gt;&lt;_translated_author&gt;Ning, Boshijiaotonggongchengzhiliangjianduzhan&lt;/_translated_author&gt;&lt;/Details&gt;&lt;Extra&gt;&lt;DBUID&gt;{13BA3B49-12A1-4736-B8CB-B11B0D6D35A8}&lt;/DBUID&gt;&lt;/Extra&gt;&lt;/Item&gt;&lt;/References&gt;&lt;/Group&gt;&lt;/Citation&gt;_x000a_"/>
    <w:docVar w:name="NE.Ref{ACDE754E-0B41-4466-8569-67F873D2E882}" w:val=" ADDIN NE.Ref.{ACDE754E-0B41-4466-8569-67F873D2E882}&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AD91D82D-34B2-4B42-B6DB-463FA3E87E35}" w:val=" ADDIN NE.Ref.{AD91D82D-34B2-4B42-B6DB-463FA3E87E35}&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AE28C786-9691-48E2-AB61-F15D79C4D93D}" w:val=" ADDIN NE.Ref.{AE28C786-9691-48E2-AB61-F15D79C4D93D}&lt;Citation&gt;&lt;Group&gt;&lt;References&gt;&lt;Item&gt;&lt;ID&gt;52&lt;/ID&gt;&lt;UID&gt;{186C33C3-95BB-472F-B0C5-D1BCCB29B45D}&lt;/UID&gt;&lt;Title&gt;生产安全事故报告和调查处理条例&lt;/Title&gt;&lt;Template&gt;Book&lt;/Template&gt;&lt;Star&gt;0&lt;/Star&gt;&lt;Tag&gt;0&lt;/Tag&gt;&lt;Author&gt;国务院法制办公室编&lt;/Author&gt;&lt;Year&gt;2007&lt;/Year&gt;&lt;Details&gt;&lt;_created&gt;63061796&lt;/_created&gt;&lt;_modified&gt;63061796&lt;/_modified&gt;&lt;_publisher&gt;北京：中国法制出版社&lt;/_publisher&gt;&lt;_translated_author&gt;Guo, Wuyuanfazhibangongshibian&lt;/_translated_author&gt;&lt;/Details&gt;&lt;Extra&gt;&lt;DBUID&gt;{13BA3B49-12A1-4736-B8CB-B11B0D6D35A8}&lt;/DBUID&gt;&lt;/Extra&gt;&lt;/Item&gt;&lt;/References&gt;&lt;/Group&gt;&lt;/Citation&gt;_x000a_"/>
    <w:docVar w:name="NE.Ref{B20EA7CA-B22A-4CA9-80A8-6F8C4FD70DC1}" w:val=" ADDIN NE.Ref.{B20EA7CA-B22A-4CA9-80A8-6F8C4FD70DC1}&lt;Citation&gt;&lt;Group&gt;&lt;References&gt;&lt;Item&gt;&lt;ID&gt;67&lt;/ID&gt;&lt;UID&gt;{D77A2EFC-73F3-4A41-9223-71BDB0F11BDB}&lt;/UID&gt;&lt;Title&gt;地下工程防水技术规范&lt;/Title&gt;&lt;Template&gt;Standard&lt;/Template&gt;&lt;Star&gt;1&lt;/Star&gt;&lt;Tag&gt;0&lt;/Tag&gt;&lt;Author&gt;中华人民共和国住房和城乡建设部&lt;/Author&gt;&lt;Year&gt;2008&lt;/Year&gt;&lt;Details&gt;&lt;_secondary_title&gt;GB 50108-2008&lt;/_secondary_title&gt;&lt;_publisher&gt;北京：中国计划出版社&lt;/_publisher&gt;&lt;_accessed&gt;63061848&lt;/_accessed&gt;&lt;_created&gt;63061848&lt;/_created&gt;&lt;_modified&gt;63061869&lt;/_modified&gt;&lt;_pages&gt;175&lt;/_pages&gt;&lt;_translated_author&gt;Zhong, Huarenmingongheguozhufanghechengxiangjianshebu&lt;/_translated_author&gt;&lt;/Details&gt;&lt;Extra&gt;&lt;DBUID&gt;{13BA3B49-12A1-4736-B8CB-B11B0D6D35A8}&lt;/DBUID&gt;&lt;/Extra&gt;&lt;/Item&gt;&lt;/References&gt;&lt;/Group&gt;&lt;/Citation&gt;_x000a_"/>
    <w:docVar w:name="NE.Ref{B219FFFF-1A14-4FC0-B29A-8440352ABC1C}" w:val=" ADDIN NE.Ref.{B219FFFF-1A14-4FC0-B29A-8440352ABC1C}&lt;Citation&gt;&lt;Group&gt;&lt;References&gt;&lt;Item&gt;&lt;ID&gt;33&lt;/ID&gt;&lt;UID&gt;{B84CBFD5-A91C-4A64-8F67-E4F97041C39E}&lt;/UID&gt;&lt;Title&gt;软岩隧道矿山法施工大变形风险评估&lt;/Title&gt;&lt;Template&gt;Journal Article&lt;/Template&gt;&lt;Star&gt;0&lt;/Star&gt;&lt;Tag&gt;0&lt;/Tag&gt;&lt;Author&gt;范建海; 陈志超; 夏述光&lt;/Author&gt;&lt;Year&gt;2013&lt;/Year&gt;&lt;Details&gt;&lt;_accessed&gt;63061773&lt;/_accessed&gt;&lt;_author_aff&gt;湖北省谷竹高速公路建设指挥部;中国地质大学(武汉);&lt;/_author_aff&gt;&lt;_collection_scope&gt;PKU&lt;/_collection_scope&gt;&lt;_created&gt;63061773&lt;/_created&gt;&lt;_date&gt;59721120&lt;/_date&gt;&lt;_db_provider&gt;CNKI: 期刊&lt;/_db_provider&gt;&lt;_db_updated&gt;CNKI - Reference&lt;/_db_updated&gt;&lt;_issue&gt;07&lt;/_issue&gt;&lt;_journal&gt;铁道建筑&lt;/_journal&gt;&lt;_keywords&gt;大变形;风险评估;德尔菲法;层次分析法;当量分析法&lt;/_keywords&gt;&lt;_language&gt;Chinese&lt;/_language&gt;&lt;_modified&gt;63061773&lt;/_modified&gt;&lt;_pages&gt;52-56&lt;/_pages&gt;&lt;_url&gt;http://kns.cnki.net/KCMS/detail/detail.aspx?FileName=TDJZ201307017&amp;amp;DbName=CJFQ2013&lt;/_url&gt;&lt;_translated_author&gt;Fan, Jianhai;Chen, Zhichao;Xia, Shuguang&lt;/_translated_author&gt;&lt;/Details&gt;&lt;Extra&gt;&lt;DBUID&gt;{13BA3B49-12A1-4736-B8CB-B11B0D6D35A8}&lt;/DBUID&gt;&lt;/Extra&gt;&lt;/Item&gt;&lt;/References&gt;&lt;/Group&gt;&lt;/Citation&gt;_x000a_"/>
    <w:docVar w:name="NE.Ref{B2F1BCD6-C20E-4540-B502-6ABB6B17A63E}" w:val=" ADDIN NE.Ref.{B2F1BCD6-C20E-4540-B502-6ABB6B17A63E}&lt;Citation&gt;&lt;Group&gt;&lt;References&gt;&lt;Item&gt;&lt;ID&gt;42&lt;/ID&gt;&lt;UID&gt;{DC19744F-73FF-46B2-85D1-7AA87FA9EACD}&lt;/UID&gt;&lt;Title&gt;铁路瓦斯隧道施工特点及问题探讨&lt;/Title&gt;&lt;Template&gt;Journal Article&lt;/Template&gt;&lt;Star&gt;0&lt;/Star&gt;&lt;Tag&gt;0&lt;/Tag&gt;&lt;Author&gt;赵阶勇&lt;/Author&gt;&lt;Year&gt;2011&lt;/Year&gt;&lt;Details&gt;&lt;_accessed&gt;63061775&lt;/_accessed&gt;&lt;_author_adr&gt;中铁隧道股份有限公司&lt;/_author_adr&gt;&lt;_author_aff&gt;中铁隧道股份有限公司&lt;/_author_aff&gt;&lt;_collection_scope&gt;PKU&lt;/_collection_scope&gt;&lt;_created&gt;63061774&lt;/_created&gt;&lt;_db_provider&gt;北京万方数据股份有限公司&lt;/_db_provider&gt;&lt;_db_updated&gt;Wanfangdata&lt;/_db_updated&gt;&lt;_isbn&gt;1672-741X&lt;/_isbn&gt;&lt;_issue&gt;1&lt;/_issue&gt;&lt;_journal&gt;隧道建设&lt;/_journal&gt;&lt;_keywords&gt;铁路瓦斯隧道; 揭煤; 电力供应; 设备防爆&lt;/_keywords&gt;&lt;_language&gt;chi&lt;/_language&gt;&lt;_modified&gt;63061775&lt;/_modified&gt;&lt;_pages&gt;82-87,109&lt;/_pages&gt;&lt;_tertiary_title&gt;TUNNEL CONSTRUCTION&lt;/_tertiary_title&gt;&lt;_translated_author&gt;Jieyong, ZHAO&lt;/_translated_author&gt;&lt;_translated_title&gt;Comments on Construction of Railway Tunnels in Gas-containing Ground&lt;/_translated_title&gt;&lt;_url&gt;http://www.wanfangdata.com.cn/details/detail.do?_type=perio&amp;amp;id=sdjs201101013&lt;/_url&gt;&lt;_volume&gt;31&lt;/_volume&gt;&lt;/Details&gt;&lt;Extra&gt;&lt;DBUID&gt;{13BA3B49-12A1-4736-B8CB-B11B0D6D35A8}&lt;/DBUID&gt;&lt;/Extra&gt;&lt;/Item&gt;&lt;/References&gt;&lt;/Group&gt;&lt;/Citation&gt;_x000a_"/>
    <w:docVar w:name="NE.Ref{B2FC96DA-9262-4679-BB93-D4FFFF07DF9F}" w:val=" ADDIN NE.Ref.{B2FC96DA-9262-4679-BB93-D4FFFF07DF9F}&lt;Citation&gt;&lt;Group&gt;&lt;References&gt;&lt;Item&gt;&lt;ID&gt;56&lt;/ID&gt;&lt;UID&gt;{B22FABD6-5C20-4758-815A-5CD25A150E73}&lt;/UID&gt;&lt;Title&gt;铁路隧道超前地质预报技术指南&lt;/Title&gt;&lt;Template&gt;Book&lt;/Template&gt;&lt;Star&gt;0&lt;/Star&gt;&lt;Tag&gt;0&lt;/Tag&gt;&lt;Author&gt;中国中铁隧道集团有限公司主编&lt;/Author&gt;&lt;Year&gt;2008&lt;/Year&gt;&lt;Details&gt;&lt;_created&gt;63061800&lt;/_created&gt;&lt;_modified&gt;63061800&lt;/_modified&gt;&lt;_publisher&gt;北京：中国铁道出版社&lt;/_publisher&gt;&lt;_translated_author&gt;Zhong, Guozhongtiesuidaojituanyouxiangongsizhubian&lt;/_translated_author&gt;&lt;/Details&gt;&lt;Extra&gt;&lt;DBUID&gt;{13BA3B49-12A1-4736-B8CB-B11B0D6D35A8}&lt;/DBUID&gt;&lt;/Extra&gt;&lt;/Item&gt;&lt;/References&gt;&lt;/Group&gt;&lt;/Citation&gt;_x000a_"/>
    <w:docVar w:name="NE.Ref{B3B0C984-4631-454C-B84E-DE5B3BC1ED0D}" w:val=" ADDIN NE.Ref.{B3B0C984-4631-454C-B84E-DE5B3BC1ED0D}&lt;Citation&gt;&lt;Group&gt;&lt;References&gt;&lt;Item&gt;&lt;ID&gt;52&lt;/ID&gt;&lt;UID&gt;{186C33C3-95BB-472F-B0C5-D1BCCB29B45D}&lt;/UID&gt;&lt;Title&gt;生产安全事故报告和调查处理条例&lt;/Title&gt;&lt;Template&gt;Book&lt;/Template&gt;&lt;Star&gt;0&lt;/Star&gt;&lt;Tag&gt;0&lt;/Tag&gt;&lt;Author&gt;国务院法制办公室编&lt;/Author&gt;&lt;Year&gt;2007&lt;/Year&gt;&lt;Details&gt;&lt;_created&gt;63061796&lt;/_created&gt;&lt;_modified&gt;63061796&lt;/_modified&gt;&lt;_publisher&gt;北京：中国法制出版社&lt;/_publisher&gt;&lt;_translated_author&gt;Guo, Wuyuanfazhibangongshibian&lt;/_translated_author&gt;&lt;/Details&gt;&lt;Extra&gt;&lt;DBUID&gt;{13BA3B49-12A1-4736-B8CB-B11B0D6D35A8}&lt;/DBUID&gt;&lt;/Extra&gt;&lt;/Item&gt;&lt;/References&gt;&lt;/Group&gt;&lt;/Citation&gt;_x000a_"/>
    <w:docVar w:name="NE.Ref{B487F54E-A632-497E-821F-E6DF589635DD}" w:val=" ADDIN NE.Ref.{B487F54E-A632-497E-821F-E6DF589635DD}&lt;Citation&gt;&lt;Group&gt;&lt;References&gt;&lt;Item&gt;&lt;ID&gt;22&lt;/ID&gt;&lt;UID&gt;{C1DB21B5-1CFE-4528-93B0-C44E54F35906}&lt;/UID&gt;&lt;Title&gt;山岭隧道塌方风险评价理论与方法及工程应用&lt;/Title&gt;&lt;Template&gt;Journal Article&lt;/Template&gt;&lt;Star&gt;0&lt;/Star&gt;&lt;Tag&gt;0&lt;/Tag&gt;&lt;Author&gt;袁永才; 李术才; 李利平; 雷霆; 王升; 孙柏林&lt;/Author&gt;&lt;Year&gt;2016&lt;/Year&gt;&lt;Details&gt;&lt;_accessed&gt;63061772&lt;/_accessed&gt;&lt;_author_aff&gt;山东大学岩土与结构工程研究中心;湖北省保康至宜昌高速公路建设指挥部;&lt;/_author_aff&gt;&lt;_created&gt;63061772&lt;/_created&gt;&lt;_date&gt;61308000&lt;/_date&gt;&lt;_db_provider&gt;CNKI: 期刊&lt;/_db_provider&gt;&lt;_db_updated&gt;CNKI - Reference&lt;/_db_updated&gt;&lt;_issue&gt;07&lt;/_issue&gt;&lt;_journal&gt;中南大学学报(自然科学版)&lt;/_journal&gt;&lt;_keywords&gt;山岭隧道;风险评价;突变理论;塌方治理;孕险环境&lt;/_keywords&gt;&lt;_language&gt;Chinese&lt;/_language&gt;&lt;_modified&gt;63061772&lt;/_modified&gt;&lt;_pages&gt;2406-2414&lt;/_pages&gt;&lt;_url&gt;http://kns.cnki.net/KCMS/detail/detail.aspx?FileName=ZNGD201607031&amp;amp;DbName=CJFQ2016&lt;/_url&gt;&lt;_volume&gt;47&lt;/_volume&gt;&lt;_translated_author&gt;Yuan, Yongcai;Li, Shucai;Li, Liping;Lei, Ting;Wang, Sheng;Sun, Bolin&lt;/_translated_author&gt;&lt;/Details&gt;&lt;Extra&gt;&lt;DBUID&gt;{13BA3B49-12A1-4736-B8CB-B11B0D6D35A8}&lt;/DBUID&gt;&lt;/Extra&gt;&lt;/Item&gt;&lt;/References&gt;&lt;/Group&gt;&lt;Group&gt;&lt;References&gt;&lt;Item&gt;&lt;ID&gt;9&lt;/ID&gt;&lt;UID&gt;{68E57873-D974-4D04-84AD-CAB3790C2F3D}&lt;/UID&gt;&lt;Title&gt;浅埋隧道塌方地质灾害成因及风险控制&lt;/Title&gt;&lt;Template&gt;Journal Article&lt;/Template&gt;&lt;Star&gt;0&lt;/Star&gt;&lt;Tag&gt;0&lt;/Tag&gt;&lt;Author&gt;周宗青; 李术才; 李利平; 隋斌; 石少帅; 张乾青&lt;/Author&gt;&lt;Year&gt;2013&lt;/Year&gt;&lt;Details&gt;&lt;_accessed&gt;63061735&lt;/_accessed&gt;&lt;_author_aff&gt;山东大学岩土与结构工程研究中心;中国矿业大学深部岩土力学与地下工程国家重点实验室;&lt;/_author_aff&gt;&lt;_collection_scope&gt;CSCD;PKU;EI&lt;/_collection_scope&gt;&lt;_created&gt;63061734&lt;/_created&gt;&lt;_date&gt;59618880&lt;/_date&gt;&lt;_db_provider&gt;CNKI: 期刊&lt;/_db_provider&gt;&lt;_db_updated&gt;CNKI - Reference&lt;/_db_updated&gt;&lt;_issue&gt;05&lt;/_issue&gt;&lt;_journal&gt;岩土力学&lt;/_journal&gt;&lt;_keywords&gt;浅埋隧道;地质灾害成因;风险分析;动态评估;风险控制&lt;/_keywords&gt;&lt;_language&gt;Chinese&lt;/_language&gt;&lt;_modified&gt;63061735&lt;/_modified&gt;&lt;_pages&gt;1375-1382&lt;/_pages&gt;&lt;_url&gt;http://kns.cnki.net/KCMS/detail/detail.aspx?FileName=YTLX201305022&amp;amp;DbName=CJFQ2013&lt;/_url&gt;&lt;_volume&gt;34&lt;/_volume&gt;&lt;_translated_author&gt;Zhou, Zongqing;Li, Shucai;Li, Liping;Sui, Bin;Shi, Shaoshuai;Zhang, Qianqing&lt;/_translated_author&gt;&lt;/Details&gt;&lt;Extra&gt;&lt;DBUID&gt;{13BA3B49-12A1-4736-B8CB-B11B0D6D35A8}&lt;/DBUID&gt;&lt;/Extra&gt;&lt;/Item&gt;&lt;/References&gt;&lt;/Group&gt;&lt;/Citation&gt;_x000a_"/>
    <w:docVar w:name="NE.Ref{B518EDC2-3850-4ACF-8C12-C24C81E58F6F}" w:val=" ADDIN NE.Ref.{B518EDC2-3850-4ACF-8C12-C24C81E58F6F}&lt;Citation&gt;&lt;Group&gt;&lt;References&gt;&lt;Item&gt;&lt;ID&gt;41&lt;/ID&gt;&lt;UID&gt;{72127A32-FF6B-4608-899A-4B34CF668233}&lt;/UID&gt;&lt;Title&gt;隧道工程瓦斯灾害危险性评价体系研究&lt;/Title&gt;&lt;Template&gt;Thesis&lt;/Template&gt;&lt;Star&gt;0&lt;/Star&gt;&lt;Tag&gt;0&lt;/Tag&gt;&lt;Author&gt;康小兵&lt;/Author&gt;&lt;Year&gt;2009&lt;/Year&gt;&lt;Details&gt;&lt;_accessed&gt;63061777&lt;/_accessed&gt;&lt;_created&gt;63061774&lt;/_created&gt;&lt;_db_provider&gt;CNKI: 博士&lt;/_db_provider&gt;&lt;_db_updated&gt;CNKI - Reference&lt;/_db_updated&gt;&lt;_keywords&gt;隧道工程;瓦斯灾害;评价指标体系;综合集成赋权法;瓦斯隧道分级评价;瓦斯隧道施工危险性评价;瓦斯隧道掌子面突出评价&lt;/_keywords&gt;&lt;_modified&gt;63061777&lt;/_modified&gt;&lt;_pages&gt;200&lt;/_pages&gt;&lt;_publisher&gt;成都理工大学&lt;/_publisher&gt;&lt;_tertiary_author&gt;许模&lt;/_tertiary_author&gt;&lt;_url&gt;http://kns.cnki.net/KCMS/detail/detail.aspx?FileName=2009221308.nh&amp;amp;DbName=CDFD2009&lt;/_url&gt;&lt;_volume&gt;博士&lt;/_volume&gt;&lt;_translated_author&gt;Kang, Xiaobing&lt;/_translated_author&gt;&lt;_translated_tertiary_author&gt;Xu, Mo&lt;/_translated_tertiary_author&gt;&lt;/Details&gt;&lt;Extra&gt;&lt;DBUID&gt;{13BA3B49-12A1-4736-B8CB-B11B0D6D35A8}&lt;/DBUID&gt;&lt;/Extra&gt;&lt;/Item&gt;&lt;/References&gt;&lt;/Group&gt;&lt;/Citation&gt;_x000a_"/>
    <w:docVar w:name="NE.Ref{B6D04B4C-26ED-4701-80E1-7C9D6AC7900E}" w:val=" ADDIN NE.Ref.{B6D04B4C-26ED-4701-80E1-7C9D6AC7900E}&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B902D0B4-8F5C-446D-9D7F-285567F8E9F4}" w:val=" ADDIN NE.Ref.{B902D0B4-8F5C-446D-9D7F-285567F8E9F4}&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B958520D-07FF-44A0-8C9C-C62A60B3191B}" w:val=" ADDIN NE.Ref.{B958520D-07FF-44A0-8C9C-C62A60B3191B}&lt;Citation&gt;&lt;Group&gt;&lt;References&gt;&lt;Item&gt;&lt;ID&gt;29&lt;/ID&gt;&lt;UID&gt;{4C857A8B-6A8B-4AB8-8294-054E93831A51}&lt;/UID&gt;&lt;Title&gt;基于综合赋权-TOPSIS法隧道突涌水风险评价及应用&lt;/Title&gt;&lt;Template&gt;Journal Article&lt;/Template&gt;&lt;Star&gt;0&lt;/Star&gt;&lt;Tag&gt;0&lt;/Tag&gt;&lt;Author&gt;侯东赛; 张霄; 王磊&lt;/Author&gt;&lt;Year&gt;2017&lt;/Year&gt;&lt;Details&gt;&lt;_accessed&gt;63061773&lt;/_accessed&gt;&lt;_author_aff&gt;西南交通大学地球科学与环境工程学院;西南交通大学高速铁路运营安全空间信息技术国家地方联合工程实验室;&lt;/_author_aff&gt;&lt;_collection_scope&gt;PKU&lt;/_collection_scope&gt;&lt;_created&gt;63061772&lt;/_created&gt;&lt;_date&gt;61794720&lt;/_date&gt;&lt;_db_provider&gt;CNKI: 期刊&lt;/_db_provider&gt;&lt;_db_updated&gt;CNKI - Reference&lt;/_db_updated&gt;&lt;_issue&gt;06&lt;/_issue&gt;&lt;_journal&gt;隧道建设&lt;/_journal&gt;&lt;_keywords&gt;综合赋权法;TOPSIS法;隧道突涌水;风险评价体系;祥云隧道&lt;/_keywords&gt;&lt;_language&gt;Chinese&lt;/_language&gt;&lt;_modified&gt;63061773&lt;/_modified&gt;&lt;_pages&gt;691-699&lt;/_pages&gt;&lt;_url&gt;http://kns.cnki.net/KCMS/detail/detail.aspx?FileName=JSSD201706009&amp;amp;DbName=CJFQ2017&lt;/_url&gt;&lt;_volume&gt;37&lt;/_volume&gt;&lt;_translated_author&gt;Hou, Dongsai;Zhang, Xiao;Wang, Lei&lt;/_translated_author&gt;&lt;/Details&gt;&lt;Extra&gt;&lt;DBUID&gt;{13BA3B49-12A1-4736-B8CB-B11B0D6D35A8}&lt;/DBUID&gt;&lt;/Extra&gt;&lt;/Item&gt;&lt;/References&gt;&lt;/Group&gt;&lt;/Citation&gt;_x000a_"/>
    <w:docVar w:name="NE.Ref{B959927F-A288-4FC9-ACE8-D0DE0B387308}" w:val=" ADDIN NE.Ref.{B959927F-A288-4FC9-ACE8-D0DE0B387308}&lt;Citation&gt;&lt;Group&gt;&lt;References&gt;&lt;Item&gt;&lt;ID&gt;19&lt;/ID&gt;&lt;UID&gt;{96917D28-C008-46A6-B13A-F81D84296744}&lt;/UID&gt;&lt;Title&gt;山岭隧道塌方风险的集对分析方法&lt;/Title&gt;&lt;Template&gt;Journal Article&lt;/Template&gt;&lt;Star&gt;0&lt;/Star&gt;&lt;Tag&gt;0&lt;/Tag&gt;&lt;Author&gt;曹文贵; 翟友成; 王江营; 张永杰&lt;/Author&gt;&lt;Year&gt;2012&lt;/Year&gt;&lt;Details&gt;&lt;_accessed&gt;63061772&lt;/_accessed&gt;&lt;_author_adr&gt;湖南大学; 湖南大学; 湖南大学; 长沙理工大学&lt;/_author_adr&gt;&lt;_author_aff&gt;湖南大学; 湖南大学; 湖南大学; 长沙理工大学&lt;/_author_aff&gt;&lt;_collection_scope&gt;CSCD;PKU;EI&lt;/_collection_scope&gt;&lt;_created&gt;63061772&lt;/_created&gt;&lt;_db_provider&gt;北京万方数据股份有限公司&lt;/_db_provider&gt;&lt;_db_updated&gt;Wanfangdata&lt;/_db_updated&gt;&lt;_isbn&gt;1001-7372&lt;/_isbn&gt;&lt;_issue&gt;2&lt;/_issue&gt;&lt;_journal&gt;中国公路学报&lt;/_journal&gt;&lt;_keywords&gt;隧道工程; 塌方风险; 集对分析; 不确定型层次分析; 群组决策&lt;/_keywords&gt;&lt;_language&gt;chi&lt;/_language&gt;&lt;_modified&gt;63061772&lt;/_modified&gt;&lt;_pages&gt;90-99&lt;/_pages&gt;&lt;_tertiary_title&gt;China Journal of Highway and Transport&lt;/_tertiary_title&gt;&lt;_translated_title&gt;Method of Set Pair Analysis for Collapse Risk During Construction of Mountain Tunnel&lt;/_translated_title&gt;&lt;_url&gt;http://www.wanfangdata.com.cn/details/detail.do?_type=perio&amp;amp;id=zgglxb201202015&lt;/_url&gt;&lt;_volume&gt;25&lt;/_volume&gt;&lt;_translated_author&gt;Cao, Wengui;Zhai, Youcheng;Wang, Jiangying;Zhang, Yongjie&lt;/_translated_author&gt;&lt;/Details&gt;&lt;Extra&gt;&lt;DBUID&gt;{13BA3B49-12A1-4736-B8CB-B11B0D6D35A8}&lt;/DBUID&gt;&lt;/Extra&gt;&lt;/Item&gt;&lt;/References&gt;&lt;/Group&gt;&lt;/Citation&gt;_x000a_"/>
    <w:docVar w:name="NE.Ref{BA9E0449-74E2-4EB5-8E0B-85424E00CF94}" w:val=" ADDIN NE.Ref.{BA9E0449-74E2-4EB5-8E0B-85424E00CF94}&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BBF41EA4-103F-4727-B74F-BC1C0A2ACB2E}" w:val=" ADDIN NE.Ref.{BBF41EA4-103F-4727-B74F-BC1C0A2ACB2E}&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BD7F0802-8918-4940-A995-0B81781B3F64}" w:val=" ADDIN NE.Ref.{BD7F0802-8918-4940-A995-0B81781B3F64}&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BF064FE1-2797-436E-A906-380B318A88E7}" w:val=" ADDIN NE.Ref.{BF064FE1-2797-436E-A906-380B318A88E7}&lt;Citation&gt;&lt;Group&gt;&lt;References&gt;&lt;Item&gt;&lt;ID&gt;14&lt;/ID&gt;&lt;UID&gt;{FCD2A7D3-0446-4C43-8F9A-8691A5C5A6A9}&lt;/UID&gt;&lt;Title&gt;中华人民共和国行业标准公路工程技术标准/JTG B01-2014&lt;/Title&gt;&lt;Template&gt;Standard&lt;/Template&gt;&lt;Star&gt;0&lt;/Star&gt;&lt;Tag&gt;0&lt;/Tag&gt;&lt;Author&gt;主编交通运输部公路局中交第一公路勘察设计研究院有限公司&lt;/Author&gt;&lt;Year&gt;2015&lt;/Year&gt;&lt;Details&gt;&lt;_created&gt;63061758&lt;/_created&gt;&lt;_modified&gt;63061783&lt;/_modified&gt;&lt;_publisher&gt;人民交通出版社&lt;/_publisher&gt;&lt;_translated_author&gt;Zhu, Bianjiaotongyunshubugonglujuzhongjiaodiyigonglukanchashejiyanjiuyuanyouxiangongsi&lt;/_translated_author&gt;&lt;/Details&gt;&lt;Extra&gt;&lt;DBUID&gt;{13BA3B49-12A1-4736-B8CB-B11B0D6D35A8}&lt;/DBUID&gt;&lt;/Extra&gt;&lt;/Item&gt;&lt;/References&gt;&lt;/Group&gt;&lt;/Citation&gt;_x000a_"/>
    <w:docVar w:name="NE.Ref{BFFC4CF9-0A67-4C1B-8E60-071EB0F80828}" w:val=" ADDIN NE.Ref.{BFFC4CF9-0A67-4C1B-8E60-071EB0F80828}&lt;Citation&gt;&lt;Group&gt;&lt;References&gt;&lt;Item&gt;&lt;ID&gt;83&lt;/ID&gt;&lt;UID&gt;{C0D97DD7-CEAC-44F2-8C05-11F82BEF43DF}&lt;/UID&gt;&lt;Title&gt;生产安全事故报告和调查处理条例&lt;/Title&gt;&lt;Template&gt;Web Page&lt;/Template&gt;&lt;Star&gt;0&lt;/Star&gt;&lt;Tag&gt;0&lt;/Tag&gt;&lt;Author&gt;国务院法制办公室编&lt;/Author&gt;&lt;Year&gt;2007&lt;/Year&gt;&lt;Details&gt;&lt;_url&gt;http://www.gov.cn/govweb/gongbao/content/2007/content_632082.htm&lt;/_url&gt;&lt;_volume&gt;2020&lt;/_volume&gt;&lt;_issue&gt;2020-01-04&lt;/_issue&gt;&lt;_date_display&gt;2007年4月9日&lt;/_date_display&gt;&lt;_date&gt;56417760&lt;/_date&gt;&lt;_accessed&gt;63118643&lt;/_accessed&gt;&lt;_created&gt;63118643&lt;/_created&gt;&lt;_modified&gt;63118643&lt;/_modified&gt;&lt;_translated_author&gt;Guo, Wuyuanfazhibangongshibian&lt;/_translated_author&gt;&lt;/Details&gt;&lt;Extra&gt;&lt;DBUID&gt;{13BA3B49-12A1-4736-B8CB-B11B0D6D35A8}&lt;/DBUID&gt;&lt;/Extra&gt;&lt;/Item&gt;&lt;/References&gt;&lt;/Group&gt;&lt;/Citation&gt;_x000a_"/>
    <w:docVar w:name="NE.Ref{C0248C6B-0443-4BA7-B730-FB4FCC8CB2F7}" w:val=" ADDIN NE.Ref.{C0248C6B-0443-4BA7-B730-FB4FCC8CB2F7}&lt;Citation&gt;&lt;Group&gt;&lt;References&gt;&lt;Item&gt;&lt;ID&gt;122&lt;/ID&gt;&lt;UID&gt;{8BE051BF-6C22-46D5-B0BE-FD69A9304667}&lt;/UID&gt;&lt;Title&gt;Guidelines for tunnelling risk management: International Tunnelling Association, Working Group No. 2&lt;/Title&gt;&lt;Template&gt;Journal Article&lt;/Template&gt;&lt;Star&gt;0&lt;/Star&gt;&lt;Tag&gt;0&lt;/Tag&gt;&lt;Author&gt;Degn Eskesen, Søren; Tengborg, Per; Kampmann, Jørgen; Holst Veicherts, Trine&lt;/Author&gt;&lt;Year&gt;2004&lt;/Year&gt;&lt;Details&gt;&lt;_accessed&gt;63034018&lt;/_accessed&gt;&lt;_collection_scope&gt;SCIE;EI&lt;/_collection_scope&gt;&lt;_created&gt;63034018&lt;/_created&gt;&lt;_db_updated&gt;CrossRef&lt;/_db_updated&gt;&lt;_doi&gt;10.1016/j.tust.2004.01.001&lt;/_doi&gt;&lt;_impact_factor&gt;   3.942&lt;/_impact_factor&gt;&lt;_isbn&gt;08867798&lt;/_isbn&gt;&lt;_issue&gt;3&lt;/_issue&gt;&lt;_journal&gt;Tunnelling and Underground Space Technology&lt;/_journal&gt;&lt;_modified&gt;63034018&lt;/_modified&gt;&lt;_pages&gt;217-237&lt;/_pages&gt;&lt;_tertiary_title&gt;Tunnelling and Underground Space Technology&lt;/_tertiary_title&gt;&lt;_url&gt;https://linkinghub.elsevier.com/retrieve/pii/S0886779804000021_x000d__x000a_https://api.elsevier.com/content/article/PII:S0886779804000021?httpAccept=text/xml&lt;/_url&gt;&lt;_volume&gt;19&lt;/_volume&gt;&lt;/Details&gt;&lt;Extra&gt;&lt;DBUID&gt;{C5464CEE-9149-4B7D-84D8-26EAAD582844}&lt;/DBUID&gt;&lt;/Extra&gt;&lt;/Item&gt;&lt;/References&gt;&lt;/Group&gt;&lt;/Citation&gt;_x000a_"/>
    <w:docVar w:name="NE.Ref{C12F44B6-1CED-4F79-9D9A-F3E6773053D8}" w:val=" ADDIN NE.Ref.{C12F44B6-1CED-4F79-9D9A-F3E6773053D8}&lt;Citation&gt;&lt;Group&gt;&lt;References&gt;&lt;Item&gt;&lt;ID&gt;30&lt;/ID&gt;&lt;UID&gt;{55470246-F378-422A-B6E2-8E71C18DDFC2}&lt;/UID&gt;&lt;Title&gt;高地应力软岩隧道大变形预测及防治研究&lt;/Title&gt;&lt;Template&gt;Journal Article&lt;/Template&gt;&lt;Star&gt;0&lt;/Star&gt;&lt;Tag&gt;0&lt;/Tag&gt;&lt;Author&gt;谷建岭&lt;/Author&gt;&lt;Year&gt;2011&lt;/Year&gt;&lt;Details&gt;&lt;_accessed&gt;63061776&lt;/_accessed&gt;&lt;_author_aff&gt;中铁二十二局第二工程有限公司;&lt;/_author_aff&gt;&lt;_created&gt;63061773&lt;/_created&gt;&lt;_date&gt;58544640&lt;/_date&gt;&lt;_db_provider&gt;CNKI: 期刊&lt;/_db_provider&gt;&lt;_db_updated&gt;CNKI - Reference&lt;/_db_updated&gt;&lt;_issue&gt;04&lt;/_issue&gt;&lt;_journal&gt;科协论坛(下半月)&lt;/_journal&gt;&lt;_keywords&gt;隧道;稳定性;高地应力;大变形;预测与防治&lt;/_keywords&gt;&lt;_modified&gt;63061776&lt;/_modified&gt;&lt;_pages&gt;13-14&lt;/_pages&gt;&lt;_url&gt;http://kns.cnki.net/KCMS/detail/detail.aspx?FileName=KXLT201104008&amp;amp;DbName=CJFQ2011&lt;/_url&gt;&lt;_translated_author&gt;Gu, Jianling&lt;/_translated_author&gt;&lt;/Details&gt;&lt;Extra&gt;&lt;DBUID&gt;{13BA3B49-12A1-4736-B8CB-B11B0D6D35A8}&lt;/DBUID&gt;&lt;/Extra&gt;&lt;/Item&gt;&lt;/References&gt;&lt;/Group&gt;&lt;/Citation&gt;_x000a_"/>
    <w:docVar w:name="NE.Ref{C1BA104D-47FF-43BB-A772-3D352361C71E}" w:val=" ADDIN NE.Ref.{C1BA104D-47FF-43BB-A772-3D352361C71E}&lt;Citation&gt;&lt;Group&gt;&lt;References&gt;&lt;Item&gt;&lt;ID&gt;28&lt;/ID&gt;&lt;UID&gt;{C9C92E1D-681E-4C25-9A48-1D4354E41ED6}&lt;/UID&gt;&lt;Title&gt;隧道工程施工塌方风险评估研究&lt;/Title&gt;&lt;Template&gt;Thesis&lt;/Template&gt;&lt;Star&gt;0&lt;/Star&gt;&lt;Tag&gt;0&lt;/Tag&gt;&lt;Author&gt;岳诚东&lt;/Author&gt;&lt;Year&gt;2016&lt;/Year&gt;&lt;Details&gt;&lt;_accessed&gt;63061779&lt;/_accessed&gt;&lt;_created&gt;63061772&lt;/_created&gt;&lt;_db_provider&gt;CNKI: 硕士&lt;/_db_provider&gt;&lt;_db_updated&gt;CNKI - Reference&lt;/_db_updated&gt;&lt;_keywords&gt;隧道塌方;风险评估;事故树;塌方风险评估表&lt;/_keywords&gt;&lt;_modified&gt;63061779&lt;/_modified&gt;&lt;_pages&gt;91&lt;/_pages&gt;&lt;_publisher&gt;兰州大学&lt;/_publisher&gt;&lt;_tertiary_author&gt;梁收运&lt;/_tertiary_author&gt;&lt;_url&gt;http://kns.cnki.net/KCMS/detail/detail.aspx?FileName=1016723665.nh&amp;amp;DbName=CMFD2016&lt;/_url&gt;&lt;_volume&gt;硕士&lt;/_volume&gt;&lt;_translated_author&gt;Yue, Chengdong&lt;/_translated_author&gt;&lt;_translated_tertiary_author&gt;Liang, Shouyun&lt;/_translated_tertiary_author&gt;&lt;/Details&gt;&lt;Extra&gt;&lt;DBUID&gt;{13BA3B49-12A1-4736-B8CB-B11B0D6D35A8}&lt;/DBUID&gt;&lt;/Extra&gt;&lt;/Item&gt;&lt;/References&gt;&lt;/Group&gt;&lt;/Citation&gt;_x000a_"/>
    <w:docVar w:name="NE.Ref{C2B0A35E-7596-481A-A51A-A645CACFBEEE}" w:val=" ADDIN NE.Ref.{C2B0A35E-7596-481A-A51A-A645CACFBEEE}&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C36504C1-89C4-4C20-9865-D4E7D5FB87EA}" w:val=" ADDIN NE.Ref.{C36504C1-89C4-4C20-9865-D4E7D5FB87EA}&lt;Citation&gt;&lt;Group&gt;&lt;References&gt;&lt;Item&gt;&lt;ID&gt;61&lt;/ID&gt;&lt;UID&gt;{90855074-3DC6-484D-86C8-CA4873BDA8FF}&lt;/UID&gt;&lt;Title&gt;交通运输部办公厅关于印发《公路水路行业安全生产风险辨识评估管控基本规范（试行）》的通知&lt;/Title&gt;&lt;Template&gt;Web Page&lt;/Template&gt;&lt;Star&gt;1&lt;/Star&gt;&lt;Tag&gt;0&lt;/Tag&gt;&lt;Author&gt;交通运输部&lt;/Author&gt;&lt;Year&gt;2018&lt;/Year&gt;&lt;Details&gt;&lt;_url&gt;http://xxgk.mot.gov.cn/jigou/aqyzljlglj/201811/t20181115_3129006.html&lt;/_url&gt;&lt;_volume&gt;2019&lt;/_volume&gt;&lt;_issue&gt;2019-11-25&lt;/_issue&gt;&lt;_date_display&gt;2018年10月31日&lt;/_date_display&gt;&lt;_date&gt;62498880&lt;/_date&gt;&lt;_accessed&gt;63061829&lt;/_accessed&gt;&lt;_created&gt;63061829&lt;/_created&gt;&lt;_modified&gt;63061850&lt;/_modified&gt;&lt;_translated_author&gt;Jiao, Tongyunshubu&lt;/_translated_author&gt;&lt;/Details&gt;&lt;Extra&gt;&lt;DBUID&gt;{13BA3B49-12A1-4736-B8CB-B11B0D6D35A8}&lt;/DBUID&gt;&lt;/Extra&gt;&lt;/Item&gt;&lt;/References&gt;&lt;/Group&gt;&lt;/Citation&gt;_x000a_"/>
    <w:docVar w:name="NE.Ref{C40B45F7-A44B-4FA2-A88A-63B5A4E93E90}" w:val=" ADDIN NE.Ref.{C40B45F7-A44B-4FA2-A88A-63B5A4E93E90}&lt;Citation&gt;&lt;Group&gt;&lt;References&gt;&lt;Item&gt;&lt;ID&gt;38&lt;/ID&gt;&lt;UID&gt;{375E4B50-091F-4568-9707-DB050D64C482}&lt;/UID&gt;&lt;Title&gt;岩溶隧道突涌水危险性评价的属性识别模型及其工程应用&lt;/Title&gt;&lt;Template&gt;Journal Article&lt;/Template&gt;&lt;Star&gt;0&lt;/Star&gt;&lt;Tag&gt;0&lt;/Tag&gt;&lt;Author&gt;周宗青; 李术才; 李利平; 石少帅; 宋曙光; 王凯&lt;/Author&gt;&lt;Year&gt;2013&lt;/Year&gt;&lt;Details&gt;&lt;_accessed&gt;63061774&lt;/_accessed&gt;&lt;_author_adr&gt;山东大学; 山东大学; 山东大学; 山东大学; 山东大学; 山东大学&lt;/_author_adr&gt;&lt;_author_aff&gt;山东大学; 山东大学; 山东大学; 山东大学; 山东大学; 山东大学&lt;/_author_aff&gt;&lt;_collection_scope&gt;CSCD;PKU;EI&lt;/_collection_scope&gt;&lt;_created&gt;63061774&lt;/_created&gt;&lt;_db_provider&gt;北京万方数据股份有限公司&lt;/_db_provider&gt;&lt;_db_updated&gt;Wanfangdata&lt;/_db_updated&gt;&lt;_isbn&gt;1000-7598&lt;/_isbn&gt;&lt;_issue&gt;3&lt;/_issue&gt;&lt;_journal&gt;岩土力学&lt;/_journal&gt;&lt;_keywords&gt;岩溶隧道; 突涌水; 危险性评价; 属性识别; 工程应用&lt;/_keywords&gt;&lt;_language&gt;chi&lt;/_language&gt;&lt;_modified&gt;63061774&lt;/_modified&gt;&lt;_pages&gt;818-826&lt;/_pages&gt;&lt;_tertiary_title&gt;Rock and Soil Mechanics&lt;/_tertiary_title&gt;&lt;_translated_title&gt;Attribute recognition model of fatalness assessment of water inrush in karst tunnels and its application&lt;/_translated_title&gt;&lt;_url&gt;http://www.wanfangdata.com.cn/details/detail.do?_type=perio&amp;amp;id=ytlx201303039&lt;/_url&gt;&lt;_translated_author&gt;Zhou, Zongqing;Li, Shucai;Li, Liping;Shi, Shaoshuai;Song, Shuguang;Wang, Kai&lt;/_translated_author&gt;&lt;/Details&gt;&lt;Extra&gt;&lt;DBUID&gt;{13BA3B49-12A1-4736-B8CB-B11B0D6D35A8}&lt;/DBUID&gt;&lt;/Extra&gt;&lt;/Item&gt;&lt;/References&gt;&lt;/Group&gt;&lt;/Citation&gt;_x000a_"/>
    <w:docVar w:name="NE.Ref{C6035050-A6DA-4052-AB22-2A2388CD1BA1}" w:val=" ADDIN NE.Ref.{C6035050-A6DA-4052-AB22-2A2388CD1BA1}&lt;Citation&gt;&lt;Group&gt;&lt;References&gt;&lt;Item&gt;&lt;ID&gt;19&lt;/ID&gt;&lt;UID&gt;{96917D28-C008-46A6-B13A-F81D84296744}&lt;/UID&gt;&lt;Title&gt;山岭隧道塌方风险的集对分析方法&lt;/Title&gt;&lt;Template&gt;Journal Article&lt;/Template&gt;&lt;Star&gt;0&lt;/Star&gt;&lt;Tag&gt;0&lt;/Tag&gt;&lt;Author&gt;曹文贵; 翟友成; 王江营; 张永杰&lt;/Author&gt;&lt;Year&gt;2012&lt;/Year&gt;&lt;Details&gt;&lt;_accessed&gt;63061772&lt;/_accessed&gt;&lt;_author_adr&gt;湖南大学; 湖南大学; 湖南大学; 长沙理工大学&lt;/_author_adr&gt;&lt;_author_aff&gt;湖南大学; 湖南大学; 湖南大学; 长沙理工大学&lt;/_author_aff&gt;&lt;_collection_scope&gt;CSCD;PKU;EI&lt;/_collection_scope&gt;&lt;_created&gt;63061772&lt;/_created&gt;&lt;_db_provider&gt;北京万方数据股份有限公司&lt;/_db_provider&gt;&lt;_db_updated&gt;Wanfangdata&lt;/_db_updated&gt;&lt;_isbn&gt;1001-7372&lt;/_isbn&gt;&lt;_issue&gt;2&lt;/_issue&gt;&lt;_journal&gt;中国公路学报&lt;/_journal&gt;&lt;_keywords&gt;隧道工程; 塌方风险; 集对分析; 不确定型层次分析; 群组决策&lt;/_keywords&gt;&lt;_language&gt;chi&lt;/_language&gt;&lt;_modified&gt;63061772&lt;/_modified&gt;&lt;_pages&gt;90-99&lt;/_pages&gt;&lt;_tertiary_title&gt;China Journal of Highway and Transport&lt;/_tertiary_title&gt;&lt;_translated_title&gt;Method of Set Pair Analysis for Collapse Risk During Construction of Mountain Tunnel&lt;/_translated_title&gt;&lt;_url&gt;http://www.wanfangdata.com.cn/details/detail.do?_type=perio&amp;amp;id=zgglxb201202015&lt;/_url&gt;&lt;_volume&gt;25&lt;/_volume&gt;&lt;_translated_author&gt;Cao, Wengui;Zhai, Youcheng;Wang, Jiangying;Zhang, Yongjie&lt;/_translated_author&gt;&lt;/Details&gt;&lt;Extra&gt;&lt;DBUID&gt;{13BA3B49-12A1-4736-B8CB-B11B0D6D35A8}&lt;/DBUID&gt;&lt;/Extra&gt;&lt;/Item&gt;&lt;/References&gt;&lt;/Group&gt;&lt;/Citation&gt;_x000a_"/>
    <w:docVar w:name="NE.Ref{C6D07369-681B-423D-A724-E66E946C7262}" w:val=" ADDIN NE.Ref.{C6D07369-681B-423D-A724-E66E946C7262}&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C6EF2E9A-3FC5-40EC-AFA7-DD1F584D6443}" w:val=" ADDIN NE.Ref.{C6EF2E9A-3FC5-40EC-AFA7-DD1F584D6443}&lt;Citation&gt;&lt;Group&gt;&lt;References&gt;&lt;Item&gt;&lt;ID&gt;58&lt;/ID&gt;&lt;UID&gt;{A259D4B8-F5B3-4F12-9466-34A8983B7983}&lt;/UID&gt;&lt;Title&gt;企业职工伤亡事故分类&lt;/Title&gt;&lt;Template&gt;Standard&lt;/Template&gt;&lt;Star&gt;0&lt;/Star&gt;&lt;Tag&gt;0&lt;/Tag&gt;&lt;Author&gt;国家标准局&lt;/Author&gt;&lt;Year&gt;1986&lt;/Year&gt;&lt;Details&gt;&lt;_issue&gt;13;13.200&lt;/_issue&gt;&lt;_keywords&gt;工厂职工; 死亡; 工业事故; 受伤; 分类系统; 企业; 事故&lt;/_keywords&gt;&lt;_pages&gt;15&lt;/_pages&gt;&lt;_secondary_title&gt;GB/T 6441-1986&lt;/_secondary_title&gt;&lt;_translated_title&gt;The classification for casualty accidents of enterprise staff and workers&lt;/_translated_title&gt;&lt;_url&gt;http://www.wanfangdata.com.cn/details/detail.do?_type=standards&amp;amp;id=GB/T 6441-1986&lt;/_url&gt;&lt;_created&gt;63061812&lt;/_created&gt;&lt;_modified&gt;63061816&lt;/_modified&gt;&lt;_publisher&gt;北京：中国标准出版社&lt;/_publisher&gt;&lt;_translated_author&gt;Guo, Jiabiaozhunju&lt;/_translated_author&gt;&lt;/Details&gt;&lt;Extra&gt;&lt;DBUID&gt;{13BA3B49-12A1-4736-B8CB-B11B0D6D35A8}&lt;/DBUID&gt;&lt;/Extra&gt;&lt;/Item&gt;&lt;/References&gt;&lt;/Group&gt;&lt;/Citation&gt;_x000a_"/>
    <w:docVar w:name="NE.Ref{CA88502A-F5FB-485C-A6A2-188BF252EF57}" w:val=" ADDIN NE.Ref.{CA88502A-F5FB-485C-A6A2-188BF252EF57}&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CC177035-A23E-48FB-9526-6E3870687506}" w:val=" ADDIN NE.Ref.{CC177035-A23E-48FB-9526-6E3870687506}&lt;Citation&gt;&lt;Group&gt;&lt;References&gt;&lt;Item&gt;&lt;ID&gt;9&lt;/ID&gt;&lt;UID&gt;{68E57873-D974-4D04-84AD-CAB3790C2F3D}&lt;/UID&gt;&lt;Title&gt;浅埋隧道塌方地质灾害成因及风险控制&lt;/Title&gt;&lt;Template&gt;Journal Article&lt;/Template&gt;&lt;Star&gt;0&lt;/Star&gt;&lt;Tag&gt;0&lt;/Tag&gt;&lt;Author&gt;周宗青; 李术才; 李利平; 隋斌; 石少帅; 张乾青&lt;/Author&gt;&lt;Year&gt;2013&lt;/Year&gt;&lt;Details&gt;&lt;_accessed&gt;63061735&lt;/_accessed&gt;&lt;_author_aff&gt;山东大学岩土与结构工程研究中心;中国矿业大学深部岩土力学与地下工程国家重点实验室;&lt;/_author_aff&gt;&lt;_collection_scope&gt;CSCD;PKU;EI&lt;/_collection_scope&gt;&lt;_created&gt;63061734&lt;/_created&gt;&lt;_date&gt;59618880&lt;/_date&gt;&lt;_db_provider&gt;CNKI: 期刊&lt;/_db_provider&gt;&lt;_db_updated&gt;CNKI - Reference&lt;/_db_updated&gt;&lt;_issue&gt;05&lt;/_issue&gt;&lt;_journal&gt;岩土力学&lt;/_journal&gt;&lt;_keywords&gt;浅埋隧道;地质灾害成因;风险分析;动态评估;风险控制&lt;/_keywords&gt;&lt;_language&gt;Chinese&lt;/_language&gt;&lt;_modified&gt;63061735&lt;/_modified&gt;&lt;_pages&gt;1375-1382&lt;/_pages&gt;&lt;_url&gt;http://kns.cnki.net/KCMS/detail/detail.aspx?FileName=YTLX201305022&amp;amp;DbName=CJFQ2013&lt;/_url&gt;&lt;_volume&gt;34&lt;/_volume&gt;&lt;_translated_author&gt;Zhou, Zongqing;Li, Shucai;Li, Liping;Sui, Bin;Shi, Shaoshuai;Zhang, Qianqing&lt;/_translated_author&gt;&lt;/Details&gt;&lt;Extra&gt;&lt;DBUID&gt;{13BA3B49-12A1-4736-B8CB-B11B0D6D35A8}&lt;/DBUID&gt;&lt;/Extra&gt;&lt;/Item&gt;&lt;/References&gt;&lt;/Group&gt;&lt;/Citation&gt;_x000a_"/>
    <w:docVar w:name="NE.Ref{CCE7651B-69DC-4893-A0E3-94EE4DFF9E7C}" w:val=" ADDIN NE.Ref.{CCE7651B-69DC-4893-A0E3-94EE4DFF9E7C}&lt;Citation&gt;&lt;Group&gt;&lt;References&gt;&lt;Item&gt;&lt;ID&gt;175&lt;/ID&gt;&lt;UID&gt;{2F9A5CA2-A7E3-44C0-98CA-8B8E87009180}&lt;/UID&gt;&lt;Title&gt;铁路隧道风险评估与管理暂行规定&lt;/Title&gt;&lt;Template&gt;Book&lt;/Template&gt;&lt;Star&gt;0&lt;/Star&gt;&lt;Tag&gt;0&lt;/Tag&gt;&lt;Author&gt;中国中铁二院工程集团有限公司主编&lt;/Author&gt;&lt;Year&gt;2008&lt;/Year&gt;&lt;Details&gt;&lt;_accessed&gt;63038403&lt;/_accessed&gt;&lt;_created&gt;63035370&lt;/_created&gt;&lt;_modified&gt;63038403&lt;/_modified&gt;&lt;_publisher&gt;北京：中国铁道出版社&lt;/_publisher&gt;&lt;_translated_author&gt;Zhong, Guozhongtie&amp;apos;eryuangongchengjituanyouxiangongsizhubian&lt;/_translated_author&gt;&lt;/Details&gt;&lt;Extra&gt;&lt;DBUID&gt;{C5464CEE-9149-4B7D-84D8-26EAAD582844}&lt;/DBUID&gt;&lt;/Extra&gt;&lt;/Item&gt;&lt;/References&gt;&lt;/Group&gt;&lt;/Citation&gt;_x000a_"/>
    <w:docVar w:name="NE.Ref{CCE9231F-914B-4301-B3D5-59A9DACC67F7}" w:val=" ADDIN NE.Ref.{CCE9231F-914B-4301-B3D5-59A9DACC67F7}&lt;Citation&gt;&lt;Group&gt;&lt;References&gt;&lt;Item&gt;&lt;ID&gt;65&lt;/ID&gt;&lt;UID&gt;{2561025C-65CC-473F-9300-309D10D492EC}&lt;/UID&gt;&lt;Title&gt;水利水电工程地质勘察规范&lt;/Title&gt;&lt;Template&gt;Standard&lt;/Template&gt;&lt;Star&gt;1&lt;/Star&gt;&lt;Tag&gt;0&lt;/Tag&gt;&lt;Author&gt;中华人民共和国住房和城乡建设部; 中华人民共和国国家质量监督检验检疫总局&lt;/Author&gt;&lt;Year&gt;2008&lt;/Year&gt;&lt;Details&gt;&lt;_keywords&gt;建筑; 施工作业; 勘探; 地质学; 水力学&lt;/_keywords&gt;&lt;_pages&gt;272&lt;/_pages&gt;&lt;_secondary_title&gt;GB 50487-2008&lt;/_secondary_title&gt;&lt;_translated_title&gt;Code for engineering geological investigation of water resources and hydropower&lt;/_translated_title&gt;&lt;_url&gt;http://www.wanfangdata.com.cn/details/detail.do?_type=standards&amp;amp;id=GB 50487-2008&lt;/_url&gt;&lt;_created&gt;63061843&lt;/_created&gt;&lt;_modified&gt;63061845&lt;/_modified&gt;&lt;_publisher&gt;北京：中国计划出版社&lt;/_publisher&gt;&lt;_translated_author&gt;Zhong, Huarenmingongheguozhufanghechengxiangjianshebu;Zhong, Huarenmingongheguoguojiazhiliangjiandujianyanjianyizongju&lt;/_translated_author&gt;&lt;/Details&gt;&lt;Extra&gt;&lt;DBUID&gt;{13BA3B49-12A1-4736-B8CB-B11B0D6D35A8}&lt;/DBUID&gt;&lt;/Extra&gt;&lt;/Item&gt;&lt;/References&gt;&lt;/Group&gt;&lt;/Citation&gt;_x000a_"/>
    <w:docVar w:name="NE.Ref{CE08CCC7-9FB8-4BAD-842F-A69B3A8F6047}" w:val=" ADDIN NE.Ref.{CE08CCC7-9FB8-4BAD-842F-A69B3A8F6047}&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CEDE328C-49D9-4309-9C2B-DFE21C67A9FC}" w:val=" ADDIN NE.Ref.{CEDE328C-49D9-4309-9C2B-DFE21C67A9FC}&lt;Citation&gt;&lt;Group&gt;&lt;References&gt;&lt;Item&gt;&lt;ID&gt;58&lt;/ID&gt;&lt;UID&gt;{A259D4B8-F5B3-4F12-9466-34A8983B7983}&lt;/UID&gt;&lt;Title&gt;企业职工伤亡事故分类&lt;/Title&gt;&lt;Template&gt;Standard&lt;/Template&gt;&lt;Star&gt;0&lt;/Star&gt;&lt;Tag&gt;0&lt;/Tag&gt;&lt;Author&gt;国家标准局&lt;/Author&gt;&lt;Year&gt;1986&lt;/Year&gt;&lt;Details&gt;&lt;_issue&gt;13;13.200&lt;/_issue&gt;&lt;_keywords&gt;工厂职工; 死亡; 工业事故; 受伤; 分类系统; 企业; 事故&lt;/_keywords&gt;&lt;_pages&gt;15&lt;/_pages&gt;&lt;_secondary_title&gt;GB/T 6441-1986&lt;/_secondary_title&gt;&lt;_translated_title&gt;The classification for casualty accidents of enterprise staff and workers&lt;/_translated_title&gt;&lt;_url&gt;http://www.wanfangdata.com.cn/details/detail.do?_type=standards&amp;amp;id=GB/T 6441-1986&lt;/_url&gt;&lt;_created&gt;63061812&lt;/_created&gt;&lt;_modified&gt;63061816&lt;/_modified&gt;&lt;_publisher&gt;北京：中国标准出版社&lt;/_publisher&gt;&lt;_translated_author&gt;Guo, Jiabiaozhunju&lt;/_translated_author&gt;&lt;/Details&gt;&lt;Extra&gt;&lt;DBUID&gt;{13BA3B49-12A1-4736-B8CB-B11B0D6D35A8}&lt;/DBUID&gt;&lt;/Extra&gt;&lt;/Item&gt;&lt;/References&gt;&lt;/Group&gt;&lt;/Citation&gt;_x000a_"/>
    <w:docVar w:name="NE.Ref{CEFB1BF0-B5AC-4C62-B59E-C6E0D4E7E348}" w:val=" ADDIN NE.Ref.{CEFB1BF0-B5AC-4C62-B59E-C6E0D4E7E348}&lt;Citation&gt;&lt;Group&gt;&lt;References&gt;&lt;Item&gt;&lt;ID&gt;53&lt;/ID&gt;&lt;UID&gt;{33C5B9A0-DB5C-4519-A79C-C07ACA7084FC}&lt;/UID&gt;&lt;Title&gt;公路隧道设计规范&lt;/Title&gt;&lt;Template&gt;Standard&lt;/Template&gt;&lt;Star&gt;0&lt;/Star&gt;&lt;Tag&gt;0&lt;/Tag&gt;&lt;Author&gt;重庆交通科研设计院主编&lt;/Author&gt;&lt;Year&gt;2004&lt;/Year&gt;&lt;Details&gt;&lt;_created&gt;63061797&lt;/_created&gt;&lt;_modified&gt;63061867&lt;/_modified&gt;&lt;_publisher&gt;北京：人民交通出版社&lt;/_publisher&gt;&lt;_secondary_title&gt;JTG D70—2004&lt;/_secondary_title&gt;&lt;_translated_author&gt;Zhong, Qingjiaotongkeyanshejiyuanzhubian&lt;/_translated_author&gt;&lt;/Details&gt;&lt;Extra&gt;&lt;DBUID&gt;{13BA3B49-12A1-4736-B8CB-B11B0D6D35A8}&lt;/DBUID&gt;&lt;/Extra&gt;&lt;/Item&gt;&lt;/References&gt;&lt;/Group&gt;&lt;/Citation&gt;_x000a_"/>
    <w:docVar w:name="NE.Ref{CFD492E0-96BF-4FB9-AA20-11B099B902BB}" w:val=" ADDIN NE.Ref.{CFD492E0-96BF-4FB9-AA20-11B099B902BB}&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D0F896FE-3AD8-40CE-A48A-EB9324B0AD1C}" w:val=" ADDIN NE.Ref.{D0F896FE-3AD8-40CE-A48A-EB9324B0AD1C}&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D15DDD06-A8C6-413E-934A-332C8A7140F7}" w:val=" ADDIN NE.Ref.{D15DDD06-A8C6-413E-934A-332C8A7140F7}&lt;Citation&gt;&lt;Group&gt;&lt;References&gt;&lt;Item&gt;&lt;ID&gt;84&lt;/ID&gt;&lt;UID&gt;{7CDCC848-B002-4D9C-BE52-60D93EA50790}&lt;/UID&gt;&lt;Title&gt;水电工程岩爆风险评估技术规范&lt;/Title&gt;&lt;Template&gt;Standard&lt;/Template&gt;&lt;Star&gt;0&lt;/Star&gt;&lt;Tag&gt;0&lt;/Tag&gt;&lt;Author&gt;国家能源局&lt;/Author&gt;&lt;Year&gt;2019&lt;/Year&gt;&lt;Details&gt;&lt;_secondary_title&gt;NB/T 10143-2019&lt;/_secondary_title&gt;&lt;_publisher&gt;北京：中国水利水电出版社&lt;/_publisher&gt;&lt;_place_published&gt;北京&lt;/_place_published&gt;&lt;_date_display&gt;2019年6月4日&lt;/_date_display&gt;&lt;_accessed&gt;63121540&lt;/_accessed&gt;&lt;_created&gt;63121540&lt;/_created&gt;&lt;_modified&gt;63121540&lt;/_modified&gt;&lt;_translated_author&gt;Guo, Jianengyuanju&lt;/_translated_author&gt;&lt;/Details&gt;&lt;Extra&gt;&lt;DBUID&gt;{13BA3B49-12A1-4736-B8CB-B11B0D6D35A8}&lt;/DBUID&gt;&lt;/Extra&gt;&lt;/Item&gt;&lt;/References&gt;&lt;/Group&gt;&lt;/Citation&gt;_x000a_"/>
    <w:docVar w:name="NE.Ref{D19DD13C-9620-46F7-9BFD-533C4E1843EE}" w:val=" ADDIN NE.Ref.{D19DD13C-9620-46F7-9BFD-533C4E1843EE}&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D19E38FD-4E82-471E-9E66-9E6A67587DC6}" w:val=" ADDIN NE.Ref.{D19E38FD-4E82-471E-9E66-9E6A67587DC6}&lt;Citation&gt;&lt;Group&gt;&lt;References&gt;&lt;Item&gt;&lt;ID&gt;58&lt;/ID&gt;&lt;UID&gt;{A259D4B8-F5B3-4F12-9466-34A8983B7983}&lt;/UID&gt;&lt;Title&gt;企业职工伤亡事故分类&lt;/Title&gt;&lt;Template&gt;Standard&lt;/Template&gt;&lt;Star&gt;0&lt;/Star&gt;&lt;Tag&gt;0&lt;/Tag&gt;&lt;Author&gt;国家标准局&lt;/Author&gt;&lt;Year&gt;1986&lt;/Year&gt;&lt;Details&gt;&lt;_issue&gt;13;13.200&lt;/_issue&gt;&lt;_keywords&gt;工厂职工; 死亡; 工业事故; 受伤; 分类系统; 企业; 事故&lt;/_keywords&gt;&lt;_pages&gt;15&lt;/_pages&gt;&lt;_secondary_title&gt;GB/T 6441-1986&lt;/_secondary_title&gt;&lt;_translated_title&gt;The classification for casualty accidents of enterprise staff and workers&lt;/_translated_title&gt;&lt;_url&gt;http://www.wanfangdata.com.cn/details/detail.do?_type=standards&amp;amp;id=GB/T 6441-1986&lt;/_url&gt;&lt;_created&gt;63061812&lt;/_created&gt;&lt;_modified&gt;63061816&lt;/_modified&gt;&lt;_publisher&gt;北京：中国标准出版社&lt;/_publisher&gt;&lt;_translated_author&gt;Guo, Jiabiaozhunju&lt;/_translated_author&gt;&lt;/Details&gt;&lt;Extra&gt;&lt;DBUID&gt;{13BA3B49-12A1-4736-B8CB-B11B0D6D35A8}&lt;/DBUID&gt;&lt;/Extra&gt;&lt;/Item&gt;&lt;/References&gt;&lt;/Group&gt;&lt;/Citation&gt;_x000a_"/>
    <w:docVar w:name="NE.Ref{D9783ADF-4747-4994-8F00-8F356B3A3488}" w:val=" ADDIN NE.Ref.{D9783ADF-4747-4994-8F00-8F356B3A3488}&lt;Citation&gt;&lt;Group&gt;&lt;References&gt;&lt;Item&gt;&lt;ID&gt;55&lt;/ID&gt;&lt;UID&gt;{D1E90C3F-C8D5-4960-97AF-328BCA73AD8A}&lt;/UID&gt;&lt;Title&gt;公路工程施工安全技术规范&lt;/Title&gt;&lt;Template&gt;Standard&lt;/Template&gt;&lt;Star&gt;1&lt;/Star&gt;&lt;Tag&gt;0&lt;/Tag&gt;&lt;Author&gt;中交第四公路工程局有限公司主编单位中国交通建设股份有限公司&lt;/Author&gt;&lt;Year&gt;2015&lt;/Year&gt;&lt;Details&gt;&lt;_created&gt;63061799&lt;/_created&gt;&lt;_modified&gt;63061867&lt;/_modified&gt;&lt;_publisher&gt;北京：人民交通出版社&lt;/_publisher&gt;&lt;_secondary_title&gt;JTG F90-2015&lt;/_secondary_title&gt;&lt;_translated_author&gt;Zhong, Jiaodisigonglugongchengjuyouxiangongsizhubiandanweizhongguojiaotongjianshegufenyouxiangongsi&lt;/_translated_author&gt;&lt;/Details&gt;&lt;Extra&gt;&lt;DBUID&gt;{13BA3B49-12A1-4736-B8CB-B11B0D6D35A8}&lt;/DBUID&gt;&lt;/Extra&gt;&lt;/Item&gt;&lt;/References&gt;&lt;/Group&gt;&lt;/Citation&gt;_x000a_"/>
    <w:docVar w:name="NE.Ref{DAAE30BC-369B-4BED-9AC0-2A320A333C0D}" w:val=" ADDIN NE.Ref.{DAAE30BC-369B-4BED-9AC0-2A320A333C0D}&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DBE133A1-0073-4835-8584-C262264153CB}" w:val=" ADDIN NE.Ref.{DBE133A1-0073-4835-8584-C262264153CB}&lt;Citation&gt;&lt;Group&gt;&lt;References&gt;&lt;Item&gt;&lt;ID&gt;63&lt;/ID&gt;&lt;UID&gt;{F625F44B-F252-4A07-8E3B-C6FE110C73D0}&lt;/UID&gt;&lt;Title&gt;城市轨道交通地下工程建设风险管理规范&lt;/Title&gt;&lt;Template&gt;Standard&lt;/Template&gt;&lt;Star&gt;1&lt;/Star&gt;&lt;Tag&gt;0&lt;/Tag&gt;&lt;Author&gt;中华人民共和国住房和城乡建设部&lt;/Author&gt;&lt;Year&gt;2011&lt;/Year&gt;&lt;Details&gt;&lt;_keywords&gt;城区; 铁路轨道; 道路运输; 建设工程; 风险管理&lt;/_keywords&gt;&lt;_pages&gt;101&lt;/_pages&gt;&lt;_secondary_title&gt;GB 50652-2011&lt;/_secondary_title&gt;&lt;_translated_title&gt;Code for risk management of underground works in urban rail transit&lt;/_translated_title&gt;&lt;_url&gt;http://www.wanfangdata.com.cn/details/detail.do?_type=standards&amp;amp;id=GB 50652-2011&lt;/_url&gt;&lt;_created&gt;63061839&lt;/_created&gt;&lt;_modified&gt;63061841&lt;/_modified&gt;&lt;_publisher&gt;中国建筑工业出版社&lt;/_publisher&gt;&lt;_translated_author&gt;Zhong, Huarenmingongheguozhufanghechengxiangjianshebu&lt;/_translated_author&gt;&lt;/Details&gt;&lt;Extra&gt;&lt;DBUID&gt;{13BA3B49-12A1-4736-B8CB-B11B0D6D35A8}&lt;/DBUID&gt;&lt;/Extra&gt;&lt;/Item&gt;&lt;/References&gt;&lt;/Group&gt;&lt;/Citation&gt;_x000a_"/>
    <w:docVar w:name="NE.Ref{DC793192-B4D7-44C5-8A9E-B15912585702}" w:val=" ADDIN NE.Ref.{DC793192-B4D7-44C5-8A9E-B15912585702}&lt;Citation&gt;&lt;Group&gt;&lt;References&gt;&lt;Item&gt;&lt;ID&gt;16&lt;/ID&gt;&lt;UID&gt;{EA1CF683-8586-444E-9C02-EA67E18A0D38}&lt;/UID&gt;&lt;Title&gt;基于模糊评判法的隧道洞口段施工安全风险评价分析&lt;/Title&gt;&lt;Template&gt;Journal Article&lt;/Template&gt;&lt;Star&gt;0&lt;/Star&gt;&lt;Tag&gt;0&lt;/Tag&gt;&lt;Author&gt;潘勇刚; 刘胜; 雷赛男&lt;/Author&gt;&lt;Year&gt;2016&lt;/Year&gt;&lt;Details&gt;&lt;_accessed&gt;63061772&lt;/_accessed&gt;&lt;_author_adr&gt;长沙轨道交通集团有限公司; 湖南省交通科学研究院; 长沙轨道交通集团有限公司&lt;/_author_adr&gt;&lt;_author_aff&gt;长沙轨道交通集团有限公司; 湖南省交通科学研究院; 长沙轨道交通集团有限公司&lt;/_author_aff&gt;&lt;_created&gt;63061772&lt;/_created&gt;&lt;_db_provider&gt;北京万方数据股份有限公司&lt;/_db_provider&gt;&lt;_db_updated&gt;Wanfangdata&lt;/_db_updated&gt;&lt;_isbn&gt;1006-7973&lt;/_isbn&gt;&lt;_issue&gt;9&lt;/_issue&gt;&lt;_journal&gt;中国水运（下半月）&lt;/_journal&gt;&lt;_keywords&gt;隧道工程; 边坡稳定性; 隧道施工; 风险评价&lt;/_keywords&gt;&lt;_language&gt;chi&lt;/_language&gt;&lt;_modified&gt;63061772&lt;/_modified&gt;&lt;_pages&gt;198-200&lt;/_pages&gt;&lt;_tertiary_title&gt;China Water Transport&lt;/_tertiary_title&gt;&lt;_url&gt;http://www.wanfangdata.com.cn/details/detail.do?_type=perio&amp;amp;id=zgsy-xby201609074&lt;/_url&gt;&lt;_volume&gt;16&lt;/_volume&gt;&lt;_translated_author&gt;Pan, Yonggang;Liu, Sheng;Lei, Sainan&lt;/_translated_author&gt;&lt;/Details&gt;&lt;Extra&gt;&lt;DBUID&gt;{13BA3B49-12A1-4736-B8CB-B11B0D6D35A8}&lt;/DBUID&gt;&lt;/Extra&gt;&lt;/Item&gt;&lt;/References&gt;&lt;/Group&gt;&lt;Group&gt;&lt;References&gt;&lt;Item&gt;&lt;ID&gt;17&lt;/ID&gt;&lt;UID&gt;{542A8E88-B3C8-4EA7-9635-FDDF8DBF51FE}&lt;/UID&gt;&lt;Title&gt;山岭隧道洞口稳定性分析及失稳风险评估&lt;/Title&gt;&lt;Template&gt;Journal Article&lt;/Template&gt;&lt;Star&gt;0&lt;/Star&gt;&lt;Tag&gt;0&lt;/Tag&gt;&lt;Author&gt;陈蔚&lt;/Author&gt;&lt;Year&gt;2012&lt;/Year&gt;&lt;Details&gt;&lt;_accessed&gt;63061772&lt;/_accessed&gt;&lt;_author_aff&gt;上海同岩土木工程科技有限公司;&lt;/_author_aff&gt;&lt;_created&gt;63061772&lt;/_created&gt;&lt;_date&gt;59119200&lt;/_date&gt;&lt;_db_provider&gt;CNKI: 期刊&lt;/_db_provider&gt;&lt;_db_updated&gt;CNKI - Reference&lt;/_db_updated&gt;&lt;_issue&gt;05&lt;/_issue&gt;&lt;_journal&gt;低温建筑技术&lt;/_journal&gt;&lt;_keywords&gt;隧道工程;洞口失稳;风险分析;防治措施&lt;/_keywords&gt;&lt;_language&gt;Chinese&lt;/_language&gt;&lt;_modified&gt;63061772&lt;/_modified&gt;&lt;_pages&gt;108-110&lt;/_pages&gt;&lt;_url&gt;http://kns.cnki.net/KCMS/detail/detail.aspx?FileName=DRAW201205048&amp;amp;DbName=CJFQ2012&lt;/_url&gt;&lt;_volume&gt;34&lt;/_volume&gt;&lt;_translated_author&gt;Chen, Yu&lt;/_translated_author&gt;&lt;/Details&gt;&lt;Extra&gt;&lt;DBUID&gt;{13BA3B49-12A1-4736-B8CB-B11B0D6D35A8}&lt;/DBUID&gt;&lt;/Extra&gt;&lt;/Item&gt;&lt;/References&gt;&lt;/Group&gt;&lt;/Citation&gt;_x000a_"/>
    <w:docVar w:name="NE.Ref{DD1C9332-A866-4207-B042-DCA4C6E28D96}" w:val=" ADDIN NE.Ref.{DD1C9332-A866-4207-B042-DCA4C6E28D96}&lt;Citation&gt;&lt;Group&gt;&lt;References&gt;&lt;Item&gt;&lt;ID&gt;47&lt;/ID&gt;&lt;UID&gt;{3D276DDB-C1CE-41E5-A53E-1DB155F79C62}&lt;/UID&gt;&lt;Title&gt;隧道施工岩爆安全评价量化指标体系研究&lt;/Title&gt;&lt;Template&gt;Journal Article&lt;/Template&gt;&lt;Star&gt;0&lt;/Star&gt;&lt;Tag&gt;0&lt;/Tag&gt;&lt;Author&gt;刘学增; 苏云帆&lt;/Author&gt;&lt;Year&gt;2010&lt;/Year&gt;&lt;Details&gt;&lt;_accessed&gt;63061775&lt;/_accessed&gt;&lt;_author_aff&gt;同济大学地下建筑与工程系;同济大学建筑设计研究院;&lt;/_author_aff&gt;&lt;_collection_scope&gt;CSCD;PKU&lt;/_collection_scope&gt;&lt;_created&gt;63061775&lt;/_created&gt;&lt;_date&gt;58312800&lt;/_date&gt;&lt;_db_provider&gt;CNKI: 期刊&lt;/_db_provider&gt;&lt;_db_updated&gt;CNKI - Reference&lt;/_db_updated&gt;&lt;_issue&gt;11&lt;/_issue&gt;&lt;_journal&gt;公路交通科技&lt;/_journal&gt;&lt;_keywords&gt;隧道工程;风险量化指标体系;乘积标度法;安全评价;岩爆&lt;/_keywords&gt;&lt;_language&gt;Chinese&lt;/_language&gt;&lt;_modified&gt;63061775&lt;/_modified&gt;&lt;_pages&gt;88-93&lt;/_pages&gt;&lt;_url&gt;http://kns.cnki.net/KCMS/detail/detail.aspx?FileName=GLJK201011017&amp;amp;DbName=CJFQ2010&lt;/_url&gt;&lt;_volume&gt;27&lt;/_volume&gt;&lt;_translated_author&gt;Liu, Xuezeng;Su, Yunfan&lt;/_translated_author&gt;&lt;/Details&gt;&lt;Extra&gt;&lt;DBUID&gt;{13BA3B49-12A1-4736-B8CB-B11B0D6D35A8}&lt;/DBUID&gt;&lt;/Extra&gt;&lt;/Item&gt;&lt;/References&gt;&lt;/Group&gt;&lt;/Citation&gt;_x000a_"/>
    <w:docVar w:name="NE.Ref{DE60B7F6-98CF-4A33-B08D-6A3DD828C5FB}" w:val=" ADDIN NE.Ref.{DE60B7F6-98CF-4A33-B08D-6A3DD828C5FB}&lt;Citation&gt;&lt;Group&gt;&lt;References&gt;&lt;Item&gt;&lt;ID&gt;41&lt;/ID&gt;&lt;UID&gt;{72127A32-FF6B-4608-899A-4B34CF668233}&lt;/UID&gt;&lt;Title&gt;隧道工程瓦斯灾害危险性评价体系研究&lt;/Title&gt;&lt;Template&gt;Thesis&lt;/Template&gt;&lt;Star&gt;0&lt;/Star&gt;&lt;Tag&gt;0&lt;/Tag&gt;&lt;Author&gt;康小兵&lt;/Author&gt;&lt;Year&gt;2009&lt;/Year&gt;&lt;Details&gt;&lt;_accessed&gt;63061777&lt;/_accessed&gt;&lt;_created&gt;63061774&lt;/_created&gt;&lt;_db_provider&gt;CNKI: 博士&lt;/_db_provider&gt;&lt;_db_updated&gt;CNKI - Reference&lt;/_db_updated&gt;&lt;_keywords&gt;隧道工程;瓦斯灾害;评价指标体系;综合集成赋权法;瓦斯隧道分级评价;瓦斯隧道施工危险性评价;瓦斯隧道掌子面突出评价&lt;/_keywords&gt;&lt;_modified&gt;63061777&lt;/_modified&gt;&lt;_pages&gt;200&lt;/_pages&gt;&lt;_publisher&gt;成都理工大学&lt;/_publisher&gt;&lt;_tertiary_author&gt;许模&lt;/_tertiary_author&gt;&lt;_url&gt;http://kns.cnki.net/KCMS/detail/detail.aspx?FileName=2009221308.nh&amp;amp;DbName=CDFD2009&lt;/_url&gt;&lt;_volume&gt;博士&lt;/_volume&gt;&lt;_translated_author&gt;Kang, Xiaobing&lt;/_translated_author&gt;&lt;_translated_tertiary_author&gt;Xu, Mo&lt;/_translated_tertiary_author&gt;&lt;/Details&gt;&lt;Extra&gt;&lt;DBUID&gt;{13BA3B49-12A1-4736-B8CB-B11B0D6D35A8}&lt;/DBUID&gt;&lt;/Extra&gt;&lt;/Item&gt;&lt;/References&gt;&lt;/Group&gt;&lt;/Citation&gt;_x000a_"/>
    <w:docVar w:name="NE.Ref{DE8CA74A-5196-4A15-B0D4-FE6FC76AC9F1}" w:val=" ADDIN NE.Ref.{DE8CA74A-5196-4A15-B0D4-FE6FC76AC9F1}&lt;Citation&gt;&lt;Group&gt;&lt;References&gt;&lt;Item&gt;&lt;ID&gt;44&lt;/ID&gt;&lt;UID&gt;{A5069893-A71B-4B82-A7F2-372616694859}&lt;/UID&gt;&lt;Title&gt;铁路隧道揭煤防突设计与施工&lt;/Title&gt;&lt;Template&gt;Journal Article&lt;/Template&gt;&lt;Star&gt;0&lt;/Star&gt;&lt;Tag&gt;0&lt;/Tag&gt;&lt;Author&gt;刘雄伟; 刘科&lt;/Author&gt;&lt;Year&gt;2018&lt;/Year&gt;&lt;Details&gt;&lt;_accessed&gt;63061775&lt;/_accessed&gt;&lt;_author_adr&gt;中铁二院工程集团有限责任公司; 中铁二院工程集团有限责任公司&lt;/_author_adr&gt;&lt;_author_aff&gt;中铁二院工程集团有限责任公司; 中铁二院工程集团有限责任公司&lt;/_author_aff&gt;&lt;_created&gt;63061774&lt;/_created&gt;&lt;_db_provider&gt;北京万方数据股份有限公司&lt;/_db_provider&gt;&lt;_db_updated&gt;Wanfangdata&lt;/_db_updated&gt;&lt;_doi&gt;10.3969/j.issn.1673-6478.2018.01.025&lt;/_doi&gt;&lt;_isbn&gt;1673-6478&lt;/_isbn&gt;&lt;_issue&gt;1&lt;/_issue&gt;&lt;_journal&gt;交通节能与环保&lt;/_journal&gt;&lt;_keywords&gt;隧道工程; 揭煤防突; 瓦斯抽放&lt;/_keywords&gt;&lt;_language&gt;chi&lt;/_language&gt;&lt;_modified&gt;63061775&lt;/_modified&gt;&lt;_pages&gt;89-92&lt;/_pages&gt;&lt;_tertiary_title&gt;Energy Conservation &amp;amp; Environmental Protection in Transportation&lt;/_tertiary_title&gt;&lt;_translated_author&gt;Xiongwei, LIU; Ke, LIU&lt;/_translated_author&gt;&lt;_translated_title&gt;Design and construction of Pingzishang Tunnel Uncovering Coal Outburst Prevention&lt;/_translated_title&gt;&lt;_url&gt;http://www.wanfangdata.com.cn/details/detail.do?_type=perio&amp;amp;id=cbjn201801025&lt;/_url&gt;&lt;_volume&gt;14&lt;/_volume&gt;&lt;/Details&gt;&lt;Extra&gt;&lt;DBUID&gt;{13BA3B49-12A1-4736-B8CB-B11B0D6D35A8}&lt;/DBUID&gt;&lt;/Extra&gt;&lt;/Item&gt;&lt;/References&gt;&lt;/Group&gt;&lt;/Citation&gt;_x000a_"/>
    <w:docVar w:name="NE.Ref{DEC18E4A-BCAD-4452-848B-EAC68C719DF1}" w:val=" ADDIN NE.Ref.{DEC18E4A-BCAD-4452-848B-EAC68C719DF1}&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DF4172EA-7AD9-4DF4-BE95-4C2C298F4E5E}" w:val=" ADDIN NE.Ref.{DF4172EA-7AD9-4DF4-BE95-4C2C298F4E5E}&lt;Citation&gt;&lt;Group&gt;&lt;References&gt;&lt;Item&gt;&lt;ID&gt;66&lt;/ID&gt;&lt;UID&gt;{94D06DA0-5BEB-4DB2-8E70-B23FE7B9FF0E}&lt;/UID&gt;&lt;Title&gt;公路隧道施工技术规范&lt;/Title&gt;&lt;Template&gt;Standard&lt;/Template&gt;&lt;Star&gt;1&lt;/Star&gt;&lt;Tag&gt;0&lt;/Tag&gt;&lt;Author&gt;中交第一公路工程局有限公司主编&lt;/Author&gt;&lt;Year&gt;2009&lt;/Year&gt;&lt;Details&gt;&lt;_publisher&gt;北京：人民交通出版社&lt;/_publisher&gt;&lt;_created&gt;63061846&lt;/_created&gt;&lt;_modified&gt;63061869&lt;/_modified&gt;&lt;_secondary_title&gt;JTG F60-2009&lt;/_secondary_title&gt;&lt;_translated_author&gt;Zhong, Jiaodiyigonglugongchengjuyouxiangongsizhubian&lt;/_translated_author&gt;&lt;/Details&gt;&lt;Extra&gt;&lt;DBUID&gt;{13BA3B49-12A1-4736-B8CB-B11B0D6D35A8}&lt;/DBUID&gt;&lt;/Extra&gt;&lt;/Item&gt;&lt;/References&gt;&lt;/Group&gt;&lt;/Citation&gt;_x000a_"/>
    <w:docVar w:name="NE.Ref{E12DC526-28F6-4464-B914-E640AD9C766D}" w:val=" ADDIN NE.Ref.{E12DC526-28F6-4464-B914-E640AD9C766D}&lt;Citation&gt;&lt;Group&gt;&lt;References&gt;&lt;Item&gt;&lt;ID&gt;178&lt;/ID&gt;&lt;UID&gt;{57DD38F7-26EA-4AD9-A54C-5D8895429EDD}&lt;/UID&gt;&lt;Title&gt;交通运输部关于发布港口工程施工安全风险评估指南(沿海码头、护岸及防波堤分册)的通知&lt;/Title&gt;&lt;Template&gt;Web Page&lt;/Template&gt;&lt;Star&gt;0&lt;/Star&gt;&lt;Tag&gt;0&lt;/Tag&gt;&lt;Author&gt;交通运输部&lt;/Author&gt;&lt;Year&gt;2017&lt;/Year&gt;&lt;Details&gt;&lt;_accessed&gt;63035399&lt;/_accessed&gt;&lt;_created&gt;63035399&lt;/_created&gt;&lt;_date&gt;61907040&lt;/_date&gt;&lt;_date_display&gt;2017年9月15日&lt;/_date_display&gt;&lt;_issue&gt;2019-04-23&lt;/_issue&gt;&lt;_modified&gt;63035410&lt;/_modified&gt;&lt;_url&gt;http://zizhan.mot.gov.cn/zfxxgk/bnssj/aqjds/201710/t20171031_2930263.html.&lt;/_url&gt;&lt;_volume&gt;2019&lt;/_volume&gt;&lt;_translated_author&gt;Jiao, Tongyunshubu&lt;/_translated_author&gt;&lt;/Details&gt;&lt;Extra&gt;&lt;DBUID&gt;{C5464CEE-9149-4B7D-84D8-26EAAD582844}&lt;/DBUID&gt;&lt;/Extra&gt;&lt;/Item&gt;&lt;/References&gt;&lt;/Group&gt;&lt;/Citation&gt;_x000a_"/>
    <w:docVar w:name="NE.Ref{E13B4E1B-CD14-4977-82B6-44FFFA25551A}" w:val=" ADDIN NE.Ref.{E13B4E1B-CD14-4977-82B6-44FFFA25551A}&lt;Citation&gt;&lt;Group&gt;&lt;References&gt;&lt;Item&gt;&lt;ID&gt;70&lt;/ID&gt;&lt;UID&gt;{089947B8-F3A4-4D11-A761-2FCE598B2F39}&lt;/UID&gt;&lt;Title&gt;工伤保险条例&lt;/Title&gt;&lt;Template&gt;Book&lt;/Template&gt;&lt;Star&gt;1&lt;/Star&gt;&lt;Tag&gt;0&lt;/Tag&gt;&lt;Author&gt;工伤保险条例编写组&lt;/Author&gt;&lt;Year&gt;2003&lt;/Year&gt;&lt;Details&gt;&lt;_publisher&gt;北京：中国方正出版社&lt;/_publisher&gt;&lt;_created&gt;63062433&lt;/_created&gt;&lt;_modified&gt;63062434&lt;/_modified&gt;&lt;_translated_author&gt;Gong, Shangbaoxiantiaolibianxiezu&lt;/_translated_author&gt;&lt;/Details&gt;&lt;Extra&gt;&lt;DBUID&gt;{13BA3B49-12A1-4736-B8CB-B11B0D6D35A8}&lt;/DBUID&gt;&lt;/Extra&gt;&lt;/Item&gt;&lt;/References&gt;&lt;/Group&gt;&lt;/Citation&gt;_x000a_"/>
    <w:docVar w:name="NE.Ref{E14BD07C-23AB-4A85-AF11-91824C226FAD}" w:val=" ADDIN NE.Ref.{E14BD07C-23AB-4A85-AF11-91824C226FAD}&lt;Citation&gt;&lt;Group&gt;&lt;References&gt;&lt;Item&gt;&lt;ID&gt;80&lt;/ID&gt;&lt;UID&gt;{A22F32C3-10A3-4397-9BFC-03F0F4318D93}&lt;/UID&gt;&lt;Title&gt;隧道工程地下水水害防治与评价体系研究&lt;/Title&gt;&lt;Template&gt;Thesis&lt;/Template&gt;&lt;Star&gt;0&lt;/Star&gt;&lt;Tag&gt;0&lt;/Tag&gt;&lt;Author&gt;潘海泽&lt;/Author&gt;&lt;Year&gt;2009&lt;/Year&gt;&lt;Details&gt;&lt;_db_provider&gt;CNKI&lt;/_db_provider&gt;&lt;_keywords&gt;隧道水害;工程措施量化;模糊综合评价法;距离判别分析法;BP神经网络&lt;/_keywords&gt;&lt;_publisher&gt;西南交通大学&lt;/_publisher&gt;&lt;_tertiary_author&gt;黄涛&lt;/_tertiary_author&gt;&lt;_type_work&gt;博士&lt;/_type_work&gt;&lt;_created&gt;63114909&lt;/_created&gt;&lt;_modified&gt;63114909&lt;/_modified&gt;&lt;_translated_author&gt;Pan, Haize&lt;/_translated_author&gt;&lt;_translated_tertiary_author&gt;Huang, Tao&lt;/_translated_tertiary_author&gt;&lt;/Details&gt;&lt;Extra&gt;&lt;DBUID&gt;{13BA3B49-12A1-4736-B8CB-B11B0D6D35A8}&lt;/DBUID&gt;&lt;/Extra&gt;&lt;/Item&gt;&lt;/References&gt;&lt;/Group&gt;&lt;/Citation&gt;_x000a_"/>
    <w:docVar w:name="NE.Ref{E2DC3C5E-8395-4F23-BE73-6BE31FA3EA62}" w:val=" ADDIN NE.Ref.{E2DC3C5E-8395-4F23-BE73-6BE31FA3EA62}&lt;Citation&gt;&lt;Group&gt;&lt;References&gt;&lt;Item&gt;&lt;ID&gt;56&lt;/ID&gt;&lt;UID&gt;{B22FABD6-5C20-4758-815A-5CD25A150E73}&lt;/UID&gt;&lt;Title&gt;铁路隧道超前地质预报技术指南&lt;/Title&gt;&lt;Template&gt;Book&lt;/Template&gt;&lt;Star&gt;0&lt;/Star&gt;&lt;Tag&gt;0&lt;/Tag&gt;&lt;Author&gt;中国中铁隧道集团有限公司主编&lt;/Author&gt;&lt;Year&gt;2008&lt;/Year&gt;&lt;Details&gt;&lt;_created&gt;63061800&lt;/_created&gt;&lt;_modified&gt;63061800&lt;/_modified&gt;&lt;_publisher&gt;北京：中国铁道出版社&lt;/_publisher&gt;&lt;_translated_author&gt;Zhong, Guozhongtiesuidaojituanyouxiangongsizhubian&lt;/_translated_author&gt;&lt;/Details&gt;&lt;Extra&gt;&lt;DBUID&gt;{13BA3B49-12A1-4736-B8CB-B11B0D6D35A8}&lt;/DBUID&gt;&lt;/Extra&gt;&lt;/Item&gt;&lt;/References&gt;&lt;/Group&gt;&lt;/Citation&gt;_x000a_"/>
    <w:docVar w:name="NE.Ref{E318F53C-41EC-4934-915E-D9088B5831E2}" w:val=" ADDIN NE.Ref.{E318F53C-41EC-4934-915E-D9088B5831E2}&lt;Citation&gt;&lt;Group&gt;&lt;References&gt;&lt;Item&gt;&lt;ID&gt;63&lt;/ID&gt;&lt;UID&gt;{F625F44B-F252-4A07-8E3B-C6FE110C73D0}&lt;/UID&gt;&lt;Title&gt;城市轨道交通地下工程建设风险管理规范&lt;/Title&gt;&lt;Template&gt;Standard&lt;/Template&gt;&lt;Star&gt;1&lt;/Star&gt;&lt;Tag&gt;0&lt;/Tag&gt;&lt;Author&gt;中华人民共和国住房和城乡建设部&lt;/Author&gt;&lt;Year&gt;2011&lt;/Year&gt;&lt;Details&gt;&lt;_keywords&gt;城区; 铁路轨道; 道路运输; 建设工程; 风险管理&lt;/_keywords&gt;&lt;_pages&gt;101&lt;/_pages&gt;&lt;_secondary_title&gt;GB 50652-2011&lt;/_secondary_title&gt;&lt;_translated_title&gt;Code for risk management of underground works in urban rail transit&lt;/_translated_title&gt;&lt;_url&gt;http://www.wanfangdata.com.cn/details/detail.do?_type=standards&amp;amp;id=GB 50652-2011&lt;/_url&gt;&lt;_created&gt;63061839&lt;/_created&gt;&lt;_modified&gt;63061841&lt;/_modified&gt;&lt;_publisher&gt;中国建筑工业出版社&lt;/_publisher&gt;&lt;_translated_author&gt;Zhong, Huarenmingongheguozhufanghechengxiangjianshebu&lt;/_translated_author&gt;&lt;/Details&gt;&lt;Extra&gt;&lt;DBUID&gt;{13BA3B49-12A1-4736-B8CB-B11B0D6D35A8}&lt;/DBUID&gt;&lt;/Extra&gt;&lt;/Item&gt;&lt;/References&gt;&lt;/Group&gt;&lt;/Citation&gt;_x000a_"/>
    <w:docVar w:name="NE.Ref{E4C42DAF-2880-4107-8E1B-EAE0C83C96B5}" w:val=" ADDIN NE.Ref.{E4C42DAF-2880-4107-8E1B-EAE0C83C96B5}&lt;Citation&gt;&lt;Group&gt;&lt;References&gt;&lt;Item&gt;&lt;ID&gt;49&lt;/ID&gt;&lt;UID&gt;{30CCBB38-32A1-4C42-88CC-F12788831C41}&lt;/UID&gt;&lt;Title&gt;公路工程地质勘察规范&lt;/Title&gt;&lt;Template&gt;Standard&lt;/Template&gt;&lt;Star&gt;0&lt;/Star&gt;&lt;Tag&gt;0&lt;/Tag&gt;&lt;Author&gt;中交第一公路勘察设计研究院有限公司主编&lt;/Author&gt;&lt;Year&gt;2011&lt;/Year&gt;&lt;Details&gt;&lt;_created&gt;63061793&lt;/_created&gt;&lt;_modified&gt;63061865&lt;/_modified&gt;&lt;_publisher&gt;北京：人民交通出版社&lt;/_publisher&gt;&lt;_secondary_title&gt;JTG C20-2011&lt;/_secondary_title&gt;&lt;_translated_author&gt;Zhong, Jiaodiyigonglukanchashejiyanjiuyuanyouxiangongsizhubian&lt;/_translated_author&gt;&lt;/Details&gt;&lt;Extra&gt;&lt;DBUID&gt;{13BA3B49-12A1-4736-B8CB-B11B0D6D35A8}&lt;/DBUID&gt;&lt;/Extra&gt;&lt;/Item&gt;&lt;/References&gt;&lt;/Group&gt;&lt;/Citation&gt;_x000a_"/>
    <w:docVar w:name="NE.Ref{E4FBC32B-F3C4-4B09-A67E-27746AE4A4FE}" w:val=" ADDIN NE.Ref.{E4FBC32B-F3C4-4B09-A67E-27746AE4A4FE}&lt;Citation&gt;&lt;Group&gt;&lt;References&gt;&lt;Item&gt;&lt;ID&gt;22&lt;/ID&gt;&lt;UID&gt;{C1DB21B5-1CFE-4528-93B0-C44E54F35906}&lt;/UID&gt;&lt;Title&gt;山岭隧道塌方风险评价理论与方法及工程应用&lt;/Title&gt;&lt;Template&gt;Journal Article&lt;/Template&gt;&lt;Star&gt;0&lt;/Star&gt;&lt;Tag&gt;0&lt;/Tag&gt;&lt;Author&gt;袁永才; 李术才; 李利平; 雷霆; 王升; 孙柏林&lt;/Author&gt;&lt;Year&gt;2016&lt;/Year&gt;&lt;Details&gt;&lt;_accessed&gt;63061772&lt;/_accessed&gt;&lt;_author_aff&gt;山东大学岩土与结构工程研究中心;湖北省保康至宜昌高速公路建设指挥部;&lt;/_author_aff&gt;&lt;_created&gt;63061772&lt;/_created&gt;&lt;_date&gt;61308000&lt;/_date&gt;&lt;_db_provider&gt;CNKI: 期刊&lt;/_db_provider&gt;&lt;_db_updated&gt;CNKI - Reference&lt;/_db_updated&gt;&lt;_issue&gt;07&lt;/_issue&gt;&lt;_journal&gt;中南大学学报(自然科学版)&lt;/_journal&gt;&lt;_keywords&gt;山岭隧道;风险评价;突变理论;塌方治理;孕险环境&lt;/_keywords&gt;&lt;_language&gt;Chinese&lt;/_language&gt;&lt;_modified&gt;63061772&lt;/_modified&gt;&lt;_pages&gt;2406-2414&lt;/_pages&gt;&lt;_url&gt;http://kns.cnki.net/KCMS/detail/detail.aspx?FileName=ZNGD201607031&amp;amp;DbName=CJFQ2016&lt;/_url&gt;&lt;_volume&gt;47&lt;/_volume&gt;&lt;_translated_author&gt;Yuan, Yongcai;Li, Shucai;Li, Liping;Lei, Ting;Wang, Sheng;Sun, Bolin&lt;/_translated_author&gt;&lt;/Details&gt;&lt;Extra&gt;&lt;DBUID&gt;{13BA3B49-12A1-4736-B8CB-B11B0D6D35A8}&lt;/DBUID&gt;&lt;/Extra&gt;&lt;/Item&gt;&lt;/References&gt;&lt;/Group&gt;&lt;/Citation&gt;_x000a_"/>
    <w:docVar w:name="NE.Ref{E522060A-49AD-4491-87F0-140195308A04}" w:val=" ADDIN NE.Ref.{E522060A-49AD-4491-87F0-140195308A04}&lt;Citation&gt;&lt;Group&gt;&lt;References&gt;&lt;Item&gt;&lt;ID&gt;85&lt;/ID&gt;&lt;UID&gt;{6B1526D0-9DD9-4371-9790-0CA54E1F977D}&lt;/UID&gt;&lt;Title&gt;公路隧道设计规范 第一册 土建工程&lt;/Title&gt;&lt;Template&gt;Standard&lt;/Template&gt;&lt;Star&gt;0&lt;/Star&gt;&lt;Tag&gt;0&lt;/Tag&gt;&lt;Author&gt;中华人民共和国交通运输部&lt;/Author&gt;&lt;Year&gt;2018&lt;/Year&gt;&lt;Details&gt;&lt;_secondary_title&gt;JTG 3370.1-2018&lt;/_secondary_title&gt;&lt;_publisher&gt;北京：人民交通出版社&lt;/_publisher&gt;&lt;_accessed&gt;63124719&lt;/_accessed&gt;&lt;_created&gt;63124719&lt;/_created&gt;&lt;_modified&gt;63124720&lt;/_modified&gt;&lt;_place_published&gt;北京&lt;/_place_published&gt;&lt;_date_display&gt;2018年12月25日&lt;/_date_display&gt;&lt;_translated_author&gt;Zhong, Huarenmingongheguojiaotongyunshubu&lt;/_translated_author&gt;&lt;/Details&gt;&lt;Extra&gt;&lt;DBUID&gt;{13BA3B49-12A1-4736-B8CB-B11B0D6D35A8}&lt;/DBUID&gt;&lt;/Extra&gt;&lt;/Item&gt;&lt;/References&gt;&lt;/Group&gt;&lt;/Citation&gt;_x000a_"/>
    <w:docVar w:name="NE.Ref{E60F49A6-60A9-4D6E-88BB-9A37A43F8B36}" w:val=" ADDIN NE.Ref.{E60F49A6-60A9-4D6E-88BB-9A37A43F8B36}&lt;Citation&gt;&lt;Group&gt;&lt;References&gt;&lt;Item&gt;&lt;ID&gt;29&lt;/ID&gt;&lt;UID&gt;{4C857A8B-6A8B-4AB8-8294-054E93831A51}&lt;/UID&gt;&lt;Title&gt;基于综合赋权-TOPSIS法隧道突涌水风险评价及应用&lt;/Title&gt;&lt;Template&gt;Journal Article&lt;/Template&gt;&lt;Star&gt;0&lt;/Star&gt;&lt;Tag&gt;0&lt;/Tag&gt;&lt;Author&gt;侯东赛; 张霄; 王磊&lt;/Author&gt;&lt;Year&gt;2017&lt;/Year&gt;&lt;Details&gt;&lt;_accessed&gt;63061773&lt;/_accessed&gt;&lt;_author_aff&gt;西南交通大学地球科学与环境工程学院;西南交通大学高速铁路运营安全空间信息技术国家地方联合工程实验室;&lt;/_author_aff&gt;&lt;_collection_scope&gt;PKU&lt;/_collection_scope&gt;&lt;_created&gt;63061772&lt;/_created&gt;&lt;_date&gt;61794720&lt;/_date&gt;&lt;_db_provider&gt;CNKI: 期刊&lt;/_db_provider&gt;&lt;_db_updated&gt;CNKI - Reference&lt;/_db_updated&gt;&lt;_issue&gt;06&lt;/_issue&gt;&lt;_journal&gt;隧道建设&lt;/_journal&gt;&lt;_keywords&gt;综合赋权法;TOPSIS法;隧道突涌水;风险评价体系;祥云隧道&lt;/_keywords&gt;&lt;_language&gt;Chinese&lt;/_language&gt;&lt;_modified&gt;63061773&lt;/_modified&gt;&lt;_pages&gt;691-699&lt;/_pages&gt;&lt;_url&gt;http://kns.cnki.net/KCMS/detail/detail.aspx?FileName=JSSD201706009&amp;amp;DbName=CJFQ2017&lt;/_url&gt;&lt;_volume&gt;37&lt;/_volume&gt;&lt;_translated_author&gt;Hou, Dongsai;Zhang, Xiao;Wang, Lei&lt;/_translated_author&gt;&lt;/Details&gt;&lt;Extra&gt;&lt;DBUID&gt;{13BA3B49-12A1-4736-B8CB-B11B0D6D35A8}&lt;/DBUID&gt;&lt;/Extra&gt;&lt;/Item&gt;&lt;/References&gt;&lt;/Group&gt;&lt;/Citation&gt;_x000a_"/>
    <w:docVar w:name="NE.Ref{E7C14D4D-8C8C-46E7-A911-5CBA2A338AE1}" w:val=" ADDIN NE.Ref.{E7C14D4D-8C8C-46E7-A911-5CBA2A338AE1}&lt;Citation&gt;&lt;Group&gt;&lt;References&gt;&lt;Item&gt;&lt;ID&gt;85&lt;/ID&gt;&lt;UID&gt;{6B1526D0-9DD9-4371-9790-0CA54E1F977D}&lt;/UID&gt;&lt;Title&gt;公路隧道设计规范 第一册 土建工程&lt;/Title&gt;&lt;Template&gt;Standard&lt;/Template&gt;&lt;Star&gt;0&lt;/Star&gt;&lt;Tag&gt;0&lt;/Tag&gt;&lt;Author&gt;中华人民共和国交通运输部&lt;/Author&gt;&lt;Year&gt;2018&lt;/Year&gt;&lt;Details&gt;&lt;_secondary_title&gt;JTG 3370.1-2018&lt;/_secondary_title&gt;&lt;_publisher&gt;人民交通出版社&lt;/_publisher&gt;&lt;_accessed&gt;63124722&lt;/_accessed&gt;&lt;_created&gt;63124719&lt;/_created&gt;&lt;_modified&gt;63124722&lt;/_modified&gt;&lt;_place_published&gt;北京&lt;/_place_published&gt;&lt;_date_display&gt;2018年12月25日&lt;/_date_display&gt;&lt;_translated_author&gt;Zhong, Huarenmingongheguojiaotongyunshubu&lt;/_translated_author&gt;&lt;/Details&gt;&lt;Extra&gt;&lt;DBUID&gt;{13BA3B49-12A1-4736-B8CB-B11B0D6D35A8}&lt;/DBUID&gt;&lt;/Extra&gt;&lt;/Item&gt;&lt;/References&gt;&lt;/Group&gt;&lt;/Citation&gt;_x000a_"/>
    <w:docVar w:name="NE.Ref{E9ABA15A-C415-4A3A-83BC-2E7216815707}" w:val=" ADDIN NE.Ref.{E9ABA15A-C415-4A3A-83BC-2E7216815707}&lt;Citation&gt;&lt;Group&gt;&lt;References&gt;&lt;Item&gt;&lt;ID&gt;57&lt;/ID&gt;&lt;UID&gt;{A12C8D51-ABD8-4BB8-8A86-C1E46C528236}&lt;/UID&gt;&lt;Title&gt;公路瓦斯隧道技术规程&lt;/Title&gt;&lt;Template&gt;Standard&lt;/Template&gt;&lt;Star&gt;0&lt;/Star&gt;&lt;Tag&gt;0&lt;/Tag&gt;&lt;Author&gt;四川省交通运输厅公路规划勘察设计研究院主编&lt;/Author&gt;&lt;Year&gt;2017&lt;/Year&gt;&lt;Details&gt;&lt;_created&gt;63061802&lt;/_created&gt;&lt;_modified&gt;63061802&lt;/_modified&gt;&lt;_publisher&gt;成都：西南交通大学出版社&lt;/_publisher&gt;&lt;_translated_author&gt;Si, Chuanshengjiaotongyunshutinggongluguihuakanchashejiyanjiuyuanzhubian&lt;/_translated_author&gt;&lt;/Details&gt;&lt;Extra&gt;&lt;DBUID&gt;{13BA3B49-12A1-4736-B8CB-B11B0D6D35A8}&lt;/DBUID&gt;&lt;/Extra&gt;&lt;/Item&gt;&lt;/References&gt;&lt;/Group&gt;&lt;/Citation&gt;_x000a_"/>
    <w:docVar w:name="NE.Ref{EBEC9BFC-EC3D-45BE-BA0B-DC681884896B}" w:val=" ADDIN NE.Ref.{EBEC9BFC-EC3D-45BE-BA0B-DC681884896B}&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EC5A1C47-20E0-4351-9EBF-E5BB026C1156}" w:val=" ADDIN NE.Ref.{EC5A1C47-20E0-4351-9EBF-E5BB026C1156}&lt;Citation&gt;&lt;Group&gt;&lt;References&gt;&lt;Item&gt;&lt;ID&gt;19&lt;/ID&gt;&lt;UID&gt;{96917D28-C008-46A6-B13A-F81D84296744}&lt;/UID&gt;&lt;Title&gt;山岭隧道塌方风险的集对分析方法&lt;/Title&gt;&lt;Template&gt;Journal Article&lt;/Template&gt;&lt;Star&gt;0&lt;/Star&gt;&lt;Tag&gt;0&lt;/Tag&gt;&lt;Author&gt;曹文贵; 翟友成; 王江营; 张永杰&lt;/Author&gt;&lt;Year&gt;2012&lt;/Year&gt;&lt;Details&gt;&lt;_accessed&gt;63061772&lt;/_accessed&gt;&lt;_author_adr&gt;湖南大学; 湖南大学; 湖南大学; 长沙理工大学&lt;/_author_adr&gt;&lt;_author_aff&gt;湖南大学; 湖南大学; 湖南大学; 长沙理工大学&lt;/_author_aff&gt;&lt;_collection_scope&gt;CSCD;PKU;EI&lt;/_collection_scope&gt;&lt;_created&gt;63061772&lt;/_created&gt;&lt;_db_provider&gt;北京万方数据股份有限公司&lt;/_db_provider&gt;&lt;_db_updated&gt;Wanfangdata&lt;/_db_updated&gt;&lt;_isbn&gt;1001-7372&lt;/_isbn&gt;&lt;_issue&gt;2&lt;/_issue&gt;&lt;_journal&gt;中国公路学报&lt;/_journal&gt;&lt;_keywords&gt;隧道工程; 塌方风险; 集对分析; 不确定型层次分析; 群组决策&lt;/_keywords&gt;&lt;_language&gt;chi&lt;/_language&gt;&lt;_modified&gt;63061772&lt;/_modified&gt;&lt;_pages&gt;90-99&lt;/_pages&gt;&lt;_tertiary_title&gt;China Journal of Highway and Transport&lt;/_tertiary_title&gt;&lt;_translated_title&gt;Method of Set Pair Analysis for Collapse Risk During Construction of Mountain Tunnel&lt;/_translated_title&gt;&lt;_url&gt;http://www.wanfangdata.com.cn/details/detail.do?_type=perio&amp;amp;id=zgglxb201202015&lt;/_url&gt;&lt;_volume&gt;25&lt;/_volume&gt;&lt;_translated_author&gt;Cao, Wengui;Zhai, Youcheng;Wang, Jiangying;Zhang, Yongjie&lt;/_translated_author&gt;&lt;/Details&gt;&lt;Extra&gt;&lt;DBUID&gt;{13BA3B49-12A1-4736-B8CB-B11B0D6D35A8}&lt;/DBUID&gt;&lt;/Extra&gt;&lt;/Item&gt;&lt;/References&gt;&lt;/Group&gt;&lt;/Citation&gt;_x000a_"/>
    <w:docVar w:name="NE.Ref{EC791DB6-B48F-4420-9391-97D29B95AD76}" w:val=" ADDIN NE.Ref.{EC791DB6-B48F-4420-9391-97D29B95AD76}&lt;Citation&gt;&lt;Group&gt;&lt;References&gt;&lt;Item&gt;&lt;ID&gt;52&lt;/ID&gt;&lt;UID&gt;{186C33C3-95BB-472F-B0C5-D1BCCB29B45D}&lt;/UID&gt;&lt;Title&gt;生产安全事故报告和调查处理条例&lt;/Title&gt;&lt;Template&gt;Book&lt;/Template&gt;&lt;Star&gt;0&lt;/Star&gt;&lt;Tag&gt;0&lt;/Tag&gt;&lt;Author&gt;国务院法制办公室编&lt;/Author&gt;&lt;Year&gt;2007&lt;/Year&gt;&lt;Details&gt;&lt;_created&gt;63061796&lt;/_created&gt;&lt;_modified&gt;63061796&lt;/_modified&gt;&lt;_publisher&gt;北京：中国法制出版社&lt;/_publisher&gt;&lt;_translated_author&gt;Guo, Wuyuanfazhibangongshibian&lt;/_translated_author&gt;&lt;/Details&gt;&lt;Extra&gt;&lt;DBUID&gt;{13BA3B49-12A1-4736-B8CB-B11B0D6D35A8}&lt;/DBUID&gt;&lt;/Extra&gt;&lt;/Item&gt;&lt;/References&gt;&lt;/Group&gt;&lt;/Citation&gt;_x000a_"/>
    <w:docVar w:name="NE.Ref{EDD6E0CD-7C12-4AC6-9F96-DB1A18F96375}" w:val=" ADDIN NE.Ref.{EDD6E0CD-7C12-4AC6-9F96-DB1A18F96375}&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EE17742A-ADD0-407D-913B-87B7F6C96D85}" w:val=" ADDIN NE.Ref.{EE17742A-ADD0-407D-913B-87B7F6C96D85}&lt;Citation&gt;&lt;Group&gt;&lt;References&gt;&lt;Item&gt;&lt;ID&gt;59&lt;/ID&gt;&lt;UID&gt;{7463273C-3187-4AF1-88DD-43058A12AFD0}&lt;/UID&gt;&lt;Title&gt;水力发电工程地质勘察规范&lt;/Title&gt;&lt;Template&gt;Standard&lt;/Template&gt;&lt;Star&gt;1&lt;/Star&gt;&lt;Tag&gt;0&lt;/Tag&gt;&lt;Author&gt;中华人民共和国住房和城乡建设部&lt;/Author&gt;&lt;Year&gt;2016&lt;/Year&gt;&lt;Details&gt;&lt;_pages&gt;255&lt;/_pages&gt;&lt;_secondary_title&gt;GB 50287-2016&lt;/_secondary_title&gt;&lt;_translated_title&gt;Code for hydropower engineering geological investigation&lt;/_translated_title&gt;&lt;_url&gt;http://www.wanfangdata.com.cn/details/detail.do?_type=standards&amp;amp;id=GB 50287-2016&lt;/_url&gt;&lt;_created&gt;63061817&lt;/_created&gt;&lt;_modified&gt;63061868&lt;/_modified&gt;&lt;_accessed&gt;63061817&lt;/_accessed&gt;&lt;_publisher&gt;中国计划出版社&lt;/_publisher&gt;&lt;_translated_author&gt;Zhong, Huarenmingongheguozhufanghechengxiangjianshebu&lt;/_translated_author&gt;&lt;/Details&gt;&lt;Extra&gt;&lt;DBUID&gt;{13BA3B49-12A1-4736-B8CB-B11B0D6D35A8}&lt;/DBUID&gt;&lt;/Extra&gt;&lt;/Item&gt;&lt;/References&gt;&lt;/Group&gt;&lt;/Citation&gt;_x000a_"/>
    <w:docVar w:name="NE.Ref{EE961E3F-B5B6-4068-A8CF-C53977171A51}" w:val=" ADDIN NE.Ref.{EE961E3F-B5B6-4068-A8CF-C53977171A51}&lt;Citation&gt;&lt;Group&gt;&lt;References&gt;&lt;Item&gt;&lt;ID&gt;32&lt;/ID&gt;&lt;UID&gt;{766BF12A-85BC-40FC-A6F0-AB1681315DF7}&lt;/UID&gt;&lt;Title&gt;隧道软弱围岩变形机制与控制技术研究&lt;/Title&gt;&lt;Template&gt;Thesis&lt;/Template&gt;&lt;Star&gt;0&lt;/Star&gt;&lt;Tag&gt;0&lt;/Tag&gt;&lt;Author&gt;赵勇&lt;/Author&gt;&lt;Year&gt;2012&lt;/Year&gt;&lt;Details&gt;&lt;_accessed&gt;63061776&lt;/_accessed&gt;&lt;_created&gt;63061773&lt;/_created&gt;&lt;_db_provider&gt;CNKI: 博士&lt;/_db_provider&gt;&lt;_db_updated&gt;CNKI - Reference&lt;/_db_updated&gt;&lt;_keywords&gt;隧道;软弱围岩;超前变形;掌子面挤出变形;掌子面后方变形;变形机制;变形预测;变形控制技术&lt;/_keywords&gt;&lt;_modified&gt;63061776&lt;/_modified&gt;&lt;_pages&gt;193&lt;/_pages&gt;&lt;_publisher&gt;北京交通大学&lt;/_publisher&gt;&lt;_tertiary_author&gt;王梦恕&lt;/_tertiary_author&gt;&lt;_url&gt;http://kns.cnki.net/KCMS/detail/detail.aspx?FileName=1012356602.nh&amp;amp;DbName=CDFD2012&lt;/_url&gt;&lt;_volume&gt;博士&lt;/_volume&gt;&lt;_translated_author&gt;Zhao, Yong&lt;/_translated_author&gt;&lt;_translated_tertiary_author&gt;Wang, Mengshu&lt;/_translated_tertiary_author&gt;&lt;/Details&gt;&lt;Extra&gt;&lt;DBUID&gt;{13BA3B49-12A1-4736-B8CB-B11B0D6D35A8}&lt;/DBUID&gt;&lt;/Extra&gt;&lt;/Item&gt;&lt;/References&gt;&lt;/Group&gt;&lt;/Citation&gt;_x000a_"/>
    <w:docVar w:name="NE.Ref{EEAD2639-362B-4397-A0C2-4077FE443BBC}" w:val=" ADDIN NE.Ref.{EEAD2639-362B-4397-A0C2-4077FE443BBC}&lt;Citation&gt;&lt;Group&gt;&lt;References&gt;&lt;Item&gt;&lt;ID&gt;19&lt;/ID&gt;&lt;UID&gt;{96917D28-C008-46A6-B13A-F81D84296744}&lt;/UID&gt;&lt;Title&gt;山岭隧道塌方风险的集对分析方法&lt;/Title&gt;&lt;Template&gt;Journal Article&lt;/Template&gt;&lt;Star&gt;0&lt;/Star&gt;&lt;Tag&gt;0&lt;/Tag&gt;&lt;Author&gt;曹文贵; 翟友成; 王江营; 张永杰&lt;/Author&gt;&lt;Year&gt;2012&lt;/Year&gt;&lt;Details&gt;&lt;_accessed&gt;63061772&lt;/_accessed&gt;&lt;_author_adr&gt;湖南大学; 湖南大学; 湖南大学; 长沙理工大学&lt;/_author_adr&gt;&lt;_author_aff&gt;湖南大学; 湖南大学; 湖南大学; 长沙理工大学&lt;/_author_aff&gt;&lt;_collection_scope&gt;CSCD;PKU;EI&lt;/_collection_scope&gt;&lt;_created&gt;63061772&lt;/_created&gt;&lt;_db_provider&gt;北京万方数据股份有限公司&lt;/_db_provider&gt;&lt;_db_updated&gt;Wanfangdata&lt;/_db_updated&gt;&lt;_isbn&gt;1001-7372&lt;/_isbn&gt;&lt;_issue&gt;2&lt;/_issue&gt;&lt;_journal&gt;中国公路学报&lt;/_journal&gt;&lt;_keywords&gt;隧道工程; 塌方风险; 集对分析; 不确定型层次分析; 群组决策&lt;/_keywords&gt;&lt;_language&gt;chi&lt;/_language&gt;&lt;_modified&gt;63061772&lt;/_modified&gt;&lt;_pages&gt;90-99&lt;/_pages&gt;&lt;_tertiary_title&gt;China Journal of Highway and Transport&lt;/_tertiary_title&gt;&lt;_translated_title&gt;Method of Set Pair Analysis for Collapse Risk During Construction of Mountain Tunnel&lt;/_translated_title&gt;&lt;_url&gt;http://www.wanfangdata.com.cn/details/detail.do?_type=perio&amp;amp;id=zgglxb201202015&lt;/_url&gt;&lt;_volume&gt;25&lt;/_volume&gt;&lt;_translated_author&gt;Cao, Wengui;Zhai, Youcheng;Wang, Jiangying;Zhang, Yongjie&lt;/_translated_author&gt;&lt;/Details&gt;&lt;Extra&gt;&lt;DBUID&gt;{13BA3B49-12A1-4736-B8CB-B11B0D6D35A8}&lt;/DBUID&gt;&lt;/Extra&gt;&lt;/Item&gt;&lt;/References&gt;&lt;/Group&gt;&lt;/Citation&gt;_x000a_"/>
    <w:docVar w:name="NE.Ref{EED58BCA-C084-4FBF-9D2C-79C9B3BA3626}" w:val=" ADDIN NE.Ref.{EED58BCA-C084-4FBF-9D2C-79C9B3BA3626}&lt;Citation&gt;&lt;Group&gt;&lt;References&gt;&lt;Item&gt;&lt;ID&gt;164&lt;/ID&gt;&lt;UID&gt;{23B3C1E5-08B7-49D9-BC09-0376B773647C}&lt;/UID&gt;&lt;Title&gt;公路桥梁和隧道工程施工安全风险评估制度及指南解析&lt;/Title&gt;&lt;Template&gt;Book&lt;/Template&gt;&lt;Star&gt;0&lt;/Star&gt;&lt;Tag&gt;0&lt;/Tag&gt;&lt;Author&gt;交通运输部工程质量监督局编&lt;/Author&gt;&lt;Year&gt;2011&lt;/Year&gt;&lt;Details&gt;&lt;_created&gt;63035100&lt;/_created&gt;&lt;_modified&gt;63035100&lt;/_modified&gt;&lt;_publisher&gt;北京：人民交通出版社&lt;/_publisher&gt;&lt;_translated_author&gt;Jiao, Tongyunshubugongchengzhiliangjiandujubian&lt;/_translated_author&gt;&lt;/Details&gt;&lt;Extra&gt;&lt;DBUID&gt;{C5464CEE-9149-4B7D-84D8-26EAAD582844}&lt;/DBUID&gt;&lt;/Extra&gt;&lt;/Item&gt;&lt;/References&gt;&lt;/Group&gt;&lt;/Citation&gt;_x000a_"/>
    <w:docVar w:name="NE.Ref{EF04C7A3-38CC-4492-BC94-047A90A63421}" w:val=" ADDIN NE.Ref.{EF04C7A3-38CC-4492-BC94-047A90A63421}&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EF8A1801-C9E6-4A67-BA6A-639EE0709F87}" w:val=" ADDIN NE.Ref.{EF8A1801-C9E6-4A67-BA6A-639EE0709F87}&lt;Citation&gt;&lt;Group&gt;&lt;References&gt;&lt;Item&gt;&lt;ID&gt;52&lt;/ID&gt;&lt;UID&gt;{186C33C3-95BB-472F-B0C5-D1BCCB29B45D}&lt;/UID&gt;&lt;Title&gt;生产安全事故报告和调查处理条例&lt;/Title&gt;&lt;Template&gt;Book&lt;/Template&gt;&lt;Star&gt;0&lt;/Star&gt;&lt;Tag&gt;0&lt;/Tag&gt;&lt;Author&gt;国务院法制办公室编&lt;/Author&gt;&lt;Year&gt;2007&lt;/Year&gt;&lt;Details&gt;&lt;_created&gt;63061796&lt;/_created&gt;&lt;_modified&gt;63061796&lt;/_modified&gt;&lt;_publisher&gt;北京：中国法制出版社&lt;/_publisher&gt;&lt;_translated_author&gt;Guo, Wuyuanfazhibangongshibian&lt;/_translated_author&gt;&lt;/Details&gt;&lt;Extra&gt;&lt;DBUID&gt;{13BA3B49-12A1-4736-B8CB-B11B0D6D35A8}&lt;/DBUID&gt;&lt;/Extra&gt;&lt;/Item&gt;&lt;/References&gt;&lt;/Group&gt;&lt;/Citation&gt;_x000a_"/>
    <w:docVar w:name="NE.Ref{EFA70F9E-6EE2-4C29-9315-8613545993F5}" w:val=" ADDIN NE.Ref.{EFA70F9E-6EE2-4C29-9315-8613545993F5}&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F074C893-4D46-4147-B12B-5CF7CDC49CA9}" w:val=" ADDIN NE.Ref.{F074C893-4D46-4147-B12B-5CF7CDC49CA9}&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F0D1B0BB-DCA9-438F-9272-21CD7A46F6B5}" w:val=" ADDIN NE.Ref.{F0D1B0BB-DCA9-438F-9272-21CD7A46F6B5}&lt;Citation&gt;&lt;Group&gt;&lt;References&gt;&lt;Item&gt;&lt;ID&gt;73&lt;/ID&gt;&lt;UID&gt;{929AC508-B56B-4920-9D7B-FE5A21002F4F}&lt;/UID&gt;&lt;Title&gt;水工隧洞设计规范&lt;/Title&gt;&lt;Template&gt;Standard&lt;/Template&gt;&lt;Star&gt;0&lt;/Star&gt;&lt;Tag&gt;0&lt;/Tag&gt;&lt;Author&gt;中华人民共和国水利部编&lt;/Author&gt;&lt;Year&gt;2016&lt;/Year&gt;&lt;Details&gt;&lt;_publisher&gt;北京：中国水利水电出版社&lt;/_publisher&gt;&lt;_created&gt;63062751&lt;/_created&gt;&lt;_modified&gt;63062754&lt;/_modified&gt;&lt;_secondary_title&gt;DL/T 5195-2004&lt;/_secondary_title&gt;&lt;_translated_author&gt;Zhong, Huarenmingongheguoshuilibubian&lt;/_translated_author&gt;&lt;/Details&gt;&lt;Extra&gt;&lt;DBUID&gt;{13BA3B49-12A1-4736-B8CB-B11B0D6D35A8}&lt;/DBUID&gt;&lt;/Extra&gt;&lt;/Item&gt;&lt;/References&gt;&lt;/Group&gt;&lt;/Citation&gt;_x000a_"/>
    <w:docVar w:name="NE.Ref{F3741555-E7D9-460A-A563-F6DE3995BC88}" w:val=" ADDIN NE.Ref.{F3741555-E7D9-460A-A563-F6DE3995BC88}&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F43981BD-1C31-4AFB-809D-511AD2490759}" w:val=" ADDIN NE.Ref.{F43981BD-1C31-4AFB-809D-511AD2490759}&lt;Citation&gt;&lt;Group&gt;&lt;References&gt;&lt;Item&gt;&lt;ID&gt;1&lt;/ID&gt;&lt;UID&gt;{2DC6ADBF-CC34-428D-B8BD-A784AA541D0D}&lt;/UID&gt;&lt;Title&gt;2018年中国公路隧道发展&lt;/Title&gt;&lt;Template&gt;Journal Article&lt;/Template&gt;&lt;Star&gt;0&lt;/Star&gt;&lt;Tag&gt;0&lt;/Tag&gt;&lt;Author&gt;蒋树屏; 林志; 王少飞&lt;/Author&gt;&lt;Year&gt;2019&lt;/Year&gt;&lt;Details&gt;&lt;_accessed&gt;63058515&lt;/_accessed&gt;&lt;_author_aff&gt;招商局重庆交通科研设计院有限公司;重庆交通大学;&lt;/_author_aff&gt;&lt;_created&gt;63058514&lt;/_created&gt;&lt;_date&gt;62893440&lt;/_date&gt;&lt;_db_provider&gt;CNKI: 期刊&lt;/_db_provider&gt;&lt;_db_updated&gt;CNKI - Reference&lt;/_db_updated&gt;&lt;_issue&gt;07&lt;/_issue&gt;&lt;_journal&gt;隧道建设(中英文)&lt;/_journal&gt;&lt;_keywords&gt;交通运输部;控制性工程;港珠澳大桥;隧道养护;&lt;/_keywords&gt;&lt;_language&gt;Chinese&lt;/_language&gt;&lt;_modified&gt;63058515&lt;/_modified&gt;&lt;_pages&gt;1217-1220&lt;/_pages&gt;&lt;_url&gt;http://kns.cnki.net/KCMS/detail/detail.aspx?FileName=JSSD201907026&amp;amp;DbName=CJFQ2019&lt;/_url&gt;&lt;_volume&gt;39&lt;/_volume&gt;&lt;_translated_author&gt;Jiang, Shuping;Lin, Zhi;Wang, Shaofei&lt;/_translated_author&gt;&lt;/Details&gt;&lt;Extra&gt;&lt;DBUID&gt;{13BA3B49-12A1-4736-B8CB-B11B0D6D35A8}&lt;/DBUID&gt;&lt;/Extra&gt;&lt;/Item&gt;&lt;/References&gt;&lt;/Group&gt;&lt;/Citation&gt;_x000a_"/>
    <w:docVar w:name="NE.Ref{F4A51BA7-3C59-42D1-8678-4CB28A849DC4}" w:val=" ADDIN NE.Ref.{F4A51BA7-3C59-42D1-8678-4CB28A849DC4}&lt;Citation&gt;&lt;Group&gt;&lt;References&gt;&lt;Item&gt;&lt;ID&gt;62&lt;/ID&gt;&lt;UID&gt;{6AA3DA3A-BF3C-47A4-BDB7-34D554A817AC}&lt;/UID&gt;&lt;Title&gt;Q/CR9006-2014 铁路建设工程风险管理技术规范&lt;/Title&gt;&lt;Template&gt;Web Page&lt;/Template&gt;&lt;Star&gt;0&lt;/Star&gt;&lt;Tag&gt;0&lt;/Tag&gt;&lt;Author&gt;中国铁路总公司&lt;/Author&gt;&lt;Year&gt;2014&lt;/Year&gt;&lt;Details&gt;&lt;_url&gt;https://max.book118.com/html/2018/0123/150146620.shtm&lt;/_url&gt;&lt;_secondary_title&gt;Q/CR9006-2014 &lt;/_secondary_title&gt;&lt;_volume&gt;2019&lt;/_volume&gt;&lt;_issue&gt;2019-11-25&lt;/_issue&gt;&lt;_date_display&gt;2018年11月25日&lt;/_date_display&gt;&lt;_date&gt;62534880&lt;/_date&gt;&lt;_accessed&gt;63061838&lt;/_accessed&gt;&lt;_created&gt;63061838&lt;/_created&gt;&lt;_modified&gt;63061838&lt;/_modified&gt;&lt;_translated_author&gt;Zhong, Guotieluzonggongsi&lt;/_translated_author&gt;&lt;/Details&gt;&lt;Extra&gt;&lt;DBUID&gt;{13BA3B49-12A1-4736-B8CB-B11B0D6D35A8}&lt;/DBUID&gt;&lt;/Extra&gt;&lt;/Item&gt;&lt;/References&gt;&lt;/Group&gt;&lt;/Citation&gt;_x000a_"/>
    <w:docVar w:name="NE.Ref{F4D7E26C-1F2C-43DB-AC96-77CBF56D4B12}" w:val=" ADDIN NE.Ref.{F4D7E26C-1F2C-43DB-AC96-77CBF56D4B12}&lt;Citation&gt;&lt;Group&gt;&lt;References&gt;&lt;Item&gt;&lt;ID&gt;33&lt;/ID&gt;&lt;UID&gt;{B84CBFD5-A91C-4A64-8F67-E4F97041C39E}&lt;/UID&gt;&lt;Title&gt;软岩隧道矿山法施工大变形风险评估&lt;/Title&gt;&lt;Template&gt;Journal Article&lt;/Template&gt;&lt;Star&gt;0&lt;/Star&gt;&lt;Tag&gt;0&lt;/Tag&gt;&lt;Author&gt;范建海; 陈志超; 夏述光&lt;/Author&gt;&lt;Year&gt;2013&lt;/Year&gt;&lt;Details&gt;&lt;_accessed&gt;63061773&lt;/_accessed&gt;&lt;_author_aff&gt;湖北省谷竹高速公路建设指挥部;中国地质大学(武汉);&lt;/_author_aff&gt;&lt;_collection_scope&gt;PKU&lt;/_collection_scope&gt;&lt;_created&gt;63061773&lt;/_created&gt;&lt;_date&gt;59721120&lt;/_date&gt;&lt;_db_provider&gt;CNKI: 期刊&lt;/_db_provider&gt;&lt;_db_updated&gt;CNKI - Reference&lt;/_db_updated&gt;&lt;_issue&gt;07&lt;/_issue&gt;&lt;_journal&gt;铁道建筑&lt;/_journal&gt;&lt;_keywords&gt;大变形;风险评估;德尔菲法;层次分析法;当量分析法&lt;/_keywords&gt;&lt;_language&gt;Chinese&lt;/_language&gt;&lt;_modified&gt;63061773&lt;/_modified&gt;&lt;_pages&gt;52-56&lt;/_pages&gt;&lt;_url&gt;http://kns.cnki.net/KCMS/detail/detail.aspx?FileName=TDJZ201307017&amp;amp;DbName=CJFQ2013&lt;/_url&gt;&lt;_translated_author&gt;Fan, Jianhai;Chen, Zhichao;Xia, Shuguang&lt;/_translated_author&gt;&lt;/Details&gt;&lt;Extra&gt;&lt;DBUID&gt;{13BA3B49-12A1-4736-B8CB-B11B0D6D35A8}&lt;/DBUID&gt;&lt;/Extra&gt;&lt;/Item&gt;&lt;/References&gt;&lt;/Group&gt;&lt;/Citation&gt;_x000a_"/>
    <w:docVar w:name="NE.Ref{F4E528C8-A036-4623-81A7-8AD375B5F5BB}" w:val=" ADDIN NE.Ref.{F4E528C8-A036-4623-81A7-8AD375B5F5BB}&lt;Citation&gt;&lt;Group&gt;&lt;References&gt;&lt;Item&gt;&lt;ID&gt;50&lt;/ID&gt;&lt;UID&gt;{BB42E107-57BF-4575-B851-DEE27D9FE9B9}&lt;/UID&gt;&lt;Title&gt;公路隧道施工技术细则&lt;/Title&gt;&lt;Template&gt;Standard&lt;/Template&gt;&lt;Star&gt;1&lt;/Star&gt;&lt;Tag&gt;0&lt;/Tag&gt;&lt;Author&gt;中交第一公路工程局有限公司编&lt;/Author&gt;&lt;Year&gt;2009&lt;/Year&gt;&lt;Details&gt;&lt;_created&gt;63061793&lt;/_created&gt;&lt;_modified&gt;63061866&lt;/_modified&gt;&lt;_publisher&gt;北京：人民交通出版社&lt;/_publisher&gt;&lt;_secondary_title&gt;JTG/T F60-2009&lt;/_secondary_title&gt;&lt;_translated_author&gt;Zhong, Jiaodiyigonglugongchengjuyouxiangongsibian&lt;/_translated_author&gt;&lt;/Details&gt;&lt;Extra&gt;&lt;DBUID&gt;{13BA3B49-12A1-4736-B8CB-B11B0D6D35A8}&lt;/DBUID&gt;&lt;/Extra&gt;&lt;/Item&gt;&lt;/References&gt;&lt;/Group&gt;&lt;/Citation&gt;_x000a_"/>
    <w:docVar w:name="NE.Ref{F4F1C2FE-4B06-46FA-83C1-A8E8C68226BD}" w:val=" ADDIN NE.Ref.{F4F1C2FE-4B06-46FA-83C1-A8E8C68226BD}&lt;Citation&gt;&lt;Group&gt;&lt;References&gt;&lt;Item&gt;&lt;ID&gt;45&lt;/ID&gt;&lt;UID&gt;{F4DA340E-537D-46F3-862C-27D738B3BE59}&lt;/UID&gt;&lt;Title&gt;岩爆倾向性指标及其相互关系探讨&lt;/Title&gt;&lt;Template&gt;Journal Article&lt;/Template&gt;&lt;Star&gt;0&lt;/Star&gt;&lt;Tag&gt;0&lt;/Tag&gt;&lt;Author&gt;张传庆; 卢景景; 陈珺; 周辉; 杨凡杰&lt;/Author&gt;&lt;Year&gt;2017&lt;/Year&gt;&lt;Details&gt;&lt;_accessed&gt;63061775&lt;/_accessed&gt;&lt;_author_aff&gt;中国科学院武汉岩土力学研究所岩土力学与工程国家重点实验室;&lt;/_author_aff&gt;&lt;_collection_scope&gt;CSCD;PKU;EI&lt;/_collection_scope&gt;&lt;_created&gt;63061775&lt;/_created&gt;&lt;_date&gt;61722720&lt;/_date&gt;&lt;_db_provider&gt;CNKI: 期刊&lt;/_db_provider&gt;&lt;_db_updated&gt;CNKI - Reference&lt;/_db_updated&gt;&lt;_issue&gt;05&lt;/_issue&gt;&lt;_journal&gt;岩土力学&lt;/_journal&gt;&lt;_keywords&gt;岩爆倾向性;评价指标;体积应变;裂纹损伤应力&lt;/_keywords&gt;&lt;_language&gt;Chinese&lt;/_language&gt;&lt;_modified&gt;63061775&lt;/_modified&gt;&lt;_pages&gt;1397-1404&lt;/_pages&gt;&lt;_url&gt;http://kns.cnki.net/KCMS/detail/detail.aspx?FileName=YTLX201705023&amp;amp;DbName=CJFQ2017&lt;/_url&gt;&lt;_volume&gt;38&lt;/_volume&gt;&lt;_translated_author&gt;Zhang, Chuanqing;Lu, Jingjing;Chen, Jun;Zhou, Hui;Yang, Fanjie&lt;/_translated_author&gt;&lt;/Details&gt;&lt;Extra&gt;&lt;DBUID&gt;{13BA3B49-12A1-4736-B8CB-B11B0D6D35A8}&lt;/DBUID&gt;&lt;/Extra&gt;&lt;/Item&gt;&lt;/References&gt;&lt;/Group&gt;&lt;/Citation&gt;_x000a_"/>
    <w:docVar w:name="NE.Ref{F5DD70CA-6624-4948-B3B5-5F09AD64F0EF}" w:val=" ADDIN NE.Ref.{F5DD70CA-6624-4948-B3B5-5F09AD64F0EF}&lt;Citation&gt;&lt;Group&gt;&lt;References&gt;&lt;Item&gt;&lt;ID&gt;59&lt;/ID&gt;&lt;UID&gt;{7463273C-3187-4AF1-88DD-43058A12AFD0}&lt;/UID&gt;&lt;Title&gt;水力发电工程地质勘察规范&lt;/Title&gt;&lt;Template&gt;Standard&lt;/Template&gt;&lt;Star&gt;1&lt;/Star&gt;&lt;Tag&gt;0&lt;/Tag&gt;&lt;Author&gt;中华人民共和国住房和城乡建设部&lt;/Author&gt;&lt;Year&gt;2016&lt;/Year&gt;&lt;Details&gt;&lt;_pages&gt;255&lt;/_pages&gt;&lt;_secondary_title&gt;GB 50287-2016&lt;/_secondary_title&gt;&lt;_translated_title&gt;Code for hydropower engineering geological investigation&lt;/_translated_title&gt;&lt;_url&gt;http://www.wanfangdata.com.cn/details/detail.do?_type=standards&amp;amp;id=GB 50287-2016&lt;/_url&gt;&lt;_created&gt;63061817&lt;/_created&gt;&lt;_modified&gt;63061868&lt;/_modified&gt;&lt;_accessed&gt;63061817&lt;/_accessed&gt;&lt;_publisher&gt;中国计划出版社&lt;/_publisher&gt;&lt;_translated_author&gt;Zhong, Huarenmingongheguozhufanghechengxiangjianshebu&lt;/_translated_author&gt;&lt;/Details&gt;&lt;Extra&gt;&lt;DBUID&gt;{13BA3B49-12A1-4736-B8CB-B11B0D6D35A8}&lt;/DBUID&gt;&lt;/Extra&gt;&lt;/Item&gt;&lt;/References&gt;&lt;/Group&gt;&lt;/Citation&gt;_x000a_"/>
    <w:docVar w:name="NE.Ref{F6730809-4218-43D5-8653-DA925301E324}" w:val=" ADDIN NE.Ref.{F6730809-4218-43D5-8653-DA925301E324}&lt;Citation&gt;&lt;Group&gt;&lt;References&gt;&lt;Item&gt;&lt;ID&gt;85&lt;/ID&gt;&lt;UID&gt;{6B1526D0-9DD9-4371-9790-0CA54E1F977D}&lt;/UID&gt;&lt;Title&gt;公路隧道设计规范 第一册 土建工程&lt;/Title&gt;&lt;Template&gt;Standard&lt;/Template&gt;&lt;Star&gt;0&lt;/Star&gt;&lt;Tag&gt;0&lt;/Tag&gt;&lt;Author&gt;中华人民共和国交通运输部&lt;/Author&gt;&lt;Year&gt;2018&lt;/Year&gt;&lt;Details&gt;&lt;_secondary_title&gt;JTG 3370.1-2018&lt;/_secondary_title&gt;&lt;_publisher&gt;人民交通出版社&lt;/_publisher&gt;&lt;_accessed&gt;63124722&lt;/_accessed&gt;&lt;_created&gt;63124719&lt;/_created&gt;&lt;_modified&gt;63124722&lt;/_modified&gt;&lt;_place_published&gt;北京&lt;/_place_published&gt;&lt;_date_display&gt;2018年12月25日&lt;/_date_display&gt;&lt;_translated_author&gt;Zhong, Huarenmingongheguojiaotongyunshubu&lt;/_translated_author&gt;&lt;/Details&gt;&lt;Extra&gt;&lt;DBUID&gt;{13BA3B49-12A1-4736-B8CB-B11B0D6D35A8}&lt;/DBUID&gt;&lt;/Extra&gt;&lt;/Item&gt;&lt;/References&gt;&lt;/Group&gt;&lt;/Citation&gt;_x000a_"/>
    <w:docVar w:name="NE.Ref{F6B6C168-E4D5-4168-9972-A2AAB3A30EFE}" w:val=" ADDIN NE.Ref.{F6B6C168-E4D5-4168-9972-A2AAB3A30EFE}&lt;Citation&gt;&lt;Group&gt;&lt;References&gt;&lt;Item&gt;&lt;ID&gt;65&lt;/ID&gt;&lt;UID&gt;{2561025C-65CC-473F-9300-309D10D492EC}&lt;/UID&gt;&lt;Title&gt;水利水电工程地质勘察规范&lt;/Title&gt;&lt;Template&gt;Standard&lt;/Template&gt;&lt;Star&gt;1&lt;/Star&gt;&lt;Tag&gt;0&lt;/Tag&gt;&lt;Author&gt;中华人民共和国住房和城乡建设部; 中华人民共和国国家质量监督检验检疫总局&lt;/Author&gt;&lt;Year&gt;2008&lt;/Year&gt;&lt;Details&gt;&lt;_keywords&gt;建筑; 施工作业; 勘探; 地质学; 水力学&lt;/_keywords&gt;&lt;_pages&gt;272&lt;/_pages&gt;&lt;_secondary_title&gt;GB 50487-2008&lt;/_secondary_title&gt;&lt;_translated_title&gt;Code for engineering geological investigation of water resources and hydropower&lt;/_translated_title&gt;&lt;_url&gt;http://www.wanfangdata.com.cn/details/detail.do?_type=standards&amp;amp;id=GB 50487-2008&lt;/_url&gt;&lt;_created&gt;63061843&lt;/_created&gt;&lt;_modified&gt;63061845&lt;/_modified&gt;&lt;_publisher&gt;北京：中国计划出版社&lt;/_publisher&gt;&lt;_translated_author&gt;Zhong, Huarenmingongheguozhufanghechengxiangjianshebu;Zhong, Huarenmingongheguoguojiazhiliangjiandujianyanjianyizongju&lt;/_translated_author&gt;&lt;/Details&gt;&lt;Extra&gt;&lt;DBUID&gt;{13BA3B49-12A1-4736-B8CB-B11B0D6D35A8}&lt;/DBUID&gt;&lt;/Extra&gt;&lt;/Item&gt;&lt;/References&gt;&lt;/Group&gt;&lt;/Citation&gt;_x000a_"/>
    <w:docVar w:name="NE.Ref{F6C0D118-E850-4088-B0DF-8A144C7C5FFF}" w:val=" ADDIN NE.Ref.{F6C0D118-E850-4088-B0DF-8A144C7C5FFF}&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F81052FC-D7C8-4337-A04F-E5B15E91E2D6}" w:val=" ADDIN NE.Ref.{F81052FC-D7C8-4337-A04F-E5B15E91E2D6}&lt;Citation&gt;&lt;Group&gt;&lt;References&gt;&lt;Item&gt;&lt;ID&gt;6&lt;/ID&gt;&lt;UID&gt;{B92DD287-5487-43A1-AB8B-3C9320FA2F0F}&lt;/UID&gt;&lt;Title&gt;九岭山高地应力板岩隧道坍塌处理技术&lt;/Title&gt;&lt;Template&gt;Journal Article&lt;/Template&gt;&lt;Star&gt;0&lt;/Star&gt;&lt;Tag&gt;0&lt;/Tag&gt;&lt;Author&gt;俞文生; 彭蓉蓉&lt;/Author&gt;&lt;Year&gt;2008&lt;/Year&gt;&lt;Details&gt;&lt;_accessed&gt;63061462&lt;/_accessed&gt;&lt;_author_aff&gt;江西省交通厅武吉高速公路项目办;江西交通工程咨询监理中心;&lt;/_author_aff&gt;&lt;_created&gt;63061461&lt;/_created&gt;&lt;_date&gt;57129120&lt;/_date&gt;&lt;_db_provider&gt;CNKI: 期刊&lt;/_db_provider&gt;&lt;_db_updated&gt;CNKI - Reference&lt;/_db_updated&gt;&lt;_issue&gt;03&lt;/_issue&gt;&lt;_journal&gt;公路隧道&lt;/_journal&gt;&lt;_keywords&gt;隧道工程;高地应力;板岩隧道;坍塌;处理技术&lt;/_keywords&gt;&lt;_modified&gt;63061462&lt;/_modified&gt;&lt;_pages&gt;21-24&lt;/_pages&gt;&lt;_url&gt;http://kns.cnki.net/KCMS/detail/detail.aspx?FileName=GLSD200803012&amp;amp;DbName=CJFQ2008&lt;/_url&gt;&lt;_translated_author&gt;Yu, Wensheng;Peng, Rongrong&lt;/_translated_author&gt;&lt;/Details&gt;&lt;Extra&gt;&lt;DBUID&gt;{13BA3B49-12A1-4736-B8CB-B11B0D6D35A8}&lt;/DBUID&gt;&lt;/Extra&gt;&lt;/Item&gt;&lt;/References&gt;&lt;/Group&gt;&lt;Group&gt;&lt;References&gt;&lt;Item&gt;&lt;ID&gt;8&lt;/ID&gt;&lt;UID&gt;{B932ED28-E986-49E2-9CB9-33CC990F95D3}&lt;/UID&gt;&lt;Title&gt;玄真观隧道高地应力整治段坍塌原因分析及处理措施&lt;/Title&gt;&lt;Template&gt;Journal Article&lt;/Template&gt;&lt;Star&gt;0&lt;/Star&gt;&lt;Tag&gt;0&lt;/Tag&gt;&lt;Author&gt;李祥云&lt;/Author&gt;&lt;Year&gt;2016&lt;/Year&gt;&lt;Details&gt;&lt;_accessed&gt;63061461&lt;/_accessed&gt;&lt;_author_aff&gt;中铁二局股份有限公司;&lt;/_author_aff&gt;&lt;_created&gt;63061461&lt;/_created&gt;&lt;_date&gt;61519680&lt;/_date&gt;&lt;_db_provider&gt;CNKI: 期刊&lt;/_db_provider&gt;&lt;_db_updated&gt;CNKI - Reference&lt;/_db_updated&gt;&lt;_issue&gt;06&lt;/_issue&gt;&lt;_journal&gt;路基工程&lt;/_journal&gt;&lt;_keywords&gt;高地应力;整治段;坍塌;原因分析;处理措施&lt;/_keywords&gt;&lt;_language&gt;Chinese&lt;/_language&gt;&lt;_modified&gt;63061461&lt;/_modified&gt;&lt;_pages&gt;207-211&lt;/_pages&gt;&lt;_url&gt;http://kns.cnki.net/KCMS/detail/detail.aspx?FileName=LJGC201606046&amp;amp;DbName=CJFQ2016&lt;/_url&gt;&lt;_translated_author&gt;Li, Xiangyun&lt;/_translated_author&gt;&lt;/Details&gt;&lt;Extra&gt;&lt;DBUID&gt;{13BA3B49-12A1-4736-B8CB-B11B0D6D35A8}&lt;/DBUID&gt;&lt;/Extra&gt;&lt;/Item&gt;&lt;/References&gt;&lt;/Group&gt;&lt;/Citation&gt;_x000a_"/>
    <w:docVar w:name="NE.Ref{F8B003A4-5E0E-4976-91D7-0EB27AFFB693}" w:val=" ADDIN NE.Ref.{F8B003A4-5E0E-4976-91D7-0EB27AFFB693}&lt;Citation&gt;&lt;Group&gt;&lt;References&gt;&lt;Item&gt;&lt;ID&gt;75&lt;/ID&gt;&lt;UID&gt;{2101AF3D-B30D-4505-9AB5-9236D4ECDD38}&lt;/UID&gt;&lt;Title&gt;铁路隧道设计规范&lt;/Title&gt;&lt;Template&gt;Standard&lt;/Template&gt;&lt;Star&gt;1&lt;/Star&gt;&lt;Tag&gt;0&lt;/Tag&gt;&lt;Author&gt;铁路部第二勘测设计院&lt;/Author&gt;&lt;Year&gt;2005&lt;/Year&gt;&lt;Details&gt;&lt;_keywords&gt;铁路隧道; 设计规范; 隧道&lt;/_keywords&gt;&lt;_pages&gt;286&lt;/_pages&gt;&lt;_secondary_title&gt;TB 10003-2005&lt;/_secondary_title&gt;&lt;_translated_title&gt;Code for design on tunnel of railway&lt;/_translated_title&gt;&lt;_url&gt;http://www.wanfangdata.com.cn/details/detail.do?_type=standards&amp;amp;id=TB 10003-2005&lt;/_url&gt;&lt;_created&gt;63062796&lt;/_created&gt;&lt;_modified&gt;63062802&lt;/_modified&gt;&lt;_publisher&gt;北京：中国铁道出版社&lt;/_publisher&gt;&lt;_translated_author&gt;Tie, Lubudi&amp;apos;erkanceshejiyuan&lt;/_translated_author&gt;&lt;/Details&gt;&lt;Extra&gt;&lt;DBUID&gt;{13BA3B49-12A1-4736-B8CB-B11B0D6D35A8}&lt;/DBUID&gt;&lt;/Extra&gt;&lt;/Item&gt;&lt;/References&gt;&lt;/Group&gt;&lt;/Citation&gt;_x000a_"/>
    <w:docVar w:name="NE.Ref{F9FE1C71-9BC7-415F-8B9C-57C3D1D3EC14}" w:val=" ADDIN NE.Ref.{F9FE1C71-9BC7-415F-8B9C-57C3D1D3EC14}&lt;Citation&gt;&lt;Group&gt;&lt;References&gt;&lt;Item&gt;&lt;ID&gt;51&lt;/ID&gt;&lt;UID&gt;{61ADC28B-79C2-4C29-8F6A-6F8FDC1CDA0B}&lt;/UID&gt;&lt;Title&gt;铁路隧道设计规范&lt;/Title&gt;&lt;Template&gt;Standard&lt;/Template&gt;&lt;Star&gt;1&lt;/Star&gt;&lt;Tag&gt;0&lt;/Tag&gt;&lt;Author&gt;中华人民共和国国家铁路局组织编译&lt;/Author&gt;&lt;Year&gt;2017&lt;/Year&gt;&lt;Details&gt;&lt;_created&gt;63061794&lt;/_created&gt;&lt;_modified&gt;63061866&lt;/_modified&gt;&lt;_publisher&gt;北京：中国铁道出版社&lt;/_publisher&gt;&lt;_secondary_title&gt;TB 10003-2016&lt;/_secondary_title&gt;&lt;_translated_author&gt;Zhong, Huarenmingongheguoguojiatielujuzuzhibianyi&lt;/_translated_author&gt;&lt;/Details&gt;&lt;Extra&gt;&lt;DBUID&gt;{13BA3B49-12A1-4736-B8CB-B11B0D6D35A8}&lt;/DBUID&gt;&lt;/Extra&gt;&lt;/Item&gt;&lt;/References&gt;&lt;/Group&gt;&lt;/Citation&gt;_x000a_"/>
    <w:docVar w:name="NE.Ref{FAFF4BB7-E8EA-47BA-B6EF-DFE84B65C5B3}" w:val=" ADDIN NE.Ref.{FAFF4BB7-E8EA-47BA-B6EF-DFE84B65C5B3}&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FB69248D-ECFF-493E-923B-1D46CF5389B8}" w:val=" ADDIN NE.Ref.{FB69248D-ECFF-493E-923B-1D46CF5389B8}&lt;Citation&gt;&lt;Group&gt;&lt;References&gt;&lt;Item&gt;&lt;ID&gt;60&lt;/ID&gt;&lt;UID&gt;{75D0166A-B762-4F35-BFB6-110F08D785D6}&lt;/UID&gt;&lt;Title&gt;工程岩体分级标准 &lt;/Title&gt;&lt;Template&gt;Standard&lt;/Template&gt;&lt;Star&gt;1&lt;/Star&gt;&lt;Tag&gt;0&lt;/Tag&gt;&lt;Author&gt;中华人民共和国住房和城乡建设部&lt;/Author&gt;&lt;Year&gt;2014&lt;/Year&gt;&lt;Details&gt;&lt;_issue&gt;93;93.020&lt;/_issue&gt;&lt;_pages&gt;95&lt;/_pages&gt;&lt;_secondary_title&gt;GB/T 50218-2014&lt;/_secondary_title&gt;&lt;_translated_title&gt;Standard for engineering classification of rock mass&lt;/_translated_title&gt;&lt;_url&gt;http://www.wanfangdata.com.cn/details/detail.do?_type=standards&amp;amp;id=GB/T 50218-2014&lt;/_url&gt;&lt;_created&gt;63061822&lt;/_created&gt;&lt;_modified&gt;63061823&lt;/_modified&gt;&lt;_publisher&gt;北京：中国计划出版社&lt;/_publisher&gt;&lt;_translated_author&gt;Zhong, Huarenmingongheguozhufanghechengxiangjianshebu&lt;/_translated_author&gt;&lt;/Details&gt;&lt;Extra&gt;&lt;DBUID&gt;{13BA3B49-12A1-4736-B8CB-B11B0D6D35A8}&lt;/DBUID&gt;&lt;/Extra&gt;&lt;/Item&gt;&lt;/References&gt;&lt;/Group&gt;&lt;/Citation&gt;_x000a_"/>
    <w:docVar w:name="NE.Ref{FC6A87FB-2804-4012-9DD1-C171326956DE}" w:val=" ADDIN NE.Ref.{FC6A87FB-2804-4012-9DD1-C171326956DE}&lt;Citation&gt;&lt;Group&gt;&lt;References&gt;&lt;Item&gt;&lt;ID&gt;52&lt;/ID&gt;&lt;UID&gt;{186C33C3-95BB-472F-B0C5-D1BCCB29B45D}&lt;/UID&gt;&lt;Title&gt;生产安全事故报告和调查处理条例&lt;/Title&gt;&lt;Template&gt;Book&lt;/Template&gt;&lt;Star&gt;0&lt;/Star&gt;&lt;Tag&gt;0&lt;/Tag&gt;&lt;Author&gt;国务院法制办公室编&lt;/Author&gt;&lt;Year&gt;2007&lt;/Year&gt;&lt;Details&gt;&lt;_created&gt;63061796&lt;/_created&gt;&lt;_modified&gt;63061796&lt;/_modified&gt;&lt;_publisher&gt;北京：中国法制出版社&lt;/_publisher&gt;&lt;_translated_author&gt;Guo, Wuyuanfazhibangongshibian&lt;/_translated_author&gt;&lt;/Details&gt;&lt;Extra&gt;&lt;DBUID&gt;{13BA3B49-12A1-4736-B8CB-B11B0D6D35A8}&lt;/DBUID&gt;&lt;/Extra&gt;&lt;/Item&gt;&lt;/References&gt;&lt;/Group&gt;&lt;/Citation&gt;_x000a_"/>
    <w:docVar w:name="NE.Ref{FC9A2763-9543-4FBF-A876-56389449873E}" w:val=" ADDIN NE.Ref.{FC9A2763-9543-4FBF-A876-56389449873E}&lt;Citation&gt;&lt;Group&gt;&lt;References&gt;&lt;Item&gt;&lt;ID&gt;29&lt;/ID&gt;&lt;UID&gt;{4C857A8B-6A8B-4AB8-8294-054E93831A51}&lt;/UID&gt;&lt;Title&gt;基于综合赋权-TOPSIS法隧道突涌水风险评价及应用&lt;/Title&gt;&lt;Template&gt;Journal Article&lt;/Template&gt;&lt;Star&gt;0&lt;/Star&gt;&lt;Tag&gt;0&lt;/Tag&gt;&lt;Author&gt;侯东赛; 张霄; 王磊&lt;/Author&gt;&lt;Year&gt;2017&lt;/Year&gt;&lt;Details&gt;&lt;_accessed&gt;63061773&lt;/_accessed&gt;&lt;_author_aff&gt;西南交通大学地球科学与环境工程学院;西南交通大学高速铁路运营安全空间信息技术国家地方联合工程实验室;&lt;/_author_aff&gt;&lt;_collection_scope&gt;PKU&lt;/_collection_scope&gt;&lt;_created&gt;63061772&lt;/_created&gt;&lt;_date&gt;61794720&lt;/_date&gt;&lt;_db_provider&gt;CNKI: 期刊&lt;/_db_provider&gt;&lt;_db_updated&gt;CNKI - Reference&lt;/_db_updated&gt;&lt;_issue&gt;06&lt;/_issue&gt;&lt;_journal&gt;隧道建设&lt;/_journal&gt;&lt;_keywords&gt;综合赋权法;TOPSIS法;隧道突涌水;风险评价体系;祥云隧道&lt;/_keywords&gt;&lt;_language&gt;Chinese&lt;/_language&gt;&lt;_modified&gt;63061773&lt;/_modified&gt;&lt;_pages&gt;691-699&lt;/_pages&gt;&lt;_url&gt;http://kns.cnki.net/KCMS/detail/detail.aspx?FileName=JSSD201706009&amp;amp;DbName=CJFQ2017&lt;/_url&gt;&lt;_volume&gt;37&lt;/_volume&gt;&lt;_translated_author&gt;Hou, Dongsai;Zhang, Xiao;Wang, Lei&lt;/_translated_author&gt;&lt;/Details&gt;&lt;Extra&gt;&lt;DBUID&gt;{13BA3B49-12A1-4736-B8CB-B11B0D6D35A8}&lt;/DBUID&gt;&lt;/Extra&gt;&lt;/Item&gt;&lt;/References&gt;&lt;/Group&gt;&lt;/Citation&gt;_x000a_"/>
    <w:docVar w:name="NE.Ref{FD690BC2-1259-4B4C-8BEF-0E3A8A0B8FE3}" w:val=" ADDIN NE.Ref.{FD690BC2-1259-4B4C-8BEF-0E3A8A0B8FE3}&lt;Citation&gt;&lt;Group&gt;&lt;References&gt;&lt;Item&gt;&lt;ID&gt;22&lt;/ID&gt;&lt;UID&gt;{C1DB21B5-1CFE-4528-93B0-C44E54F35906}&lt;/UID&gt;&lt;Title&gt;山岭隧道塌方风险评价理论与方法及工程应用&lt;/Title&gt;&lt;Template&gt;Journal Article&lt;/Template&gt;&lt;Star&gt;0&lt;/Star&gt;&lt;Tag&gt;0&lt;/Tag&gt;&lt;Author&gt;袁永才; 李术才; 李利平; 雷霆; 王升; 孙柏林&lt;/Author&gt;&lt;Year&gt;2016&lt;/Year&gt;&lt;Details&gt;&lt;_accessed&gt;63061772&lt;/_accessed&gt;&lt;_author_aff&gt;山东大学岩土与结构工程研究中心;湖北省保康至宜昌高速公路建设指挥部;&lt;/_author_aff&gt;&lt;_created&gt;63061772&lt;/_created&gt;&lt;_date&gt;61308000&lt;/_date&gt;&lt;_db_provider&gt;CNKI: 期刊&lt;/_db_provider&gt;&lt;_db_updated&gt;CNKI - Reference&lt;/_db_updated&gt;&lt;_issue&gt;07&lt;/_issue&gt;&lt;_journal&gt;中南大学学报(自然科学版)&lt;/_journal&gt;&lt;_keywords&gt;山岭隧道;风险评价;突变理论;塌方治理;孕险环境&lt;/_keywords&gt;&lt;_language&gt;Chinese&lt;/_language&gt;&lt;_modified&gt;63061772&lt;/_modified&gt;&lt;_pages&gt;2406-2414&lt;/_pages&gt;&lt;_url&gt;http://kns.cnki.net/KCMS/detail/detail.aspx?FileName=ZNGD201607031&amp;amp;DbName=CJFQ2016&lt;/_url&gt;&lt;_volume&gt;47&lt;/_volume&gt;&lt;_translated_author&gt;Yuan, Yongcai;Li, Shucai;Li, Liping;Lei, Ting;Wang, Sheng;Sun, Bolin&lt;/_translated_author&gt;&lt;/Details&gt;&lt;Extra&gt;&lt;DBUID&gt;{13BA3B49-12A1-4736-B8CB-B11B0D6D35A8}&lt;/DBUID&gt;&lt;/Extra&gt;&lt;/Item&gt;&lt;/References&gt;&lt;/Group&gt;&lt;Group&gt;&lt;References&gt;&lt;Item&gt;&lt;ID&gt;9&lt;/ID&gt;&lt;UID&gt;{68E57873-D974-4D04-84AD-CAB3790C2F3D}&lt;/UID&gt;&lt;Title&gt;浅埋隧道塌方地质灾害成因及风险控制&lt;/Title&gt;&lt;Template&gt;Journal Article&lt;/Template&gt;&lt;Star&gt;0&lt;/Star&gt;&lt;Tag&gt;0&lt;/Tag&gt;&lt;Author&gt;周宗青; 李术才; 李利平; 隋斌; 石少帅; 张乾青&lt;/Author&gt;&lt;Year&gt;2013&lt;/Year&gt;&lt;Details&gt;&lt;_accessed&gt;63061735&lt;/_accessed&gt;&lt;_author_aff&gt;山东大学岩土与结构工程研究中心;中国矿业大学深部岩土力学与地下工程国家重点实验室;&lt;/_author_aff&gt;&lt;_collection_scope&gt;CSCD;PKU;EI&lt;/_collection_scope&gt;&lt;_created&gt;63061734&lt;/_created&gt;&lt;_date&gt;59618880&lt;/_date&gt;&lt;_db_provider&gt;CNKI: 期刊&lt;/_db_provider&gt;&lt;_db_updated&gt;CNKI - Reference&lt;/_db_updated&gt;&lt;_issue&gt;05&lt;/_issue&gt;&lt;_journal&gt;岩土力学&lt;/_journal&gt;&lt;_keywords&gt;浅埋隧道;地质灾害成因;风险分析;动态评估;风险控制&lt;/_keywords&gt;&lt;_language&gt;Chinese&lt;/_language&gt;&lt;_modified&gt;63061735&lt;/_modified&gt;&lt;_pages&gt;1375-1382&lt;/_pages&gt;&lt;_url&gt;http://kns.cnki.net/KCMS/detail/detail.aspx?FileName=YTLX201305022&amp;amp;DbName=CJFQ2013&lt;/_url&gt;&lt;_volume&gt;34&lt;/_volume&gt;&lt;_translated_author&gt;Zhou, Zongqing;Li, Shucai;Li, Liping;Sui, Bin;Shi, Shaoshuai;Zhang, Qianqing&lt;/_translated_author&gt;&lt;/Details&gt;&lt;Extra&gt;&lt;DBUID&gt;{13BA3B49-12A1-4736-B8CB-B11B0D6D35A8}&lt;/DBUID&gt;&lt;/Extra&gt;&lt;/Item&gt;&lt;/References&gt;&lt;/Group&gt;&lt;/Citation&gt;_x000a_"/>
    <w:docVar w:name="NE.Ref{FE793542-26B8-4598-8A10-5818204D07C4}" w:val=" ADDIN NE.Ref.{FE793542-26B8-4598-8A10-5818204D07C4}&lt;Citation&gt;&lt;Group&gt;&lt;References&gt;&lt;Item&gt;&lt;ID&gt;76&lt;/ID&gt;&lt;UID&gt;{57E46213-8956-452E-9A39-F906CC742C0A}&lt;/UID&gt;&lt;Title&gt;宁波市交通质监站组织开展公路工程施工安全风险管理知识培训&lt;/Title&gt;&lt;Template&gt;Web Page&lt;/Template&gt;&lt;Star&gt;0&lt;/Star&gt;&lt;Tag&gt;0&lt;/Tag&gt;&lt;Author&gt;宁波市交通工程质量监督站&lt;/Author&gt;&lt;Year&gt;2018&lt;/Year&gt;&lt;Details&gt;&lt;_url&gt;http://zjzj.zjt.gov.cn/art/2018/11/6/art_5460_1029387.html&lt;/_url&gt;&lt;_volume&gt;2020年&lt;/_volume&gt;&lt;_issue&gt;2020-01-01&lt;/_issue&gt;&lt;_date_display&gt;2018年11月6日&lt;/_date_display&gt;&lt;_accessed&gt;63114843&lt;/_accessed&gt;&lt;_created&gt;63114840&lt;/_created&gt;&lt;_modified&gt;63114844&lt;/_modified&gt;&lt;_date&gt;62507520&lt;/_date&gt;&lt;_translated_author&gt;Ning, Boshijiaotonggongchengzhiliangjianduzhan&lt;/_translated_author&gt;&lt;/Details&gt;&lt;Extra&gt;&lt;DBUID&gt;{13BA3B49-12A1-4736-B8CB-B11B0D6D35A8}&lt;/DBUID&gt;&lt;/Extra&gt;&lt;/Item&gt;&lt;/References&gt;&lt;/Group&gt;&lt;/Citation&gt;_x000a_"/>
    <w:docVar w:name="NE.Ref{FFDA9C66-2369-4539-A916-D02EF6623BE0}" w:val=" ADDIN NE.Ref.{FFDA9C66-2369-4539-A916-D02EF6623BE0}&lt;Citation&gt;&lt;Group&gt;&lt;References&gt;&lt;Item&gt;&lt;ID&gt;48&lt;/ID&gt;&lt;UID&gt;{C05622A5-A03C-4E08-8547-243359D8A72F}&lt;/UID&gt;&lt;Title&gt;公路工程质量检验评定标准 第1册 土建工程 JTG F80/1-2017&lt;/Title&gt;&lt;Template&gt;Standard&lt;/Template&gt;&lt;Star&gt;0&lt;/Star&gt;&lt;Tag&gt;0&lt;/Tag&gt;&lt;Author&gt;交通运输部公路科学研究院&lt;/Author&gt;&lt;Year&gt;2018&lt;/Year&gt;&lt;Details&gt;&lt;_created&gt;63061788&lt;/_created&gt;&lt;_modified&gt;63061788&lt;/_modified&gt;&lt;_publisher&gt;人民交通出版社股份有限公司&lt;/_publisher&gt;&lt;_translated_author&gt;Jiao, Tongyunshubugonglukexueyanjiuyuan&lt;/_translated_author&gt;&lt;/Details&gt;&lt;Extra&gt;&lt;DBUID&gt;{13BA3B49-12A1-4736-B8CB-B11B0D6D35A8}&lt;/DBUID&gt;&lt;/Extra&gt;&lt;/Item&gt;&lt;/References&gt;&lt;/Group&gt;&lt;/Citation&gt;_x000a_"/>
    <w:docVar w:name="ne_docsoft" w:val="MSWord"/>
    <w:docVar w:name="ne_docversion" w:val="NoteExpress 2.0"/>
    <w:docVar w:name="ne_stylename" w:val="北京科技大学博士学位论文"/>
  </w:docVars>
  <w:rsids>
    <w:rsidRoot w:val="006150DD"/>
    <w:rsid w:val="00000EFD"/>
    <w:rsid w:val="00002C48"/>
    <w:rsid w:val="00002CBD"/>
    <w:rsid w:val="000031D0"/>
    <w:rsid w:val="00004435"/>
    <w:rsid w:val="000060CB"/>
    <w:rsid w:val="00006883"/>
    <w:rsid w:val="000103E0"/>
    <w:rsid w:val="00011579"/>
    <w:rsid w:val="00011858"/>
    <w:rsid w:val="0001202D"/>
    <w:rsid w:val="000123B2"/>
    <w:rsid w:val="00012E08"/>
    <w:rsid w:val="0001338E"/>
    <w:rsid w:val="000133C0"/>
    <w:rsid w:val="000134C6"/>
    <w:rsid w:val="00015606"/>
    <w:rsid w:val="0001611A"/>
    <w:rsid w:val="000165B3"/>
    <w:rsid w:val="0001714E"/>
    <w:rsid w:val="000201FD"/>
    <w:rsid w:val="000202A7"/>
    <w:rsid w:val="00020AAA"/>
    <w:rsid w:val="00020E84"/>
    <w:rsid w:val="000220BF"/>
    <w:rsid w:val="0002228D"/>
    <w:rsid w:val="00022B52"/>
    <w:rsid w:val="00023347"/>
    <w:rsid w:val="00023DB3"/>
    <w:rsid w:val="00024165"/>
    <w:rsid w:val="00024A99"/>
    <w:rsid w:val="0002504A"/>
    <w:rsid w:val="00025137"/>
    <w:rsid w:val="00025AF4"/>
    <w:rsid w:val="00026576"/>
    <w:rsid w:val="000272E7"/>
    <w:rsid w:val="0002731F"/>
    <w:rsid w:val="00030736"/>
    <w:rsid w:val="000307BF"/>
    <w:rsid w:val="00031AC2"/>
    <w:rsid w:val="000328B7"/>
    <w:rsid w:val="00032A91"/>
    <w:rsid w:val="00033D36"/>
    <w:rsid w:val="00033FA6"/>
    <w:rsid w:val="00034356"/>
    <w:rsid w:val="00034D1F"/>
    <w:rsid w:val="00035A60"/>
    <w:rsid w:val="000363BA"/>
    <w:rsid w:val="000368CE"/>
    <w:rsid w:val="00037737"/>
    <w:rsid w:val="00040390"/>
    <w:rsid w:val="0004072D"/>
    <w:rsid w:val="00041DAC"/>
    <w:rsid w:val="00043151"/>
    <w:rsid w:val="00044AFC"/>
    <w:rsid w:val="00045A85"/>
    <w:rsid w:val="00045DAA"/>
    <w:rsid w:val="00047189"/>
    <w:rsid w:val="00047FF0"/>
    <w:rsid w:val="0005051D"/>
    <w:rsid w:val="00050955"/>
    <w:rsid w:val="00050F12"/>
    <w:rsid w:val="00052A53"/>
    <w:rsid w:val="00053802"/>
    <w:rsid w:val="00053DB5"/>
    <w:rsid w:val="00053E66"/>
    <w:rsid w:val="00053EA4"/>
    <w:rsid w:val="00055E72"/>
    <w:rsid w:val="00056684"/>
    <w:rsid w:val="000567A7"/>
    <w:rsid w:val="0005711B"/>
    <w:rsid w:val="00057917"/>
    <w:rsid w:val="00057D30"/>
    <w:rsid w:val="000619BE"/>
    <w:rsid w:val="00061B78"/>
    <w:rsid w:val="0006225A"/>
    <w:rsid w:val="0006279D"/>
    <w:rsid w:val="0006304E"/>
    <w:rsid w:val="00063C8A"/>
    <w:rsid w:val="000658E3"/>
    <w:rsid w:val="00065925"/>
    <w:rsid w:val="0006631F"/>
    <w:rsid w:val="00067D1C"/>
    <w:rsid w:val="00070A94"/>
    <w:rsid w:val="0007230F"/>
    <w:rsid w:val="00072906"/>
    <w:rsid w:val="00072B9D"/>
    <w:rsid w:val="00073018"/>
    <w:rsid w:val="00073B98"/>
    <w:rsid w:val="00073BE2"/>
    <w:rsid w:val="000743D0"/>
    <w:rsid w:val="0007606D"/>
    <w:rsid w:val="000762EC"/>
    <w:rsid w:val="00076430"/>
    <w:rsid w:val="00077038"/>
    <w:rsid w:val="00080635"/>
    <w:rsid w:val="0008388C"/>
    <w:rsid w:val="00083F96"/>
    <w:rsid w:val="00083FD6"/>
    <w:rsid w:val="00084091"/>
    <w:rsid w:val="000842B1"/>
    <w:rsid w:val="0008477D"/>
    <w:rsid w:val="00084808"/>
    <w:rsid w:val="00084825"/>
    <w:rsid w:val="00085317"/>
    <w:rsid w:val="00087CC1"/>
    <w:rsid w:val="0009178C"/>
    <w:rsid w:val="000917C8"/>
    <w:rsid w:val="00091A43"/>
    <w:rsid w:val="00091ABA"/>
    <w:rsid w:val="00091C03"/>
    <w:rsid w:val="00094409"/>
    <w:rsid w:val="00095E43"/>
    <w:rsid w:val="00095EDB"/>
    <w:rsid w:val="00095FC7"/>
    <w:rsid w:val="00097785"/>
    <w:rsid w:val="00097FB6"/>
    <w:rsid w:val="000A06D3"/>
    <w:rsid w:val="000A210A"/>
    <w:rsid w:val="000A215F"/>
    <w:rsid w:val="000A3FAB"/>
    <w:rsid w:val="000A4952"/>
    <w:rsid w:val="000A4A5F"/>
    <w:rsid w:val="000A4B5F"/>
    <w:rsid w:val="000A4BA2"/>
    <w:rsid w:val="000A531D"/>
    <w:rsid w:val="000A557A"/>
    <w:rsid w:val="000A5B4D"/>
    <w:rsid w:val="000A5BA9"/>
    <w:rsid w:val="000A5DD1"/>
    <w:rsid w:val="000B2557"/>
    <w:rsid w:val="000B27FB"/>
    <w:rsid w:val="000B33FF"/>
    <w:rsid w:val="000B597E"/>
    <w:rsid w:val="000B5B8C"/>
    <w:rsid w:val="000B619C"/>
    <w:rsid w:val="000B6496"/>
    <w:rsid w:val="000B6C23"/>
    <w:rsid w:val="000B6F5F"/>
    <w:rsid w:val="000C16A8"/>
    <w:rsid w:val="000C1B2F"/>
    <w:rsid w:val="000C2EB0"/>
    <w:rsid w:val="000C4E2E"/>
    <w:rsid w:val="000C52C5"/>
    <w:rsid w:val="000C548F"/>
    <w:rsid w:val="000C587D"/>
    <w:rsid w:val="000C592F"/>
    <w:rsid w:val="000C7CEC"/>
    <w:rsid w:val="000D0B79"/>
    <w:rsid w:val="000D0CE4"/>
    <w:rsid w:val="000D151F"/>
    <w:rsid w:val="000D217C"/>
    <w:rsid w:val="000D25DC"/>
    <w:rsid w:val="000D3630"/>
    <w:rsid w:val="000D3FA3"/>
    <w:rsid w:val="000D44FC"/>
    <w:rsid w:val="000D50ED"/>
    <w:rsid w:val="000D54E0"/>
    <w:rsid w:val="000D59D1"/>
    <w:rsid w:val="000D6658"/>
    <w:rsid w:val="000D66E4"/>
    <w:rsid w:val="000D7307"/>
    <w:rsid w:val="000D7965"/>
    <w:rsid w:val="000D7C49"/>
    <w:rsid w:val="000D7D32"/>
    <w:rsid w:val="000D7E63"/>
    <w:rsid w:val="000E03BB"/>
    <w:rsid w:val="000E2781"/>
    <w:rsid w:val="000E2B05"/>
    <w:rsid w:val="000E3BD0"/>
    <w:rsid w:val="000E57B5"/>
    <w:rsid w:val="000E69C0"/>
    <w:rsid w:val="000E76D8"/>
    <w:rsid w:val="000E7FCD"/>
    <w:rsid w:val="000F0A7B"/>
    <w:rsid w:val="000F169A"/>
    <w:rsid w:val="000F1B7F"/>
    <w:rsid w:val="000F2E9B"/>
    <w:rsid w:val="000F3F7D"/>
    <w:rsid w:val="000F4032"/>
    <w:rsid w:val="000F7713"/>
    <w:rsid w:val="000F7CF8"/>
    <w:rsid w:val="001006E0"/>
    <w:rsid w:val="00100B13"/>
    <w:rsid w:val="001027E4"/>
    <w:rsid w:val="00102C29"/>
    <w:rsid w:val="001031A2"/>
    <w:rsid w:val="00103423"/>
    <w:rsid w:val="001046C4"/>
    <w:rsid w:val="00104D6F"/>
    <w:rsid w:val="00105751"/>
    <w:rsid w:val="001059BA"/>
    <w:rsid w:val="00107859"/>
    <w:rsid w:val="001079E9"/>
    <w:rsid w:val="0011011E"/>
    <w:rsid w:val="001101D0"/>
    <w:rsid w:val="0011041C"/>
    <w:rsid w:val="001107D1"/>
    <w:rsid w:val="001114E0"/>
    <w:rsid w:val="001120CC"/>
    <w:rsid w:val="00112472"/>
    <w:rsid w:val="001127B0"/>
    <w:rsid w:val="0011568D"/>
    <w:rsid w:val="00115D7E"/>
    <w:rsid w:val="0011790C"/>
    <w:rsid w:val="00117E55"/>
    <w:rsid w:val="00120166"/>
    <w:rsid w:val="00120634"/>
    <w:rsid w:val="00120EDD"/>
    <w:rsid w:val="00121F58"/>
    <w:rsid w:val="00123444"/>
    <w:rsid w:val="00123B9B"/>
    <w:rsid w:val="00124F62"/>
    <w:rsid w:val="00130444"/>
    <w:rsid w:val="00133AE8"/>
    <w:rsid w:val="001345BD"/>
    <w:rsid w:val="001349C3"/>
    <w:rsid w:val="00135BD3"/>
    <w:rsid w:val="00137505"/>
    <w:rsid w:val="0014203B"/>
    <w:rsid w:val="00142299"/>
    <w:rsid w:val="00142B41"/>
    <w:rsid w:val="00143F37"/>
    <w:rsid w:val="0014412A"/>
    <w:rsid w:val="00145948"/>
    <w:rsid w:val="0014692F"/>
    <w:rsid w:val="00146DF5"/>
    <w:rsid w:val="00146E2C"/>
    <w:rsid w:val="00146EBB"/>
    <w:rsid w:val="00147E1B"/>
    <w:rsid w:val="00150042"/>
    <w:rsid w:val="00151496"/>
    <w:rsid w:val="00151DC6"/>
    <w:rsid w:val="00152616"/>
    <w:rsid w:val="00152AAF"/>
    <w:rsid w:val="00152B16"/>
    <w:rsid w:val="001534DC"/>
    <w:rsid w:val="00153D3C"/>
    <w:rsid w:val="00154550"/>
    <w:rsid w:val="00154B6D"/>
    <w:rsid w:val="00155008"/>
    <w:rsid w:val="00155136"/>
    <w:rsid w:val="00155256"/>
    <w:rsid w:val="0015687D"/>
    <w:rsid w:val="00156CD6"/>
    <w:rsid w:val="00156EA0"/>
    <w:rsid w:val="00157C10"/>
    <w:rsid w:val="0016071C"/>
    <w:rsid w:val="00160E56"/>
    <w:rsid w:val="00162229"/>
    <w:rsid w:val="00163A15"/>
    <w:rsid w:val="00163E86"/>
    <w:rsid w:val="001676A7"/>
    <w:rsid w:val="001677F4"/>
    <w:rsid w:val="00167E22"/>
    <w:rsid w:val="001717C0"/>
    <w:rsid w:val="00171C0C"/>
    <w:rsid w:val="00171F9F"/>
    <w:rsid w:val="00172550"/>
    <w:rsid w:val="0017363B"/>
    <w:rsid w:val="00174701"/>
    <w:rsid w:val="00174770"/>
    <w:rsid w:val="0017525A"/>
    <w:rsid w:val="001752B9"/>
    <w:rsid w:val="001757F7"/>
    <w:rsid w:val="00176312"/>
    <w:rsid w:val="00176687"/>
    <w:rsid w:val="00176FF5"/>
    <w:rsid w:val="00177B92"/>
    <w:rsid w:val="00180A34"/>
    <w:rsid w:val="00181178"/>
    <w:rsid w:val="0018169D"/>
    <w:rsid w:val="00181B09"/>
    <w:rsid w:val="001820FD"/>
    <w:rsid w:val="00185966"/>
    <w:rsid w:val="001861E3"/>
    <w:rsid w:val="00186E37"/>
    <w:rsid w:val="00187324"/>
    <w:rsid w:val="001873EB"/>
    <w:rsid w:val="00187584"/>
    <w:rsid w:val="00190377"/>
    <w:rsid w:val="0019038A"/>
    <w:rsid w:val="00190EE7"/>
    <w:rsid w:val="00191921"/>
    <w:rsid w:val="00191CD5"/>
    <w:rsid w:val="00192589"/>
    <w:rsid w:val="00193051"/>
    <w:rsid w:val="001938E1"/>
    <w:rsid w:val="001966A5"/>
    <w:rsid w:val="001974B5"/>
    <w:rsid w:val="001A0126"/>
    <w:rsid w:val="001A0519"/>
    <w:rsid w:val="001A10A5"/>
    <w:rsid w:val="001A19A1"/>
    <w:rsid w:val="001A1A35"/>
    <w:rsid w:val="001A1FAF"/>
    <w:rsid w:val="001A2794"/>
    <w:rsid w:val="001A28A6"/>
    <w:rsid w:val="001A2FFC"/>
    <w:rsid w:val="001A33F5"/>
    <w:rsid w:val="001A4378"/>
    <w:rsid w:val="001A4811"/>
    <w:rsid w:val="001A4861"/>
    <w:rsid w:val="001A4CD1"/>
    <w:rsid w:val="001A4D64"/>
    <w:rsid w:val="001A56BC"/>
    <w:rsid w:val="001A5B12"/>
    <w:rsid w:val="001A614D"/>
    <w:rsid w:val="001A6A64"/>
    <w:rsid w:val="001A790C"/>
    <w:rsid w:val="001B09AE"/>
    <w:rsid w:val="001B0A6F"/>
    <w:rsid w:val="001B1B14"/>
    <w:rsid w:val="001B3AA6"/>
    <w:rsid w:val="001B3D6C"/>
    <w:rsid w:val="001B45F0"/>
    <w:rsid w:val="001B46B1"/>
    <w:rsid w:val="001B6DB3"/>
    <w:rsid w:val="001C36CD"/>
    <w:rsid w:val="001C41D5"/>
    <w:rsid w:val="001C5416"/>
    <w:rsid w:val="001C589B"/>
    <w:rsid w:val="001C5C56"/>
    <w:rsid w:val="001C7307"/>
    <w:rsid w:val="001D1B59"/>
    <w:rsid w:val="001D285F"/>
    <w:rsid w:val="001D2D96"/>
    <w:rsid w:val="001D34F9"/>
    <w:rsid w:val="001D4E83"/>
    <w:rsid w:val="001D72E8"/>
    <w:rsid w:val="001E0CAE"/>
    <w:rsid w:val="001E0FFF"/>
    <w:rsid w:val="001E1543"/>
    <w:rsid w:val="001E20A2"/>
    <w:rsid w:val="001E2917"/>
    <w:rsid w:val="001E393A"/>
    <w:rsid w:val="001E400E"/>
    <w:rsid w:val="001E4296"/>
    <w:rsid w:val="001E4948"/>
    <w:rsid w:val="001E4D49"/>
    <w:rsid w:val="001E4DDA"/>
    <w:rsid w:val="001E557A"/>
    <w:rsid w:val="001E57C1"/>
    <w:rsid w:val="001E66EB"/>
    <w:rsid w:val="001E7615"/>
    <w:rsid w:val="001F06D5"/>
    <w:rsid w:val="001F0A3A"/>
    <w:rsid w:val="001F0E50"/>
    <w:rsid w:val="001F1106"/>
    <w:rsid w:val="001F2A13"/>
    <w:rsid w:val="001F37B1"/>
    <w:rsid w:val="001F3AAC"/>
    <w:rsid w:val="001F401A"/>
    <w:rsid w:val="001F49FA"/>
    <w:rsid w:val="001F5C2A"/>
    <w:rsid w:val="001F5F34"/>
    <w:rsid w:val="001F63A2"/>
    <w:rsid w:val="001F6B65"/>
    <w:rsid w:val="001F6BB2"/>
    <w:rsid w:val="00202948"/>
    <w:rsid w:val="00203327"/>
    <w:rsid w:val="00203AC7"/>
    <w:rsid w:val="00205034"/>
    <w:rsid w:val="0020688F"/>
    <w:rsid w:val="002113AE"/>
    <w:rsid w:val="00212EF3"/>
    <w:rsid w:val="00213D7C"/>
    <w:rsid w:val="0021498C"/>
    <w:rsid w:val="00215BFC"/>
    <w:rsid w:val="0021605B"/>
    <w:rsid w:val="00216AEF"/>
    <w:rsid w:val="00217D31"/>
    <w:rsid w:val="00220892"/>
    <w:rsid w:val="002219EE"/>
    <w:rsid w:val="002244EC"/>
    <w:rsid w:val="00224A3B"/>
    <w:rsid w:val="00224BF4"/>
    <w:rsid w:val="00227288"/>
    <w:rsid w:val="00227C09"/>
    <w:rsid w:val="0023097E"/>
    <w:rsid w:val="00230F03"/>
    <w:rsid w:val="00234147"/>
    <w:rsid w:val="00235026"/>
    <w:rsid w:val="00235E7B"/>
    <w:rsid w:val="002368C5"/>
    <w:rsid w:val="00236BF9"/>
    <w:rsid w:val="00237525"/>
    <w:rsid w:val="002376A8"/>
    <w:rsid w:val="002376FC"/>
    <w:rsid w:val="00240D6B"/>
    <w:rsid w:val="00241623"/>
    <w:rsid w:val="00241C59"/>
    <w:rsid w:val="00242767"/>
    <w:rsid w:val="00243DCA"/>
    <w:rsid w:val="0024494C"/>
    <w:rsid w:val="002464F5"/>
    <w:rsid w:val="0024698A"/>
    <w:rsid w:val="00246A8F"/>
    <w:rsid w:val="002501E2"/>
    <w:rsid w:val="00250945"/>
    <w:rsid w:val="0025101F"/>
    <w:rsid w:val="00251706"/>
    <w:rsid w:val="00251B4B"/>
    <w:rsid w:val="00252694"/>
    <w:rsid w:val="00253866"/>
    <w:rsid w:val="00253BEA"/>
    <w:rsid w:val="0025448E"/>
    <w:rsid w:val="00254E8D"/>
    <w:rsid w:val="00255C4C"/>
    <w:rsid w:val="00255E17"/>
    <w:rsid w:val="0025676B"/>
    <w:rsid w:val="00256BCF"/>
    <w:rsid w:val="00256E13"/>
    <w:rsid w:val="002571DC"/>
    <w:rsid w:val="0025741A"/>
    <w:rsid w:val="00257D43"/>
    <w:rsid w:val="0026003D"/>
    <w:rsid w:val="002603F5"/>
    <w:rsid w:val="002606B3"/>
    <w:rsid w:val="00263205"/>
    <w:rsid w:val="002633CD"/>
    <w:rsid w:val="002635CE"/>
    <w:rsid w:val="00264531"/>
    <w:rsid w:val="00265095"/>
    <w:rsid w:val="00265365"/>
    <w:rsid w:val="00265482"/>
    <w:rsid w:val="002654A3"/>
    <w:rsid w:val="00265512"/>
    <w:rsid w:val="0026562C"/>
    <w:rsid w:val="002658A8"/>
    <w:rsid w:val="00265AF4"/>
    <w:rsid w:val="00265D58"/>
    <w:rsid w:val="00265EBE"/>
    <w:rsid w:val="0027044C"/>
    <w:rsid w:val="0027048B"/>
    <w:rsid w:val="00270924"/>
    <w:rsid w:val="00271131"/>
    <w:rsid w:val="002716D9"/>
    <w:rsid w:val="00271AC9"/>
    <w:rsid w:val="00272025"/>
    <w:rsid w:val="00272B3E"/>
    <w:rsid w:val="00273891"/>
    <w:rsid w:val="00273F70"/>
    <w:rsid w:val="002757A8"/>
    <w:rsid w:val="00276F28"/>
    <w:rsid w:val="002773F6"/>
    <w:rsid w:val="002802D3"/>
    <w:rsid w:val="00280E16"/>
    <w:rsid w:val="002816F9"/>
    <w:rsid w:val="0028189D"/>
    <w:rsid w:val="00282E45"/>
    <w:rsid w:val="0028342E"/>
    <w:rsid w:val="002835BA"/>
    <w:rsid w:val="0028410E"/>
    <w:rsid w:val="00284539"/>
    <w:rsid w:val="002848C8"/>
    <w:rsid w:val="00285328"/>
    <w:rsid w:val="00286E02"/>
    <w:rsid w:val="0028737F"/>
    <w:rsid w:val="00287B08"/>
    <w:rsid w:val="002914F5"/>
    <w:rsid w:val="002916BF"/>
    <w:rsid w:val="002917F5"/>
    <w:rsid w:val="00291CC2"/>
    <w:rsid w:val="00292212"/>
    <w:rsid w:val="002929A4"/>
    <w:rsid w:val="00292E30"/>
    <w:rsid w:val="00293087"/>
    <w:rsid w:val="00293459"/>
    <w:rsid w:val="00293D37"/>
    <w:rsid w:val="002941B2"/>
    <w:rsid w:val="002951EB"/>
    <w:rsid w:val="0029527E"/>
    <w:rsid w:val="00295770"/>
    <w:rsid w:val="002968A4"/>
    <w:rsid w:val="00296EB9"/>
    <w:rsid w:val="00297C73"/>
    <w:rsid w:val="002A0304"/>
    <w:rsid w:val="002A0CA7"/>
    <w:rsid w:val="002A1C7D"/>
    <w:rsid w:val="002A20E0"/>
    <w:rsid w:val="002A3AD9"/>
    <w:rsid w:val="002A3D65"/>
    <w:rsid w:val="002A44FA"/>
    <w:rsid w:val="002A4E85"/>
    <w:rsid w:val="002A4E8F"/>
    <w:rsid w:val="002A54A0"/>
    <w:rsid w:val="002A57B8"/>
    <w:rsid w:val="002A5E89"/>
    <w:rsid w:val="002A6146"/>
    <w:rsid w:val="002A62D7"/>
    <w:rsid w:val="002A63AE"/>
    <w:rsid w:val="002A68BE"/>
    <w:rsid w:val="002A72FA"/>
    <w:rsid w:val="002B0649"/>
    <w:rsid w:val="002B2BBB"/>
    <w:rsid w:val="002B3D67"/>
    <w:rsid w:val="002B43FC"/>
    <w:rsid w:val="002B5A04"/>
    <w:rsid w:val="002B614E"/>
    <w:rsid w:val="002B659F"/>
    <w:rsid w:val="002B69AC"/>
    <w:rsid w:val="002B6EE0"/>
    <w:rsid w:val="002B7A72"/>
    <w:rsid w:val="002C19E1"/>
    <w:rsid w:val="002C1ADD"/>
    <w:rsid w:val="002C2A15"/>
    <w:rsid w:val="002C2C5F"/>
    <w:rsid w:val="002C2C9F"/>
    <w:rsid w:val="002C3872"/>
    <w:rsid w:val="002C4C19"/>
    <w:rsid w:val="002C61CA"/>
    <w:rsid w:val="002D1F34"/>
    <w:rsid w:val="002D22A8"/>
    <w:rsid w:val="002D2689"/>
    <w:rsid w:val="002D2EBD"/>
    <w:rsid w:val="002D380B"/>
    <w:rsid w:val="002D4523"/>
    <w:rsid w:val="002D45EE"/>
    <w:rsid w:val="002D5F2F"/>
    <w:rsid w:val="002D618A"/>
    <w:rsid w:val="002D7BE9"/>
    <w:rsid w:val="002E0120"/>
    <w:rsid w:val="002E25FA"/>
    <w:rsid w:val="002E3288"/>
    <w:rsid w:val="002E37BE"/>
    <w:rsid w:val="002E4020"/>
    <w:rsid w:val="002E4C29"/>
    <w:rsid w:val="002E4EB5"/>
    <w:rsid w:val="002E5AE1"/>
    <w:rsid w:val="002E5BFD"/>
    <w:rsid w:val="002E6BFC"/>
    <w:rsid w:val="002E70C1"/>
    <w:rsid w:val="002E79C6"/>
    <w:rsid w:val="002F0213"/>
    <w:rsid w:val="002F0CB6"/>
    <w:rsid w:val="002F1C07"/>
    <w:rsid w:val="002F1E54"/>
    <w:rsid w:val="002F1F61"/>
    <w:rsid w:val="002F2EA1"/>
    <w:rsid w:val="002F46D6"/>
    <w:rsid w:val="002F49E4"/>
    <w:rsid w:val="002F4A1F"/>
    <w:rsid w:val="002F53E4"/>
    <w:rsid w:val="002F555E"/>
    <w:rsid w:val="002F5F37"/>
    <w:rsid w:val="002F70A9"/>
    <w:rsid w:val="003002BD"/>
    <w:rsid w:val="0030259E"/>
    <w:rsid w:val="00303560"/>
    <w:rsid w:val="003049FA"/>
    <w:rsid w:val="00304C7D"/>
    <w:rsid w:val="003053FA"/>
    <w:rsid w:val="00306B7A"/>
    <w:rsid w:val="00306DCA"/>
    <w:rsid w:val="0031177C"/>
    <w:rsid w:val="00311988"/>
    <w:rsid w:val="00311A7C"/>
    <w:rsid w:val="00311F05"/>
    <w:rsid w:val="003128C6"/>
    <w:rsid w:val="00312CD4"/>
    <w:rsid w:val="00314E80"/>
    <w:rsid w:val="00316D23"/>
    <w:rsid w:val="0031717D"/>
    <w:rsid w:val="0031739F"/>
    <w:rsid w:val="00317C29"/>
    <w:rsid w:val="0032008D"/>
    <w:rsid w:val="00320208"/>
    <w:rsid w:val="003206EF"/>
    <w:rsid w:val="00320EB6"/>
    <w:rsid w:val="00321720"/>
    <w:rsid w:val="0032173E"/>
    <w:rsid w:val="003228EE"/>
    <w:rsid w:val="003234C7"/>
    <w:rsid w:val="00323557"/>
    <w:rsid w:val="003241E5"/>
    <w:rsid w:val="003241FC"/>
    <w:rsid w:val="003257BD"/>
    <w:rsid w:val="00325A76"/>
    <w:rsid w:val="0032634C"/>
    <w:rsid w:val="003269D9"/>
    <w:rsid w:val="00326C38"/>
    <w:rsid w:val="0033001E"/>
    <w:rsid w:val="0033141B"/>
    <w:rsid w:val="00331638"/>
    <w:rsid w:val="003332A4"/>
    <w:rsid w:val="0033342A"/>
    <w:rsid w:val="00335638"/>
    <w:rsid w:val="0033566C"/>
    <w:rsid w:val="0033593C"/>
    <w:rsid w:val="00336D2E"/>
    <w:rsid w:val="00337ED9"/>
    <w:rsid w:val="00337F95"/>
    <w:rsid w:val="00340251"/>
    <w:rsid w:val="00340E0F"/>
    <w:rsid w:val="00340EFF"/>
    <w:rsid w:val="00341E50"/>
    <w:rsid w:val="00341E6F"/>
    <w:rsid w:val="00342BF6"/>
    <w:rsid w:val="00342D14"/>
    <w:rsid w:val="003433DF"/>
    <w:rsid w:val="00344BB5"/>
    <w:rsid w:val="003468EF"/>
    <w:rsid w:val="00346B69"/>
    <w:rsid w:val="00346C9D"/>
    <w:rsid w:val="00346CDF"/>
    <w:rsid w:val="00347263"/>
    <w:rsid w:val="00350944"/>
    <w:rsid w:val="003514D8"/>
    <w:rsid w:val="00354AAB"/>
    <w:rsid w:val="00354AB5"/>
    <w:rsid w:val="003551F8"/>
    <w:rsid w:val="003553F4"/>
    <w:rsid w:val="003555AC"/>
    <w:rsid w:val="003557C6"/>
    <w:rsid w:val="00356CD8"/>
    <w:rsid w:val="0036049A"/>
    <w:rsid w:val="00360898"/>
    <w:rsid w:val="00360DD0"/>
    <w:rsid w:val="00361214"/>
    <w:rsid w:val="00361775"/>
    <w:rsid w:val="00361E34"/>
    <w:rsid w:val="00362B1C"/>
    <w:rsid w:val="00363573"/>
    <w:rsid w:val="003647AD"/>
    <w:rsid w:val="003659F5"/>
    <w:rsid w:val="0036660D"/>
    <w:rsid w:val="00366946"/>
    <w:rsid w:val="00367B95"/>
    <w:rsid w:val="00367DE1"/>
    <w:rsid w:val="003722CA"/>
    <w:rsid w:val="00372A51"/>
    <w:rsid w:val="00373075"/>
    <w:rsid w:val="00373174"/>
    <w:rsid w:val="003732F8"/>
    <w:rsid w:val="00375230"/>
    <w:rsid w:val="00375A3E"/>
    <w:rsid w:val="00377718"/>
    <w:rsid w:val="00377D1D"/>
    <w:rsid w:val="00382731"/>
    <w:rsid w:val="003833DC"/>
    <w:rsid w:val="0038439D"/>
    <w:rsid w:val="00384565"/>
    <w:rsid w:val="00384F73"/>
    <w:rsid w:val="00385B81"/>
    <w:rsid w:val="00387898"/>
    <w:rsid w:val="00390E05"/>
    <w:rsid w:val="00390F09"/>
    <w:rsid w:val="003911B9"/>
    <w:rsid w:val="00391992"/>
    <w:rsid w:val="00391BC2"/>
    <w:rsid w:val="00394325"/>
    <w:rsid w:val="003958B4"/>
    <w:rsid w:val="003A243C"/>
    <w:rsid w:val="003A29D6"/>
    <w:rsid w:val="003A4377"/>
    <w:rsid w:val="003A4723"/>
    <w:rsid w:val="003A4B87"/>
    <w:rsid w:val="003A5112"/>
    <w:rsid w:val="003A520C"/>
    <w:rsid w:val="003A548C"/>
    <w:rsid w:val="003A5B9D"/>
    <w:rsid w:val="003A6348"/>
    <w:rsid w:val="003A6E9E"/>
    <w:rsid w:val="003A79DF"/>
    <w:rsid w:val="003B1502"/>
    <w:rsid w:val="003B2277"/>
    <w:rsid w:val="003B37E0"/>
    <w:rsid w:val="003B38C5"/>
    <w:rsid w:val="003B3990"/>
    <w:rsid w:val="003B4C9B"/>
    <w:rsid w:val="003B5664"/>
    <w:rsid w:val="003B6DDF"/>
    <w:rsid w:val="003B7C8F"/>
    <w:rsid w:val="003B7EC9"/>
    <w:rsid w:val="003C009F"/>
    <w:rsid w:val="003C0794"/>
    <w:rsid w:val="003C11EA"/>
    <w:rsid w:val="003C16ED"/>
    <w:rsid w:val="003C213A"/>
    <w:rsid w:val="003C2327"/>
    <w:rsid w:val="003C26A1"/>
    <w:rsid w:val="003C272B"/>
    <w:rsid w:val="003C2DB8"/>
    <w:rsid w:val="003C33CA"/>
    <w:rsid w:val="003C36D7"/>
    <w:rsid w:val="003C3940"/>
    <w:rsid w:val="003C4628"/>
    <w:rsid w:val="003C6602"/>
    <w:rsid w:val="003C6F48"/>
    <w:rsid w:val="003D0E6C"/>
    <w:rsid w:val="003D14FC"/>
    <w:rsid w:val="003D2C63"/>
    <w:rsid w:val="003D363C"/>
    <w:rsid w:val="003D4640"/>
    <w:rsid w:val="003D72D0"/>
    <w:rsid w:val="003D733E"/>
    <w:rsid w:val="003D7877"/>
    <w:rsid w:val="003E12DB"/>
    <w:rsid w:val="003E3444"/>
    <w:rsid w:val="003E52FB"/>
    <w:rsid w:val="003E6A51"/>
    <w:rsid w:val="003E726E"/>
    <w:rsid w:val="003E74E6"/>
    <w:rsid w:val="003F0047"/>
    <w:rsid w:val="003F0901"/>
    <w:rsid w:val="003F2AF9"/>
    <w:rsid w:val="003F3795"/>
    <w:rsid w:val="003F4642"/>
    <w:rsid w:val="003F556F"/>
    <w:rsid w:val="00400A19"/>
    <w:rsid w:val="00400B50"/>
    <w:rsid w:val="0040156C"/>
    <w:rsid w:val="004019EA"/>
    <w:rsid w:val="00401E23"/>
    <w:rsid w:val="004042C4"/>
    <w:rsid w:val="00404675"/>
    <w:rsid w:val="00404A49"/>
    <w:rsid w:val="0040583E"/>
    <w:rsid w:val="00405C4B"/>
    <w:rsid w:val="00406ECB"/>
    <w:rsid w:val="00407866"/>
    <w:rsid w:val="004078AC"/>
    <w:rsid w:val="00407ADB"/>
    <w:rsid w:val="00412E15"/>
    <w:rsid w:val="00413987"/>
    <w:rsid w:val="00413A22"/>
    <w:rsid w:val="00414255"/>
    <w:rsid w:val="0041458E"/>
    <w:rsid w:val="0041515D"/>
    <w:rsid w:val="0041521B"/>
    <w:rsid w:val="0041583B"/>
    <w:rsid w:val="00415AE4"/>
    <w:rsid w:val="00415B4E"/>
    <w:rsid w:val="00416EA8"/>
    <w:rsid w:val="0041791F"/>
    <w:rsid w:val="0042010F"/>
    <w:rsid w:val="00420B8D"/>
    <w:rsid w:val="0042196D"/>
    <w:rsid w:val="00421B1F"/>
    <w:rsid w:val="00423753"/>
    <w:rsid w:val="004242CB"/>
    <w:rsid w:val="00424A5F"/>
    <w:rsid w:val="00426D72"/>
    <w:rsid w:val="004309BD"/>
    <w:rsid w:val="004321F8"/>
    <w:rsid w:val="00432762"/>
    <w:rsid w:val="00432AB4"/>
    <w:rsid w:val="00433AB5"/>
    <w:rsid w:val="00434AB3"/>
    <w:rsid w:val="004352CB"/>
    <w:rsid w:val="00437609"/>
    <w:rsid w:val="00440E4B"/>
    <w:rsid w:val="00441F1C"/>
    <w:rsid w:val="00443167"/>
    <w:rsid w:val="004438C6"/>
    <w:rsid w:val="00444BF8"/>
    <w:rsid w:val="00445492"/>
    <w:rsid w:val="00450C15"/>
    <w:rsid w:val="0045105B"/>
    <w:rsid w:val="00451F9D"/>
    <w:rsid w:val="00452B51"/>
    <w:rsid w:val="00453765"/>
    <w:rsid w:val="004539E3"/>
    <w:rsid w:val="00453A89"/>
    <w:rsid w:val="004561DC"/>
    <w:rsid w:val="00457A5B"/>
    <w:rsid w:val="00457CD6"/>
    <w:rsid w:val="0046075B"/>
    <w:rsid w:val="00461AF9"/>
    <w:rsid w:val="00461B48"/>
    <w:rsid w:val="00462685"/>
    <w:rsid w:val="00462BE8"/>
    <w:rsid w:val="00463147"/>
    <w:rsid w:val="00463E57"/>
    <w:rsid w:val="00463FEE"/>
    <w:rsid w:val="00464C8C"/>
    <w:rsid w:val="00464EC7"/>
    <w:rsid w:val="00465146"/>
    <w:rsid w:val="00465398"/>
    <w:rsid w:val="00465A70"/>
    <w:rsid w:val="00465D8D"/>
    <w:rsid w:val="00466C0F"/>
    <w:rsid w:val="00466E65"/>
    <w:rsid w:val="004675DF"/>
    <w:rsid w:val="00467709"/>
    <w:rsid w:val="004707AB"/>
    <w:rsid w:val="0047098E"/>
    <w:rsid w:val="00473191"/>
    <w:rsid w:val="00473902"/>
    <w:rsid w:val="00474EBB"/>
    <w:rsid w:val="0047531C"/>
    <w:rsid w:val="00475738"/>
    <w:rsid w:val="00475E9C"/>
    <w:rsid w:val="004765D9"/>
    <w:rsid w:val="00477943"/>
    <w:rsid w:val="00477F98"/>
    <w:rsid w:val="00480AF3"/>
    <w:rsid w:val="00481282"/>
    <w:rsid w:val="004820C0"/>
    <w:rsid w:val="0048317C"/>
    <w:rsid w:val="00483788"/>
    <w:rsid w:val="0048422E"/>
    <w:rsid w:val="00484594"/>
    <w:rsid w:val="00484A97"/>
    <w:rsid w:val="00490E42"/>
    <w:rsid w:val="0049165F"/>
    <w:rsid w:val="00491915"/>
    <w:rsid w:val="00491A08"/>
    <w:rsid w:val="00492077"/>
    <w:rsid w:val="00492929"/>
    <w:rsid w:val="00494784"/>
    <w:rsid w:val="00494B90"/>
    <w:rsid w:val="00495349"/>
    <w:rsid w:val="00495712"/>
    <w:rsid w:val="00496128"/>
    <w:rsid w:val="0049702F"/>
    <w:rsid w:val="004974B0"/>
    <w:rsid w:val="00497B8C"/>
    <w:rsid w:val="00497CEA"/>
    <w:rsid w:val="004A0EC7"/>
    <w:rsid w:val="004A10D4"/>
    <w:rsid w:val="004A1366"/>
    <w:rsid w:val="004A1529"/>
    <w:rsid w:val="004A2EA0"/>
    <w:rsid w:val="004A302F"/>
    <w:rsid w:val="004A45F4"/>
    <w:rsid w:val="004A4896"/>
    <w:rsid w:val="004A4B3F"/>
    <w:rsid w:val="004A734E"/>
    <w:rsid w:val="004A745A"/>
    <w:rsid w:val="004A7D6A"/>
    <w:rsid w:val="004B004A"/>
    <w:rsid w:val="004B045C"/>
    <w:rsid w:val="004B05E0"/>
    <w:rsid w:val="004B0926"/>
    <w:rsid w:val="004B0DB6"/>
    <w:rsid w:val="004B1F32"/>
    <w:rsid w:val="004B29F7"/>
    <w:rsid w:val="004B45A0"/>
    <w:rsid w:val="004B4C5A"/>
    <w:rsid w:val="004B4F3D"/>
    <w:rsid w:val="004B55BF"/>
    <w:rsid w:val="004B64BA"/>
    <w:rsid w:val="004B6C35"/>
    <w:rsid w:val="004B76B6"/>
    <w:rsid w:val="004C18AE"/>
    <w:rsid w:val="004C2355"/>
    <w:rsid w:val="004C3857"/>
    <w:rsid w:val="004C4754"/>
    <w:rsid w:val="004C4D7B"/>
    <w:rsid w:val="004C62C6"/>
    <w:rsid w:val="004C70FF"/>
    <w:rsid w:val="004D084A"/>
    <w:rsid w:val="004D0A97"/>
    <w:rsid w:val="004D30C9"/>
    <w:rsid w:val="004D3276"/>
    <w:rsid w:val="004D3D79"/>
    <w:rsid w:val="004D3E8D"/>
    <w:rsid w:val="004D553E"/>
    <w:rsid w:val="004D55D1"/>
    <w:rsid w:val="004D58AA"/>
    <w:rsid w:val="004D74CD"/>
    <w:rsid w:val="004D792E"/>
    <w:rsid w:val="004E0164"/>
    <w:rsid w:val="004E310F"/>
    <w:rsid w:val="004E3827"/>
    <w:rsid w:val="004E3F2C"/>
    <w:rsid w:val="004E54C4"/>
    <w:rsid w:val="004E6BFA"/>
    <w:rsid w:val="004E760D"/>
    <w:rsid w:val="004F1B91"/>
    <w:rsid w:val="004F1BBD"/>
    <w:rsid w:val="004F28FD"/>
    <w:rsid w:val="004F2F1E"/>
    <w:rsid w:val="004F3B7E"/>
    <w:rsid w:val="004F4792"/>
    <w:rsid w:val="004F5512"/>
    <w:rsid w:val="004F57E3"/>
    <w:rsid w:val="004F5AE1"/>
    <w:rsid w:val="004F642D"/>
    <w:rsid w:val="004F6A07"/>
    <w:rsid w:val="004F6DF7"/>
    <w:rsid w:val="004F712F"/>
    <w:rsid w:val="004F796B"/>
    <w:rsid w:val="004F7C54"/>
    <w:rsid w:val="00500593"/>
    <w:rsid w:val="00500E53"/>
    <w:rsid w:val="00501560"/>
    <w:rsid w:val="00501D91"/>
    <w:rsid w:val="00502A34"/>
    <w:rsid w:val="00502E78"/>
    <w:rsid w:val="00502EF1"/>
    <w:rsid w:val="0050305C"/>
    <w:rsid w:val="00504014"/>
    <w:rsid w:val="00506DA2"/>
    <w:rsid w:val="005070E0"/>
    <w:rsid w:val="005078F0"/>
    <w:rsid w:val="00511B29"/>
    <w:rsid w:val="00513070"/>
    <w:rsid w:val="00513946"/>
    <w:rsid w:val="005150C8"/>
    <w:rsid w:val="005152B1"/>
    <w:rsid w:val="00515B5B"/>
    <w:rsid w:val="005173D6"/>
    <w:rsid w:val="005217C0"/>
    <w:rsid w:val="005224E6"/>
    <w:rsid w:val="00523A17"/>
    <w:rsid w:val="00525B15"/>
    <w:rsid w:val="00527862"/>
    <w:rsid w:val="00527AB7"/>
    <w:rsid w:val="00527B31"/>
    <w:rsid w:val="00527BD8"/>
    <w:rsid w:val="00527D5C"/>
    <w:rsid w:val="00530282"/>
    <w:rsid w:val="005311DE"/>
    <w:rsid w:val="005318DB"/>
    <w:rsid w:val="00531FE2"/>
    <w:rsid w:val="005322AF"/>
    <w:rsid w:val="005322DF"/>
    <w:rsid w:val="0053433A"/>
    <w:rsid w:val="005354D5"/>
    <w:rsid w:val="0053653B"/>
    <w:rsid w:val="00536DD3"/>
    <w:rsid w:val="00537FF8"/>
    <w:rsid w:val="0054016B"/>
    <w:rsid w:val="00540415"/>
    <w:rsid w:val="005405A9"/>
    <w:rsid w:val="00540622"/>
    <w:rsid w:val="00540E50"/>
    <w:rsid w:val="00540EB2"/>
    <w:rsid w:val="0054118A"/>
    <w:rsid w:val="00541A12"/>
    <w:rsid w:val="0054232D"/>
    <w:rsid w:val="00543D0B"/>
    <w:rsid w:val="00544592"/>
    <w:rsid w:val="00544A17"/>
    <w:rsid w:val="0054512D"/>
    <w:rsid w:val="00545711"/>
    <w:rsid w:val="00545834"/>
    <w:rsid w:val="00545A59"/>
    <w:rsid w:val="00545C60"/>
    <w:rsid w:val="00545EBA"/>
    <w:rsid w:val="00546B9D"/>
    <w:rsid w:val="005471BA"/>
    <w:rsid w:val="005477AC"/>
    <w:rsid w:val="005501A5"/>
    <w:rsid w:val="00550EF2"/>
    <w:rsid w:val="00552C29"/>
    <w:rsid w:val="005534E8"/>
    <w:rsid w:val="005536C6"/>
    <w:rsid w:val="005548BE"/>
    <w:rsid w:val="005552C9"/>
    <w:rsid w:val="00556191"/>
    <w:rsid w:val="00557164"/>
    <w:rsid w:val="00557AFA"/>
    <w:rsid w:val="00557B70"/>
    <w:rsid w:val="0056001B"/>
    <w:rsid w:val="00560F68"/>
    <w:rsid w:val="00561B1B"/>
    <w:rsid w:val="0056260F"/>
    <w:rsid w:val="005631DD"/>
    <w:rsid w:val="0056335C"/>
    <w:rsid w:val="00564140"/>
    <w:rsid w:val="005658F1"/>
    <w:rsid w:val="00566679"/>
    <w:rsid w:val="005668D2"/>
    <w:rsid w:val="00567123"/>
    <w:rsid w:val="00572387"/>
    <w:rsid w:val="0057293A"/>
    <w:rsid w:val="005733F5"/>
    <w:rsid w:val="00573D72"/>
    <w:rsid w:val="005762F1"/>
    <w:rsid w:val="00576572"/>
    <w:rsid w:val="005769AF"/>
    <w:rsid w:val="005772F3"/>
    <w:rsid w:val="005779C5"/>
    <w:rsid w:val="00581F65"/>
    <w:rsid w:val="0058248B"/>
    <w:rsid w:val="00583078"/>
    <w:rsid w:val="005830C6"/>
    <w:rsid w:val="005836A4"/>
    <w:rsid w:val="00583CC8"/>
    <w:rsid w:val="00584F1E"/>
    <w:rsid w:val="005851B2"/>
    <w:rsid w:val="005856BB"/>
    <w:rsid w:val="00585FA9"/>
    <w:rsid w:val="0058601D"/>
    <w:rsid w:val="00586584"/>
    <w:rsid w:val="005870E0"/>
    <w:rsid w:val="00590454"/>
    <w:rsid w:val="0059065C"/>
    <w:rsid w:val="00591242"/>
    <w:rsid w:val="00592290"/>
    <w:rsid w:val="00592E93"/>
    <w:rsid w:val="0059329B"/>
    <w:rsid w:val="005936EF"/>
    <w:rsid w:val="00594343"/>
    <w:rsid w:val="0059468B"/>
    <w:rsid w:val="005946F2"/>
    <w:rsid w:val="00595F32"/>
    <w:rsid w:val="005A1746"/>
    <w:rsid w:val="005A2682"/>
    <w:rsid w:val="005A2C23"/>
    <w:rsid w:val="005A3389"/>
    <w:rsid w:val="005A3390"/>
    <w:rsid w:val="005A47FE"/>
    <w:rsid w:val="005A5737"/>
    <w:rsid w:val="005A5EA3"/>
    <w:rsid w:val="005A62CB"/>
    <w:rsid w:val="005A7C95"/>
    <w:rsid w:val="005B0887"/>
    <w:rsid w:val="005B13DF"/>
    <w:rsid w:val="005B1663"/>
    <w:rsid w:val="005B1FCC"/>
    <w:rsid w:val="005B2A5F"/>
    <w:rsid w:val="005B3003"/>
    <w:rsid w:val="005B3100"/>
    <w:rsid w:val="005B3555"/>
    <w:rsid w:val="005B43EC"/>
    <w:rsid w:val="005B5D19"/>
    <w:rsid w:val="005B5D32"/>
    <w:rsid w:val="005B5D33"/>
    <w:rsid w:val="005B5FDC"/>
    <w:rsid w:val="005B6E1A"/>
    <w:rsid w:val="005C0020"/>
    <w:rsid w:val="005C0EF3"/>
    <w:rsid w:val="005C1E29"/>
    <w:rsid w:val="005C2B1D"/>
    <w:rsid w:val="005C46CB"/>
    <w:rsid w:val="005C6CE7"/>
    <w:rsid w:val="005D0C6B"/>
    <w:rsid w:val="005D0E16"/>
    <w:rsid w:val="005D2248"/>
    <w:rsid w:val="005D2A50"/>
    <w:rsid w:val="005D33E8"/>
    <w:rsid w:val="005D4435"/>
    <w:rsid w:val="005D4521"/>
    <w:rsid w:val="005D50A4"/>
    <w:rsid w:val="005D53E6"/>
    <w:rsid w:val="005D5474"/>
    <w:rsid w:val="005D60A9"/>
    <w:rsid w:val="005D6502"/>
    <w:rsid w:val="005D71C1"/>
    <w:rsid w:val="005D7A24"/>
    <w:rsid w:val="005D7A7F"/>
    <w:rsid w:val="005E0390"/>
    <w:rsid w:val="005E0A27"/>
    <w:rsid w:val="005E1D2A"/>
    <w:rsid w:val="005E22F2"/>
    <w:rsid w:val="005E2684"/>
    <w:rsid w:val="005E39C2"/>
    <w:rsid w:val="005E39EF"/>
    <w:rsid w:val="005E3AB7"/>
    <w:rsid w:val="005E5289"/>
    <w:rsid w:val="005E52CA"/>
    <w:rsid w:val="005E7627"/>
    <w:rsid w:val="005F16CA"/>
    <w:rsid w:val="005F1E99"/>
    <w:rsid w:val="005F24CF"/>
    <w:rsid w:val="005F32D8"/>
    <w:rsid w:val="005F34A5"/>
    <w:rsid w:val="005F3DF6"/>
    <w:rsid w:val="005F3DFB"/>
    <w:rsid w:val="005F4C07"/>
    <w:rsid w:val="005F4F2A"/>
    <w:rsid w:val="005F5040"/>
    <w:rsid w:val="005F53AE"/>
    <w:rsid w:val="005F5829"/>
    <w:rsid w:val="005F5AC3"/>
    <w:rsid w:val="005F610C"/>
    <w:rsid w:val="005F6D81"/>
    <w:rsid w:val="00600649"/>
    <w:rsid w:val="00601B96"/>
    <w:rsid w:val="00601E22"/>
    <w:rsid w:val="00602ED6"/>
    <w:rsid w:val="00603AE9"/>
    <w:rsid w:val="00603D4E"/>
    <w:rsid w:val="006055C1"/>
    <w:rsid w:val="006062C0"/>
    <w:rsid w:val="00606751"/>
    <w:rsid w:val="006069BF"/>
    <w:rsid w:val="006105C0"/>
    <w:rsid w:val="0061190B"/>
    <w:rsid w:val="00611C84"/>
    <w:rsid w:val="0061449B"/>
    <w:rsid w:val="006147D4"/>
    <w:rsid w:val="006148E7"/>
    <w:rsid w:val="006150DC"/>
    <w:rsid w:val="006150DD"/>
    <w:rsid w:val="00615678"/>
    <w:rsid w:val="006158AA"/>
    <w:rsid w:val="00617255"/>
    <w:rsid w:val="00617F51"/>
    <w:rsid w:val="006208F1"/>
    <w:rsid w:val="006209AF"/>
    <w:rsid w:val="00620AC9"/>
    <w:rsid w:val="00621ADA"/>
    <w:rsid w:val="006221B2"/>
    <w:rsid w:val="00622753"/>
    <w:rsid w:val="00623071"/>
    <w:rsid w:val="00623B37"/>
    <w:rsid w:val="00626844"/>
    <w:rsid w:val="00627E9A"/>
    <w:rsid w:val="006301FC"/>
    <w:rsid w:val="00630624"/>
    <w:rsid w:val="006307C0"/>
    <w:rsid w:val="00630AA3"/>
    <w:rsid w:val="006313BF"/>
    <w:rsid w:val="00633AB0"/>
    <w:rsid w:val="00634AEC"/>
    <w:rsid w:val="006353E9"/>
    <w:rsid w:val="00635BA4"/>
    <w:rsid w:val="00636824"/>
    <w:rsid w:val="006408F9"/>
    <w:rsid w:val="00640B4F"/>
    <w:rsid w:val="0064122A"/>
    <w:rsid w:val="00642CF5"/>
    <w:rsid w:val="0064397B"/>
    <w:rsid w:val="00643A5E"/>
    <w:rsid w:val="006443FE"/>
    <w:rsid w:val="00644BF7"/>
    <w:rsid w:val="00644D94"/>
    <w:rsid w:val="006478D9"/>
    <w:rsid w:val="00647DA7"/>
    <w:rsid w:val="0065008B"/>
    <w:rsid w:val="0065024A"/>
    <w:rsid w:val="0065072C"/>
    <w:rsid w:val="00650C4A"/>
    <w:rsid w:val="0065110C"/>
    <w:rsid w:val="0065172D"/>
    <w:rsid w:val="0065290B"/>
    <w:rsid w:val="00654424"/>
    <w:rsid w:val="00655698"/>
    <w:rsid w:val="00656817"/>
    <w:rsid w:val="00657B3E"/>
    <w:rsid w:val="0066005E"/>
    <w:rsid w:val="0066034D"/>
    <w:rsid w:val="00660F04"/>
    <w:rsid w:val="00661A60"/>
    <w:rsid w:val="00661CB3"/>
    <w:rsid w:val="00662240"/>
    <w:rsid w:val="00662256"/>
    <w:rsid w:val="00662AF9"/>
    <w:rsid w:val="00662AFD"/>
    <w:rsid w:val="006632B1"/>
    <w:rsid w:val="00663E4C"/>
    <w:rsid w:val="00664D59"/>
    <w:rsid w:val="00665235"/>
    <w:rsid w:val="00665DAB"/>
    <w:rsid w:val="00666880"/>
    <w:rsid w:val="006668A8"/>
    <w:rsid w:val="0066712D"/>
    <w:rsid w:val="00667C97"/>
    <w:rsid w:val="0067124F"/>
    <w:rsid w:val="00671509"/>
    <w:rsid w:val="00671EE3"/>
    <w:rsid w:val="00672EBA"/>
    <w:rsid w:val="00674641"/>
    <w:rsid w:val="00674B82"/>
    <w:rsid w:val="00676C7B"/>
    <w:rsid w:val="00676D22"/>
    <w:rsid w:val="00680C57"/>
    <w:rsid w:val="00681BE2"/>
    <w:rsid w:val="00682342"/>
    <w:rsid w:val="00684821"/>
    <w:rsid w:val="00684F9B"/>
    <w:rsid w:val="00686745"/>
    <w:rsid w:val="0068680E"/>
    <w:rsid w:val="00687220"/>
    <w:rsid w:val="006902BF"/>
    <w:rsid w:val="006925BF"/>
    <w:rsid w:val="006929C7"/>
    <w:rsid w:val="00692B8E"/>
    <w:rsid w:val="0069427C"/>
    <w:rsid w:val="0069465D"/>
    <w:rsid w:val="00694B15"/>
    <w:rsid w:val="00694C2B"/>
    <w:rsid w:val="0069517A"/>
    <w:rsid w:val="006957A7"/>
    <w:rsid w:val="006964DB"/>
    <w:rsid w:val="00696B4B"/>
    <w:rsid w:val="006970E4"/>
    <w:rsid w:val="006971DE"/>
    <w:rsid w:val="006A04CD"/>
    <w:rsid w:val="006A0823"/>
    <w:rsid w:val="006A0A7B"/>
    <w:rsid w:val="006A2166"/>
    <w:rsid w:val="006A3F49"/>
    <w:rsid w:val="006A57B9"/>
    <w:rsid w:val="006A5CB8"/>
    <w:rsid w:val="006A78C0"/>
    <w:rsid w:val="006B0204"/>
    <w:rsid w:val="006B0C34"/>
    <w:rsid w:val="006B1F34"/>
    <w:rsid w:val="006B2128"/>
    <w:rsid w:val="006B22CE"/>
    <w:rsid w:val="006B2435"/>
    <w:rsid w:val="006B27D6"/>
    <w:rsid w:val="006B2C05"/>
    <w:rsid w:val="006B54FF"/>
    <w:rsid w:val="006B569F"/>
    <w:rsid w:val="006B5865"/>
    <w:rsid w:val="006B6A3D"/>
    <w:rsid w:val="006B71BC"/>
    <w:rsid w:val="006B72E4"/>
    <w:rsid w:val="006B7C36"/>
    <w:rsid w:val="006C1A17"/>
    <w:rsid w:val="006C3956"/>
    <w:rsid w:val="006C44D8"/>
    <w:rsid w:val="006C4AFA"/>
    <w:rsid w:val="006C5A82"/>
    <w:rsid w:val="006C640B"/>
    <w:rsid w:val="006C67DC"/>
    <w:rsid w:val="006C6AE3"/>
    <w:rsid w:val="006C7D45"/>
    <w:rsid w:val="006D23C5"/>
    <w:rsid w:val="006D2732"/>
    <w:rsid w:val="006D2BD0"/>
    <w:rsid w:val="006D3883"/>
    <w:rsid w:val="006D3CC0"/>
    <w:rsid w:val="006D3F2C"/>
    <w:rsid w:val="006D536C"/>
    <w:rsid w:val="006D5857"/>
    <w:rsid w:val="006D59C0"/>
    <w:rsid w:val="006D67A8"/>
    <w:rsid w:val="006D79F5"/>
    <w:rsid w:val="006D7DC3"/>
    <w:rsid w:val="006E0B84"/>
    <w:rsid w:val="006E2963"/>
    <w:rsid w:val="006E29B2"/>
    <w:rsid w:val="006E3112"/>
    <w:rsid w:val="006E32BE"/>
    <w:rsid w:val="006E481F"/>
    <w:rsid w:val="006E4C7E"/>
    <w:rsid w:val="006E4D08"/>
    <w:rsid w:val="006E5327"/>
    <w:rsid w:val="006E68A5"/>
    <w:rsid w:val="006E6CF3"/>
    <w:rsid w:val="006E7491"/>
    <w:rsid w:val="006F052C"/>
    <w:rsid w:val="006F1504"/>
    <w:rsid w:val="006F1D82"/>
    <w:rsid w:val="006F1EB2"/>
    <w:rsid w:val="006F24BC"/>
    <w:rsid w:val="006F2F8C"/>
    <w:rsid w:val="006F4813"/>
    <w:rsid w:val="006F49FD"/>
    <w:rsid w:val="006F534C"/>
    <w:rsid w:val="006F77EC"/>
    <w:rsid w:val="006F78FF"/>
    <w:rsid w:val="00700FEC"/>
    <w:rsid w:val="00701363"/>
    <w:rsid w:val="00703852"/>
    <w:rsid w:val="007043AA"/>
    <w:rsid w:val="007053C2"/>
    <w:rsid w:val="007063A1"/>
    <w:rsid w:val="00706E70"/>
    <w:rsid w:val="00707754"/>
    <w:rsid w:val="00711434"/>
    <w:rsid w:val="007115DB"/>
    <w:rsid w:val="00712632"/>
    <w:rsid w:val="00713629"/>
    <w:rsid w:val="00715BD5"/>
    <w:rsid w:val="007160D5"/>
    <w:rsid w:val="00716387"/>
    <w:rsid w:val="00717E61"/>
    <w:rsid w:val="00720CA0"/>
    <w:rsid w:val="007210BF"/>
    <w:rsid w:val="00722692"/>
    <w:rsid w:val="00722950"/>
    <w:rsid w:val="00724BAF"/>
    <w:rsid w:val="00724F87"/>
    <w:rsid w:val="00725515"/>
    <w:rsid w:val="007259B7"/>
    <w:rsid w:val="00726232"/>
    <w:rsid w:val="00726B59"/>
    <w:rsid w:val="0072721A"/>
    <w:rsid w:val="00731B27"/>
    <w:rsid w:val="00733562"/>
    <w:rsid w:val="00733723"/>
    <w:rsid w:val="00733F02"/>
    <w:rsid w:val="007360BD"/>
    <w:rsid w:val="0073700B"/>
    <w:rsid w:val="0073765C"/>
    <w:rsid w:val="0074115F"/>
    <w:rsid w:val="00741237"/>
    <w:rsid w:val="00741F0E"/>
    <w:rsid w:val="00742CFF"/>
    <w:rsid w:val="00743AC6"/>
    <w:rsid w:val="00744D46"/>
    <w:rsid w:val="00744E72"/>
    <w:rsid w:val="00745274"/>
    <w:rsid w:val="00745F8F"/>
    <w:rsid w:val="00750586"/>
    <w:rsid w:val="00751B81"/>
    <w:rsid w:val="007524DC"/>
    <w:rsid w:val="00754099"/>
    <w:rsid w:val="00754C41"/>
    <w:rsid w:val="0075553E"/>
    <w:rsid w:val="0075589B"/>
    <w:rsid w:val="007566BC"/>
    <w:rsid w:val="00756837"/>
    <w:rsid w:val="00756C38"/>
    <w:rsid w:val="00760DE7"/>
    <w:rsid w:val="00761356"/>
    <w:rsid w:val="00762F84"/>
    <w:rsid w:val="0076305C"/>
    <w:rsid w:val="00763060"/>
    <w:rsid w:val="007635A9"/>
    <w:rsid w:val="007640FA"/>
    <w:rsid w:val="00764AA7"/>
    <w:rsid w:val="00764F26"/>
    <w:rsid w:val="007671C5"/>
    <w:rsid w:val="007708B8"/>
    <w:rsid w:val="00771793"/>
    <w:rsid w:val="00771D70"/>
    <w:rsid w:val="00771F31"/>
    <w:rsid w:val="007743D2"/>
    <w:rsid w:val="00774E55"/>
    <w:rsid w:val="00777CCD"/>
    <w:rsid w:val="00780C7C"/>
    <w:rsid w:val="0078150D"/>
    <w:rsid w:val="0078200E"/>
    <w:rsid w:val="00782352"/>
    <w:rsid w:val="00782A8B"/>
    <w:rsid w:val="00782D7F"/>
    <w:rsid w:val="00783019"/>
    <w:rsid w:val="00783597"/>
    <w:rsid w:val="00783CCF"/>
    <w:rsid w:val="00784BEC"/>
    <w:rsid w:val="0078577D"/>
    <w:rsid w:val="00785E94"/>
    <w:rsid w:val="00786DE8"/>
    <w:rsid w:val="00787FB6"/>
    <w:rsid w:val="007907D7"/>
    <w:rsid w:val="00790BA8"/>
    <w:rsid w:val="007941DA"/>
    <w:rsid w:val="00794CCC"/>
    <w:rsid w:val="00794D5D"/>
    <w:rsid w:val="00795992"/>
    <w:rsid w:val="00795EFA"/>
    <w:rsid w:val="00796645"/>
    <w:rsid w:val="00797BAF"/>
    <w:rsid w:val="007A1121"/>
    <w:rsid w:val="007A2518"/>
    <w:rsid w:val="007A3F7C"/>
    <w:rsid w:val="007A4F37"/>
    <w:rsid w:val="007A7185"/>
    <w:rsid w:val="007A78B5"/>
    <w:rsid w:val="007A7D39"/>
    <w:rsid w:val="007A7ECE"/>
    <w:rsid w:val="007A7F1D"/>
    <w:rsid w:val="007B0812"/>
    <w:rsid w:val="007B0C41"/>
    <w:rsid w:val="007B1AEE"/>
    <w:rsid w:val="007B2ACA"/>
    <w:rsid w:val="007B406C"/>
    <w:rsid w:val="007B4C19"/>
    <w:rsid w:val="007B57F5"/>
    <w:rsid w:val="007B5CD8"/>
    <w:rsid w:val="007B66C2"/>
    <w:rsid w:val="007B6950"/>
    <w:rsid w:val="007B6A03"/>
    <w:rsid w:val="007C0113"/>
    <w:rsid w:val="007C0F83"/>
    <w:rsid w:val="007C1929"/>
    <w:rsid w:val="007C2927"/>
    <w:rsid w:val="007C2C41"/>
    <w:rsid w:val="007C39BB"/>
    <w:rsid w:val="007C3DA5"/>
    <w:rsid w:val="007C42E6"/>
    <w:rsid w:val="007C4972"/>
    <w:rsid w:val="007C4B52"/>
    <w:rsid w:val="007C52DE"/>
    <w:rsid w:val="007C5D45"/>
    <w:rsid w:val="007C642F"/>
    <w:rsid w:val="007C6EED"/>
    <w:rsid w:val="007C7EE1"/>
    <w:rsid w:val="007D12CB"/>
    <w:rsid w:val="007D191B"/>
    <w:rsid w:val="007D1981"/>
    <w:rsid w:val="007D3554"/>
    <w:rsid w:val="007D3B9A"/>
    <w:rsid w:val="007D3E95"/>
    <w:rsid w:val="007D4083"/>
    <w:rsid w:val="007D5EC1"/>
    <w:rsid w:val="007D6D61"/>
    <w:rsid w:val="007D7399"/>
    <w:rsid w:val="007E28A6"/>
    <w:rsid w:val="007E335B"/>
    <w:rsid w:val="007E3AF1"/>
    <w:rsid w:val="007E40BF"/>
    <w:rsid w:val="007E43C6"/>
    <w:rsid w:val="007E44CB"/>
    <w:rsid w:val="007E52B3"/>
    <w:rsid w:val="007E5B04"/>
    <w:rsid w:val="007E6193"/>
    <w:rsid w:val="007E7328"/>
    <w:rsid w:val="007F0CD9"/>
    <w:rsid w:val="007F15BC"/>
    <w:rsid w:val="007F187D"/>
    <w:rsid w:val="007F1B49"/>
    <w:rsid w:val="007F1CBC"/>
    <w:rsid w:val="007F40A0"/>
    <w:rsid w:val="007F4573"/>
    <w:rsid w:val="007F6293"/>
    <w:rsid w:val="007F67FD"/>
    <w:rsid w:val="007F6B4E"/>
    <w:rsid w:val="007F7EE6"/>
    <w:rsid w:val="0080041B"/>
    <w:rsid w:val="00801BF1"/>
    <w:rsid w:val="00802542"/>
    <w:rsid w:val="008026DB"/>
    <w:rsid w:val="00802CC1"/>
    <w:rsid w:val="008042B8"/>
    <w:rsid w:val="00805C0D"/>
    <w:rsid w:val="0080671C"/>
    <w:rsid w:val="0081143C"/>
    <w:rsid w:val="00811B0F"/>
    <w:rsid w:val="00812F5F"/>
    <w:rsid w:val="00813DF8"/>
    <w:rsid w:val="0081477D"/>
    <w:rsid w:val="00814AAB"/>
    <w:rsid w:val="00815DE9"/>
    <w:rsid w:val="00816416"/>
    <w:rsid w:val="00817D6F"/>
    <w:rsid w:val="00820D20"/>
    <w:rsid w:val="008215EF"/>
    <w:rsid w:val="00821778"/>
    <w:rsid w:val="008238B9"/>
    <w:rsid w:val="00830564"/>
    <w:rsid w:val="008309FA"/>
    <w:rsid w:val="0083352C"/>
    <w:rsid w:val="008340CF"/>
    <w:rsid w:val="008342FA"/>
    <w:rsid w:val="00834ACE"/>
    <w:rsid w:val="008356E7"/>
    <w:rsid w:val="00835B64"/>
    <w:rsid w:val="00836D77"/>
    <w:rsid w:val="0083717E"/>
    <w:rsid w:val="00837476"/>
    <w:rsid w:val="00837C37"/>
    <w:rsid w:val="0084028C"/>
    <w:rsid w:val="00840FC7"/>
    <w:rsid w:val="00841D94"/>
    <w:rsid w:val="00841ED5"/>
    <w:rsid w:val="00842705"/>
    <w:rsid w:val="00843001"/>
    <w:rsid w:val="008430F4"/>
    <w:rsid w:val="00843CF6"/>
    <w:rsid w:val="008440F4"/>
    <w:rsid w:val="00844514"/>
    <w:rsid w:val="008448BE"/>
    <w:rsid w:val="00844BA8"/>
    <w:rsid w:val="00844FE8"/>
    <w:rsid w:val="00845930"/>
    <w:rsid w:val="00846844"/>
    <w:rsid w:val="008468ED"/>
    <w:rsid w:val="00847285"/>
    <w:rsid w:val="00847CBE"/>
    <w:rsid w:val="00847F0C"/>
    <w:rsid w:val="008527D9"/>
    <w:rsid w:val="00853AD9"/>
    <w:rsid w:val="0085669C"/>
    <w:rsid w:val="008608D6"/>
    <w:rsid w:val="00860913"/>
    <w:rsid w:val="00860AB6"/>
    <w:rsid w:val="008613E5"/>
    <w:rsid w:val="00862A1E"/>
    <w:rsid w:val="00862F54"/>
    <w:rsid w:val="008635E5"/>
    <w:rsid w:val="0086694F"/>
    <w:rsid w:val="00866BC7"/>
    <w:rsid w:val="008673DC"/>
    <w:rsid w:val="00867934"/>
    <w:rsid w:val="00867D29"/>
    <w:rsid w:val="008702A2"/>
    <w:rsid w:val="00870E69"/>
    <w:rsid w:val="00871C1E"/>
    <w:rsid w:val="00872020"/>
    <w:rsid w:val="00872D80"/>
    <w:rsid w:val="00872E87"/>
    <w:rsid w:val="008732FF"/>
    <w:rsid w:val="008743FE"/>
    <w:rsid w:val="008756F3"/>
    <w:rsid w:val="00875BBB"/>
    <w:rsid w:val="00876A6D"/>
    <w:rsid w:val="00876D9C"/>
    <w:rsid w:val="00877057"/>
    <w:rsid w:val="0087794C"/>
    <w:rsid w:val="0088013C"/>
    <w:rsid w:val="00881090"/>
    <w:rsid w:val="0088145D"/>
    <w:rsid w:val="00882858"/>
    <w:rsid w:val="00882BFA"/>
    <w:rsid w:val="008833AB"/>
    <w:rsid w:val="008833C8"/>
    <w:rsid w:val="0088433F"/>
    <w:rsid w:val="0088482D"/>
    <w:rsid w:val="00886B90"/>
    <w:rsid w:val="0088794C"/>
    <w:rsid w:val="00887CF8"/>
    <w:rsid w:val="008914CE"/>
    <w:rsid w:val="00891925"/>
    <w:rsid w:val="00891DA1"/>
    <w:rsid w:val="00894C10"/>
    <w:rsid w:val="00894C7C"/>
    <w:rsid w:val="00895A88"/>
    <w:rsid w:val="008A0752"/>
    <w:rsid w:val="008A1462"/>
    <w:rsid w:val="008A2AD6"/>
    <w:rsid w:val="008A3405"/>
    <w:rsid w:val="008A4743"/>
    <w:rsid w:val="008A4919"/>
    <w:rsid w:val="008A4A72"/>
    <w:rsid w:val="008A50DE"/>
    <w:rsid w:val="008A5700"/>
    <w:rsid w:val="008A69CB"/>
    <w:rsid w:val="008A7291"/>
    <w:rsid w:val="008A7F1D"/>
    <w:rsid w:val="008B15FC"/>
    <w:rsid w:val="008B1FB5"/>
    <w:rsid w:val="008B3003"/>
    <w:rsid w:val="008B381A"/>
    <w:rsid w:val="008B38EB"/>
    <w:rsid w:val="008B40B0"/>
    <w:rsid w:val="008B4C95"/>
    <w:rsid w:val="008B4D8F"/>
    <w:rsid w:val="008B6FE6"/>
    <w:rsid w:val="008B71C3"/>
    <w:rsid w:val="008C0BBE"/>
    <w:rsid w:val="008C1291"/>
    <w:rsid w:val="008C2787"/>
    <w:rsid w:val="008C5118"/>
    <w:rsid w:val="008C5872"/>
    <w:rsid w:val="008C5B5A"/>
    <w:rsid w:val="008C7FF1"/>
    <w:rsid w:val="008D0768"/>
    <w:rsid w:val="008D0BC5"/>
    <w:rsid w:val="008D0BF7"/>
    <w:rsid w:val="008D11FA"/>
    <w:rsid w:val="008D1746"/>
    <w:rsid w:val="008D192A"/>
    <w:rsid w:val="008D199E"/>
    <w:rsid w:val="008D1A5C"/>
    <w:rsid w:val="008D23F8"/>
    <w:rsid w:val="008D2ABF"/>
    <w:rsid w:val="008D3F82"/>
    <w:rsid w:val="008D48D6"/>
    <w:rsid w:val="008D5BF7"/>
    <w:rsid w:val="008D64C9"/>
    <w:rsid w:val="008D64E9"/>
    <w:rsid w:val="008D7784"/>
    <w:rsid w:val="008E090D"/>
    <w:rsid w:val="008E091C"/>
    <w:rsid w:val="008E3F3D"/>
    <w:rsid w:val="008E4621"/>
    <w:rsid w:val="008E59DC"/>
    <w:rsid w:val="008E59EF"/>
    <w:rsid w:val="008E605C"/>
    <w:rsid w:val="008E6FDD"/>
    <w:rsid w:val="008F1E03"/>
    <w:rsid w:val="008F3764"/>
    <w:rsid w:val="008F3905"/>
    <w:rsid w:val="008F4524"/>
    <w:rsid w:val="008F538F"/>
    <w:rsid w:val="008F59D9"/>
    <w:rsid w:val="008F5AAB"/>
    <w:rsid w:val="008F5C2E"/>
    <w:rsid w:val="008F5D8C"/>
    <w:rsid w:val="008F7284"/>
    <w:rsid w:val="008F7B7D"/>
    <w:rsid w:val="00900F7D"/>
    <w:rsid w:val="009039C6"/>
    <w:rsid w:val="0090570E"/>
    <w:rsid w:val="0090600E"/>
    <w:rsid w:val="009060CB"/>
    <w:rsid w:val="0090704C"/>
    <w:rsid w:val="00907825"/>
    <w:rsid w:val="009102CF"/>
    <w:rsid w:val="009108FA"/>
    <w:rsid w:val="009114C3"/>
    <w:rsid w:val="009118AD"/>
    <w:rsid w:val="00911F5D"/>
    <w:rsid w:val="00912037"/>
    <w:rsid w:val="0091275A"/>
    <w:rsid w:val="009135D3"/>
    <w:rsid w:val="00913D13"/>
    <w:rsid w:val="00913F40"/>
    <w:rsid w:val="00914C9A"/>
    <w:rsid w:val="009160CE"/>
    <w:rsid w:val="00916459"/>
    <w:rsid w:val="00916D8C"/>
    <w:rsid w:val="00916DD4"/>
    <w:rsid w:val="0092077C"/>
    <w:rsid w:val="009212EB"/>
    <w:rsid w:val="00921AAE"/>
    <w:rsid w:val="00923ADE"/>
    <w:rsid w:val="0092478A"/>
    <w:rsid w:val="009248D8"/>
    <w:rsid w:val="009252CE"/>
    <w:rsid w:val="009254EF"/>
    <w:rsid w:val="00925662"/>
    <w:rsid w:val="00927504"/>
    <w:rsid w:val="009277C5"/>
    <w:rsid w:val="0093049D"/>
    <w:rsid w:val="00930E8E"/>
    <w:rsid w:val="0093122F"/>
    <w:rsid w:val="00931C4E"/>
    <w:rsid w:val="00932173"/>
    <w:rsid w:val="00932D60"/>
    <w:rsid w:val="00933609"/>
    <w:rsid w:val="00933BD9"/>
    <w:rsid w:val="0093463F"/>
    <w:rsid w:val="009351D2"/>
    <w:rsid w:val="0093520F"/>
    <w:rsid w:val="00935475"/>
    <w:rsid w:val="009402E8"/>
    <w:rsid w:val="00940C02"/>
    <w:rsid w:val="00941A35"/>
    <w:rsid w:val="00942836"/>
    <w:rsid w:val="00943962"/>
    <w:rsid w:val="00943BEF"/>
    <w:rsid w:val="00944328"/>
    <w:rsid w:val="00944541"/>
    <w:rsid w:val="00944628"/>
    <w:rsid w:val="00944FF5"/>
    <w:rsid w:val="00946D52"/>
    <w:rsid w:val="00946E8E"/>
    <w:rsid w:val="00946FCD"/>
    <w:rsid w:val="009472BD"/>
    <w:rsid w:val="009473A8"/>
    <w:rsid w:val="009476BE"/>
    <w:rsid w:val="009514BF"/>
    <w:rsid w:val="00952249"/>
    <w:rsid w:val="009526C4"/>
    <w:rsid w:val="00952A45"/>
    <w:rsid w:val="00952C40"/>
    <w:rsid w:val="00952E18"/>
    <w:rsid w:val="00954954"/>
    <w:rsid w:val="0095567F"/>
    <w:rsid w:val="00956898"/>
    <w:rsid w:val="00956B80"/>
    <w:rsid w:val="009576CA"/>
    <w:rsid w:val="0096071E"/>
    <w:rsid w:val="00960FC0"/>
    <w:rsid w:val="009621D5"/>
    <w:rsid w:val="009625EA"/>
    <w:rsid w:val="00962818"/>
    <w:rsid w:val="00962C07"/>
    <w:rsid w:val="0096306E"/>
    <w:rsid w:val="00964BFE"/>
    <w:rsid w:val="009651B6"/>
    <w:rsid w:val="00965596"/>
    <w:rsid w:val="009662E2"/>
    <w:rsid w:val="009664F8"/>
    <w:rsid w:val="00967253"/>
    <w:rsid w:val="00970057"/>
    <w:rsid w:val="00970A41"/>
    <w:rsid w:val="00971405"/>
    <w:rsid w:val="009715AF"/>
    <w:rsid w:val="00972450"/>
    <w:rsid w:val="00972844"/>
    <w:rsid w:val="009737F2"/>
    <w:rsid w:val="00973BA9"/>
    <w:rsid w:val="009741BF"/>
    <w:rsid w:val="00974202"/>
    <w:rsid w:val="00975EBA"/>
    <w:rsid w:val="00976DC9"/>
    <w:rsid w:val="0097746C"/>
    <w:rsid w:val="00977B4A"/>
    <w:rsid w:val="00980275"/>
    <w:rsid w:val="00980537"/>
    <w:rsid w:val="009811F5"/>
    <w:rsid w:val="0098139D"/>
    <w:rsid w:val="0098357D"/>
    <w:rsid w:val="0098473F"/>
    <w:rsid w:val="00984DA5"/>
    <w:rsid w:val="009860E9"/>
    <w:rsid w:val="00986DC4"/>
    <w:rsid w:val="00987618"/>
    <w:rsid w:val="00987A05"/>
    <w:rsid w:val="0099056D"/>
    <w:rsid w:val="00990EEA"/>
    <w:rsid w:val="00991150"/>
    <w:rsid w:val="00991720"/>
    <w:rsid w:val="00992D70"/>
    <w:rsid w:val="009930B6"/>
    <w:rsid w:val="00993A7E"/>
    <w:rsid w:val="00993D41"/>
    <w:rsid w:val="009941C4"/>
    <w:rsid w:val="009945B5"/>
    <w:rsid w:val="00994A68"/>
    <w:rsid w:val="009956E6"/>
    <w:rsid w:val="00995746"/>
    <w:rsid w:val="00995CF1"/>
    <w:rsid w:val="0099663C"/>
    <w:rsid w:val="00996DDA"/>
    <w:rsid w:val="00997BB7"/>
    <w:rsid w:val="009A1EA6"/>
    <w:rsid w:val="009A1F02"/>
    <w:rsid w:val="009A21A0"/>
    <w:rsid w:val="009A24E2"/>
    <w:rsid w:val="009A2D92"/>
    <w:rsid w:val="009A3EB3"/>
    <w:rsid w:val="009A529F"/>
    <w:rsid w:val="009A6ACD"/>
    <w:rsid w:val="009A6D83"/>
    <w:rsid w:val="009A772F"/>
    <w:rsid w:val="009B0727"/>
    <w:rsid w:val="009B1DAD"/>
    <w:rsid w:val="009B2716"/>
    <w:rsid w:val="009B3D4B"/>
    <w:rsid w:val="009B416F"/>
    <w:rsid w:val="009B463C"/>
    <w:rsid w:val="009B55B8"/>
    <w:rsid w:val="009B6CC6"/>
    <w:rsid w:val="009B6D6B"/>
    <w:rsid w:val="009B7206"/>
    <w:rsid w:val="009B7338"/>
    <w:rsid w:val="009B7E20"/>
    <w:rsid w:val="009C19C2"/>
    <w:rsid w:val="009C25DE"/>
    <w:rsid w:val="009C28B6"/>
    <w:rsid w:val="009C39F0"/>
    <w:rsid w:val="009C4BAA"/>
    <w:rsid w:val="009C5A80"/>
    <w:rsid w:val="009C6EF0"/>
    <w:rsid w:val="009C713C"/>
    <w:rsid w:val="009C7E28"/>
    <w:rsid w:val="009D0E6B"/>
    <w:rsid w:val="009D1904"/>
    <w:rsid w:val="009D26B6"/>
    <w:rsid w:val="009D3D12"/>
    <w:rsid w:val="009D4346"/>
    <w:rsid w:val="009D44FE"/>
    <w:rsid w:val="009D4A13"/>
    <w:rsid w:val="009D6342"/>
    <w:rsid w:val="009D641E"/>
    <w:rsid w:val="009D6ADF"/>
    <w:rsid w:val="009D6F4A"/>
    <w:rsid w:val="009D6F52"/>
    <w:rsid w:val="009D7059"/>
    <w:rsid w:val="009D75D3"/>
    <w:rsid w:val="009E19B4"/>
    <w:rsid w:val="009E1EA2"/>
    <w:rsid w:val="009E269C"/>
    <w:rsid w:val="009E3927"/>
    <w:rsid w:val="009E41C8"/>
    <w:rsid w:val="009E43EC"/>
    <w:rsid w:val="009E4E8B"/>
    <w:rsid w:val="009E7842"/>
    <w:rsid w:val="009F029A"/>
    <w:rsid w:val="009F1A16"/>
    <w:rsid w:val="009F1B08"/>
    <w:rsid w:val="009F217F"/>
    <w:rsid w:val="009F21F0"/>
    <w:rsid w:val="009F2A63"/>
    <w:rsid w:val="009F2BB3"/>
    <w:rsid w:val="009F30FA"/>
    <w:rsid w:val="009F40CE"/>
    <w:rsid w:val="009F47EA"/>
    <w:rsid w:val="009F4A3F"/>
    <w:rsid w:val="009F4AC6"/>
    <w:rsid w:val="009F4BF9"/>
    <w:rsid w:val="009F4C7C"/>
    <w:rsid w:val="009F5AA8"/>
    <w:rsid w:val="009F5C5A"/>
    <w:rsid w:val="009F6B97"/>
    <w:rsid w:val="00A0068D"/>
    <w:rsid w:val="00A01298"/>
    <w:rsid w:val="00A022D9"/>
    <w:rsid w:val="00A0263B"/>
    <w:rsid w:val="00A02BCA"/>
    <w:rsid w:val="00A04245"/>
    <w:rsid w:val="00A0447A"/>
    <w:rsid w:val="00A065FC"/>
    <w:rsid w:val="00A07248"/>
    <w:rsid w:val="00A072C9"/>
    <w:rsid w:val="00A07C6C"/>
    <w:rsid w:val="00A1050D"/>
    <w:rsid w:val="00A118D5"/>
    <w:rsid w:val="00A14BA4"/>
    <w:rsid w:val="00A15564"/>
    <w:rsid w:val="00A155CC"/>
    <w:rsid w:val="00A15E9E"/>
    <w:rsid w:val="00A16111"/>
    <w:rsid w:val="00A17919"/>
    <w:rsid w:val="00A20A9B"/>
    <w:rsid w:val="00A21665"/>
    <w:rsid w:val="00A22535"/>
    <w:rsid w:val="00A2325E"/>
    <w:rsid w:val="00A24E91"/>
    <w:rsid w:val="00A25097"/>
    <w:rsid w:val="00A25586"/>
    <w:rsid w:val="00A25B70"/>
    <w:rsid w:val="00A25F05"/>
    <w:rsid w:val="00A25FC8"/>
    <w:rsid w:val="00A26F0E"/>
    <w:rsid w:val="00A27946"/>
    <w:rsid w:val="00A316AC"/>
    <w:rsid w:val="00A31FEE"/>
    <w:rsid w:val="00A32396"/>
    <w:rsid w:val="00A324D5"/>
    <w:rsid w:val="00A33385"/>
    <w:rsid w:val="00A33CD2"/>
    <w:rsid w:val="00A3466E"/>
    <w:rsid w:val="00A34D7D"/>
    <w:rsid w:val="00A35970"/>
    <w:rsid w:val="00A36762"/>
    <w:rsid w:val="00A37688"/>
    <w:rsid w:val="00A37A08"/>
    <w:rsid w:val="00A403CA"/>
    <w:rsid w:val="00A40D4B"/>
    <w:rsid w:val="00A42E0F"/>
    <w:rsid w:val="00A4532D"/>
    <w:rsid w:val="00A45565"/>
    <w:rsid w:val="00A45B5D"/>
    <w:rsid w:val="00A46127"/>
    <w:rsid w:val="00A47464"/>
    <w:rsid w:val="00A475A3"/>
    <w:rsid w:val="00A50756"/>
    <w:rsid w:val="00A51524"/>
    <w:rsid w:val="00A51C1B"/>
    <w:rsid w:val="00A51DDA"/>
    <w:rsid w:val="00A52F7A"/>
    <w:rsid w:val="00A53599"/>
    <w:rsid w:val="00A5431F"/>
    <w:rsid w:val="00A5538F"/>
    <w:rsid w:val="00A5661B"/>
    <w:rsid w:val="00A57735"/>
    <w:rsid w:val="00A57D87"/>
    <w:rsid w:val="00A60B76"/>
    <w:rsid w:val="00A61280"/>
    <w:rsid w:val="00A61AED"/>
    <w:rsid w:val="00A6488C"/>
    <w:rsid w:val="00A64F99"/>
    <w:rsid w:val="00A65152"/>
    <w:rsid w:val="00A651A7"/>
    <w:rsid w:val="00A65210"/>
    <w:rsid w:val="00A66924"/>
    <w:rsid w:val="00A66E52"/>
    <w:rsid w:val="00A703C1"/>
    <w:rsid w:val="00A70996"/>
    <w:rsid w:val="00A729B8"/>
    <w:rsid w:val="00A738A3"/>
    <w:rsid w:val="00A73E13"/>
    <w:rsid w:val="00A7415C"/>
    <w:rsid w:val="00A74424"/>
    <w:rsid w:val="00A753BE"/>
    <w:rsid w:val="00A7592F"/>
    <w:rsid w:val="00A76001"/>
    <w:rsid w:val="00A81A09"/>
    <w:rsid w:val="00A8388B"/>
    <w:rsid w:val="00A839F7"/>
    <w:rsid w:val="00A84758"/>
    <w:rsid w:val="00A84DD7"/>
    <w:rsid w:val="00A8557E"/>
    <w:rsid w:val="00A86336"/>
    <w:rsid w:val="00A8642D"/>
    <w:rsid w:val="00A87A37"/>
    <w:rsid w:val="00A87AAB"/>
    <w:rsid w:val="00A90893"/>
    <w:rsid w:val="00A90E0F"/>
    <w:rsid w:val="00A90E31"/>
    <w:rsid w:val="00A913FD"/>
    <w:rsid w:val="00A9160A"/>
    <w:rsid w:val="00A91EC4"/>
    <w:rsid w:val="00A92C62"/>
    <w:rsid w:val="00A933A7"/>
    <w:rsid w:val="00A953EA"/>
    <w:rsid w:val="00A95F35"/>
    <w:rsid w:val="00A96BDE"/>
    <w:rsid w:val="00A96D78"/>
    <w:rsid w:val="00A973FB"/>
    <w:rsid w:val="00A97A8D"/>
    <w:rsid w:val="00A97D7C"/>
    <w:rsid w:val="00AA58F7"/>
    <w:rsid w:val="00AA671A"/>
    <w:rsid w:val="00AA67BE"/>
    <w:rsid w:val="00AA7D5A"/>
    <w:rsid w:val="00AB02AD"/>
    <w:rsid w:val="00AB184F"/>
    <w:rsid w:val="00AB2119"/>
    <w:rsid w:val="00AB37DE"/>
    <w:rsid w:val="00AB391E"/>
    <w:rsid w:val="00AB3978"/>
    <w:rsid w:val="00AB3D29"/>
    <w:rsid w:val="00AB46E0"/>
    <w:rsid w:val="00AB5787"/>
    <w:rsid w:val="00AB705C"/>
    <w:rsid w:val="00AC0B2D"/>
    <w:rsid w:val="00AC294F"/>
    <w:rsid w:val="00AC2A49"/>
    <w:rsid w:val="00AC3C76"/>
    <w:rsid w:val="00AC3FA7"/>
    <w:rsid w:val="00AC48AE"/>
    <w:rsid w:val="00AC63B6"/>
    <w:rsid w:val="00AC7275"/>
    <w:rsid w:val="00AD0904"/>
    <w:rsid w:val="00AD090E"/>
    <w:rsid w:val="00AD177F"/>
    <w:rsid w:val="00AD446C"/>
    <w:rsid w:val="00AD45B3"/>
    <w:rsid w:val="00AD51DC"/>
    <w:rsid w:val="00AD68F8"/>
    <w:rsid w:val="00AD7F50"/>
    <w:rsid w:val="00AE0693"/>
    <w:rsid w:val="00AE14A5"/>
    <w:rsid w:val="00AE153E"/>
    <w:rsid w:val="00AE17AE"/>
    <w:rsid w:val="00AE24A9"/>
    <w:rsid w:val="00AE2ECD"/>
    <w:rsid w:val="00AE3F05"/>
    <w:rsid w:val="00AE4481"/>
    <w:rsid w:val="00AE4B38"/>
    <w:rsid w:val="00AE4F85"/>
    <w:rsid w:val="00AE5C8F"/>
    <w:rsid w:val="00AF04A2"/>
    <w:rsid w:val="00AF0896"/>
    <w:rsid w:val="00AF3155"/>
    <w:rsid w:val="00AF3219"/>
    <w:rsid w:val="00AF3BEA"/>
    <w:rsid w:val="00AF576C"/>
    <w:rsid w:val="00AF64CA"/>
    <w:rsid w:val="00B008E3"/>
    <w:rsid w:val="00B00DB1"/>
    <w:rsid w:val="00B01394"/>
    <w:rsid w:val="00B01982"/>
    <w:rsid w:val="00B02F28"/>
    <w:rsid w:val="00B055DE"/>
    <w:rsid w:val="00B05BB0"/>
    <w:rsid w:val="00B066CE"/>
    <w:rsid w:val="00B07EC5"/>
    <w:rsid w:val="00B10CDB"/>
    <w:rsid w:val="00B10DD0"/>
    <w:rsid w:val="00B10EDF"/>
    <w:rsid w:val="00B13039"/>
    <w:rsid w:val="00B169C6"/>
    <w:rsid w:val="00B17647"/>
    <w:rsid w:val="00B17B6D"/>
    <w:rsid w:val="00B21244"/>
    <w:rsid w:val="00B237C4"/>
    <w:rsid w:val="00B24AA1"/>
    <w:rsid w:val="00B24B2E"/>
    <w:rsid w:val="00B24F3A"/>
    <w:rsid w:val="00B26B10"/>
    <w:rsid w:val="00B304C4"/>
    <w:rsid w:val="00B314FF"/>
    <w:rsid w:val="00B32996"/>
    <w:rsid w:val="00B33027"/>
    <w:rsid w:val="00B33100"/>
    <w:rsid w:val="00B34670"/>
    <w:rsid w:val="00B351DF"/>
    <w:rsid w:val="00B35B93"/>
    <w:rsid w:val="00B362CE"/>
    <w:rsid w:val="00B377D2"/>
    <w:rsid w:val="00B37D70"/>
    <w:rsid w:val="00B40793"/>
    <w:rsid w:val="00B40F48"/>
    <w:rsid w:val="00B4140C"/>
    <w:rsid w:val="00B41CFD"/>
    <w:rsid w:val="00B42248"/>
    <w:rsid w:val="00B42BC1"/>
    <w:rsid w:val="00B435D0"/>
    <w:rsid w:val="00B44DAA"/>
    <w:rsid w:val="00B45494"/>
    <w:rsid w:val="00B47BBC"/>
    <w:rsid w:val="00B47D10"/>
    <w:rsid w:val="00B47E83"/>
    <w:rsid w:val="00B47EB8"/>
    <w:rsid w:val="00B52394"/>
    <w:rsid w:val="00B52505"/>
    <w:rsid w:val="00B5308D"/>
    <w:rsid w:val="00B53356"/>
    <w:rsid w:val="00B53C7C"/>
    <w:rsid w:val="00B54848"/>
    <w:rsid w:val="00B54A83"/>
    <w:rsid w:val="00B57B9A"/>
    <w:rsid w:val="00B617D8"/>
    <w:rsid w:val="00B61891"/>
    <w:rsid w:val="00B6230B"/>
    <w:rsid w:val="00B63D6E"/>
    <w:rsid w:val="00B63DFB"/>
    <w:rsid w:val="00B6728F"/>
    <w:rsid w:val="00B67BB5"/>
    <w:rsid w:val="00B70926"/>
    <w:rsid w:val="00B70ACA"/>
    <w:rsid w:val="00B721AB"/>
    <w:rsid w:val="00B73463"/>
    <w:rsid w:val="00B7433D"/>
    <w:rsid w:val="00B7434A"/>
    <w:rsid w:val="00B74D3E"/>
    <w:rsid w:val="00B74DF8"/>
    <w:rsid w:val="00B81425"/>
    <w:rsid w:val="00B814FC"/>
    <w:rsid w:val="00B81B60"/>
    <w:rsid w:val="00B824EF"/>
    <w:rsid w:val="00B8351F"/>
    <w:rsid w:val="00B84465"/>
    <w:rsid w:val="00B8461E"/>
    <w:rsid w:val="00B84A05"/>
    <w:rsid w:val="00B8500C"/>
    <w:rsid w:val="00B8624D"/>
    <w:rsid w:val="00B86519"/>
    <w:rsid w:val="00B871CF"/>
    <w:rsid w:val="00B87A5C"/>
    <w:rsid w:val="00B9018A"/>
    <w:rsid w:val="00B9228C"/>
    <w:rsid w:val="00B92DDF"/>
    <w:rsid w:val="00B930E4"/>
    <w:rsid w:val="00B933FC"/>
    <w:rsid w:val="00B942AE"/>
    <w:rsid w:val="00B9717B"/>
    <w:rsid w:val="00B971FB"/>
    <w:rsid w:val="00BA0655"/>
    <w:rsid w:val="00BA10DC"/>
    <w:rsid w:val="00BA1170"/>
    <w:rsid w:val="00BA1A0E"/>
    <w:rsid w:val="00BA2149"/>
    <w:rsid w:val="00BA281D"/>
    <w:rsid w:val="00BA2E50"/>
    <w:rsid w:val="00BA2F12"/>
    <w:rsid w:val="00BA3FA8"/>
    <w:rsid w:val="00BA4018"/>
    <w:rsid w:val="00BA55B7"/>
    <w:rsid w:val="00BA5873"/>
    <w:rsid w:val="00BA588A"/>
    <w:rsid w:val="00BA5DDA"/>
    <w:rsid w:val="00BA76E1"/>
    <w:rsid w:val="00BB0B56"/>
    <w:rsid w:val="00BB1785"/>
    <w:rsid w:val="00BB4186"/>
    <w:rsid w:val="00BB4A03"/>
    <w:rsid w:val="00BB63B6"/>
    <w:rsid w:val="00BB6DD6"/>
    <w:rsid w:val="00BB704E"/>
    <w:rsid w:val="00BB7700"/>
    <w:rsid w:val="00BB7813"/>
    <w:rsid w:val="00BC07B6"/>
    <w:rsid w:val="00BC0BE3"/>
    <w:rsid w:val="00BC115E"/>
    <w:rsid w:val="00BC15E1"/>
    <w:rsid w:val="00BC2876"/>
    <w:rsid w:val="00BC28A5"/>
    <w:rsid w:val="00BC3016"/>
    <w:rsid w:val="00BC3FAA"/>
    <w:rsid w:val="00BC4D4B"/>
    <w:rsid w:val="00BC4DDB"/>
    <w:rsid w:val="00BC73B9"/>
    <w:rsid w:val="00BC73E9"/>
    <w:rsid w:val="00BC744F"/>
    <w:rsid w:val="00BD0CD3"/>
    <w:rsid w:val="00BD15ED"/>
    <w:rsid w:val="00BD1781"/>
    <w:rsid w:val="00BD4C1E"/>
    <w:rsid w:val="00BD5AEE"/>
    <w:rsid w:val="00BD5D19"/>
    <w:rsid w:val="00BD69BB"/>
    <w:rsid w:val="00BD6C02"/>
    <w:rsid w:val="00BE1270"/>
    <w:rsid w:val="00BE1A58"/>
    <w:rsid w:val="00BE22CD"/>
    <w:rsid w:val="00BE2938"/>
    <w:rsid w:val="00BE34DB"/>
    <w:rsid w:val="00BE3D8B"/>
    <w:rsid w:val="00BE4C96"/>
    <w:rsid w:val="00BE6083"/>
    <w:rsid w:val="00BE69BF"/>
    <w:rsid w:val="00BE7536"/>
    <w:rsid w:val="00BE7CFF"/>
    <w:rsid w:val="00BF0094"/>
    <w:rsid w:val="00BF1CD7"/>
    <w:rsid w:val="00BF23B8"/>
    <w:rsid w:val="00BF292D"/>
    <w:rsid w:val="00BF2DC0"/>
    <w:rsid w:val="00BF3CDE"/>
    <w:rsid w:val="00BF5163"/>
    <w:rsid w:val="00BF5786"/>
    <w:rsid w:val="00BF6378"/>
    <w:rsid w:val="00BF7889"/>
    <w:rsid w:val="00C008D3"/>
    <w:rsid w:val="00C01234"/>
    <w:rsid w:val="00C01C4D"/>
    <w:rsid w:val="00C05669"/>
    <w:rsid w:val="00C05885"/>
    <w:rsid w:val="00C058D3"/>
    <w:rsid w:val="00C065F9"/>
    <w:rsid w:val="00C06996"/>
    <w:rsid w:val="00C073C0"/>
    <w:rsid w:val="00C075EA"/>
    <w:rsid w:val="00C07713"/>
    <w:rsid w:val="00C07BA6"/>
    <w:rsid w:val="00C10C90"/>
    <w:rsid w:val="00C11951"/>
    <w:rsid w:val="00C145B6"/>
    <w:rsid w:val="00C151AD"/>
    <w:rsid w:val="00C153F9"/>
    <w:rsid w:val="00C1547B"/>
    <w:rsid w:val="00C16822"/>
    <w:rsid w:val="00C17775"/>
    <w:rsid w:val="00C2032F"/>
    <w:rsid w:val="00C21BA6"/>
    <w:rsid w:val="00C22636"/>
    <w:rsid w:val="00C22960"/>
    <w:rsid w:val="00C231CC"/>
    <w:rsid w:val="00C23386"/>
    <w:rsid w:val="00C23A97"/>
    <w:rsid w:val="00C249D4"/>
    <w:rsid w:val="00C24BBB"/>
    <w:rsid w:val="00C24EFA"/>
    <w:rsid w:val="00C26E03"/>
    <w:rsid w:val="00C30F08"/>
    <w:rsid w:val="00C31321"/>
    <w:rsid w:val="00C326CC"/>
    <w:rsid w:val="00C33FDA"/>
    <w:rsid w:val="00C3500C"/>
    <w:rsid w:val="00C36A33"/>
    <w:rsid w:val="00C3752A"/>
    <w:rsid w:val="00C37B64"/>
    <w:rsid w:val="00C4186E"/>
    <w:rsid w:val="00C41FFF"/>
    <w:rsid w:val="00C4252A"/>
    <w:rsid w:val="00C42745"/>
    <w:rsid w:val="00C438F5"/>
    <w:rsid w:val="00C445E8"/>
    <w:rsid w:val="00C44CE3"/>
    <w:rsid w:val="00C456BD"/>
    <w:rsid w:val="00C45821"/>
    <w:rsid w:val="00C472AE"/>
    <w:rsid w:val="00C4764C"/>
    <w:rsid w:val="00C501B3"/>
    <w:rsid w:val="00C5164E"/>
    <w:rsid w:val="00C52025"/>
    <w:rsid w:val="00C524A7"/>
    <w:rsid w:val="00C52B3E"/>
    <w:rsid w:val="00C53DEE"/>
    <w:rsid w:val="00C54116"/>
    <w:rsid w:val="00C546DA"/>
    <w:rsid w:val="00C54CC7"/>
    <w:rsid w:val="00C5510F"/>
    <w:rsid w:val="00C55A6B"/>
    <w:rsid w:val="00C55EAE"/>
    <w:rsid w:val="00C561BB"/>
    <w:rsid w:val="00C61E58"/>
    <w:rsid w:val="00C6283E"/>
    <w:rsid w:val="00C62ED7"/>
    <w:rsid w:val="00C638B4"/>
    <w:rsid w:val="00C63EF0"/>
    <w:rsid w:val="00C640EF"/>
    <w:rsid w:val="00C659F8"/>
    <w:rsid w:val="00C66951"/>
    <w:rsid w:val="00C66A32"/>
    <w:rsid w:val="00C676C6"/>
    <w:rsid w:val="00C70555"/>
    <w:rsid w:val="00C70624"/>
    <w:rsid w:val="00C70737"/>
    <w:rsid w:val="00C70D93"/>
    <w:rsid w:val="00C73E39"/>
    <w:rsid w:val="00C74172"/>
    <w:rsid w:val="00C7638B"/>
    <w:rsid w:val="00C764B5"/>
    <w:rsid w:val="00C7652D"/>
    <w:rsid w:val="00C77A0A"/>
    <w:rsid w:val="00C80B8B"/>
    <w:rsid w:val="00C80D29"/>
    <w:rsid w:val="00C82540"/>
    <w:rsid w:val="00C83B6E"/>
    <w:rsid w:val="00C85297"/>
    <w:rsid w:val="00C855EC"/>
    <w:rsid w:val="00C85667"/>
    <w:rsid w:val="00C85EF9"/>
    <w:rsid w:val="00C8605F"/>
    <w:rsid w:val="00C8606B"/>
    <w:rsid w:val="00C86AA1"/>
    <w:rsid w:val="00C86EFB"/>
    <w:rsid w:val="00C870FE"/>
    <w:rsid w:val="00C87184"/>
    <w:rsid w:val="00C87852"/>
    <w:rsid w:val="00C87AD6"/>
    <w:rsid w:val="00C9176B"/>
    <w:rsid w:val="00C9278F"/>
    <w:rsid w:val="00C92F01"/>
    <w:rsid w:val="00C92FDE"/>
    <w:rsid w:val="00C949F1"/>
    <w:rsid w:val="00C94DE9"/>
    <w:rsid w:val="00C953F7"/>
    <w:rsid w:val="00C95F08"/>
    <w:rsid w:val="00C96782"/>
    <w:rsid w:val="00C96FB5"/>
    <w:rsid w:val="00C971DB"/>
    <w:rsid w:val="00C97EFE"/>
    <w:rsid w:val="00CA069D"/>
    <w:rsid w:val="00CA0D6B"/>
    <w:rsid w:val="00CA0FA7"/>
    <w:rsid w:val="00CA2193"/>
    <w:rsid w:val="00CA3202"/>
    <w:rsid w:val="00CA37F5"/>
    <w:rsid w:val="00CA6496"/>
    <w:rsid w:val="00CA6FAE"/>
    <w:rsid w:val="00CA704B"/>
    <w:rsid w:val="00CA72EB"/>
    <w:rsid w:val="00CB08D7"/>
    <w:rsid w:val="00CB1831"/>
    <w:rsid w:val="00CB2085"/>
    <w:rsid w:val="00CB20E1"/>
    <w:rsid w:val="00CB2529"/>
    <w:rsid w:val="00CB26E2"/>
    <w:rsid w:val="00CB3154"/>
    <w:rsid w:val="00CB3892"/>
    <w:rsid w:val="00CB3962"/>
    <w:rsid w:val="00CB4B09"/>
    <w:rsid w:val="00CB61BC"/>
    <w:rsid w:val="00CB6412"/>
    <w:rsid w:val="00CB6B7E"/>
    <w:rsid w:val="00CB77FA"/>
    <w:rsid w:val="00CC009B"/>
    <w:rsid w:val="00CC07C9"/>
    <w:rsid w:val="00CC0CA1"/>
    <w:rsid w:val="00CC4A12"/>
    <w:rsid w:val="00CC520F"/>
    <w:rsid w:val="00CC5A39"/>
    <w:rsid w:val="00CC5CC6"/>
    <w:rsid w:val="00CC628F"/>
    <w:rsid w:val="00CC6575"/>
    <w:rsid w:val="00CC6AEA"/>
    <w:rsid w:val="00CC758B"/>
    <w:rsid w:val="00CD0665"/>
    <w:rsid w:val="00CD1764"/>
    <w:rsid w:val="00CD1DAC"/>
    <w:rsid w:val="00CD1ED7"/>
    <w:rsid w:val="00CD2B2C"/>
    <w:rsid w:val="00CD3035"/>
    <w:rsid w:val="00CD382A"/>
    <w:rsid w:val="00CD39C9"/>
    <w:rsid w:val="00CD3C5B"/>
    <w:rsid w:val="00CD3EB9"/>
    <w:rsid w:val="00CD3FC1"/>
    <w:rsid w:val="00CD3FF5"/>
    <w:rsid w:val="00CD4959"/>
    <w:rsid w:val="00CD4BA5"/>
    <w:rsid w:val="00CD5588"/>
    <w:rsid w:val="00CD5750"/>
    <w:rsid w:val="00CD63AE"/>
    <w:rsid w:val="00CD6B10"/>
    <w:rsid w:val="00CD79DA"/>
    <w:rsid w:val="00CD7B03"/>
    <w:rsid w:val="00CE0064"/>
    <w:rsid w:val="00CE014D"/>
    <w:rsid w:val="00CE020A"/>
    <w:rsid w:val="00CE0DFA"/>
    <w:rsid w:val="00CE10DA"/>
    <w:rsid w:val="00CE136A"/>
    <w:rsid w:val="00CE286B"/>
    <w:rsid w:val="00CE2AC7"/>
    <w:rsid w:val="00CE357D"/>
    <w:rsid w:val="00CE440C"/>
    <w:rsid w:val="00CE53E5"/>
    <w:rsid w:val="00CE5C7B"/>
    <w:rsid w:val="00CE6177"/>
    <w:rsid w:val="00CE621A"/>
    <w:rsid w:val="00CE6628"/>
    <w:rsid w:val="00CE67D7"/>
    <w:rsid w:val="00CE6BB2"/>
    <w:rsid w:val="00CE6D97"/>
    <w:rsid w:val="00CE6F8B"/>
    <w:rsid w:val="00CE7000"/>
    <w:rsid w:val="00CF03C4"/>
    <w:rsid w:val="00CF0572"/>
    <w:rsid w:val="00CF061C"/>
    <w:rsid w:val="00CF0C2C"/>
    <w:rsid w:val="00CF1860"/>
    <w:rsid w:val="00CF2400"/>
    <w:rsid w:val="00CF48A3"/>
    <w:rsid w:val="00CF5730"/>
    <w:rsid w:val="00CF673D"/>
    <w:rsid w:val="00CF78FF"/>
    <w:rsid w:val="00D001FE"/>
    <w:rsid w:val="00D01466"/>
    <w:rsid w:val="00D01ADA"/>
    <w:rsid w:val="00D029C2"/>
    <w:rsid w:val="00D03500"/>
    <w:rsid w:val="00D03BF6"/>
    <w:rsid w:val="00D04146"/>
    <w:rsid w:val="00D0452A"/>
    <w:rsid w:val="00D059DF"/>
    <w:rsid w:val="00D05B79"/>
    <w:rsid w:val="00D05FC3"/>
    <w:rsid w:val="00D0637D"/>
    <w:rsid w:val="00D10B79"/>
    <w:rsid w:val="00D1182E"/>
    <w:rsid w:val="00D12BCF"/>
    <w:rsid w:val="00D12ECA"/>
    <w:rsid w:val="00D12ECF"/>
    <w:rsid w:val="00D138EB"/>
    <w:rsid w:val="00D156ED"/>
    <w:rsid w:val="00D159BF"/>
    <w:rsid w:val="00D16704"/>
    <w:rsid w:val="00D20716"/>
    <w:rsid w:val="00D209E3"/>
    <w:rsid w:val="00D216D5"/>
    <w:rsid w:val="00D2180B"/>
    <w:rsid w:val="00D2186A"/>
    <w:rsid w:val="00D2257D"/>
    <w:rsid w:val="00D233E1"/>
    <w:rsid w:val="00D240A1"/>
    <w:rsid w:val="00D250EE"/>
    <w:rsid w:val="00D25152"/>
    <w:rsid w:val="00D2597B"/>
    <w:rsid w:val="00D25B29"/>
    <w:rsid w:val="00D27615"/>
    <w:rsid w:val="00D30157"/>
    <w:rsid w:val="00D346CF"/>
    <w:rsid w:val="00D34E8A"/>
    <w:rsid w:val="00D359AA"/>
    <w:rsid w:val="00D35FB8"/>
    <w:rsid w:val="00D367F8"/>
    <w:rsid w:val="00D36C69"/>
    <w:rsid w:val="00D37705"/>
    <w:rsid w:val="00D4128D"/>
    <w:rsid w:val="00D4146D"/>
    <w:rsid w:val="00D41554"/>
    <w:rsid w:val="00D418F4"/>
    <w:rsid w:val="00D419FB"/>
    <w:rsid w:val="00D41FB0"/>
    <w:rsid w:val="00D42013"/>
    <w:rsid w:val="00D456E3"/>
    <w:rsid w:val="00D45C87"/>
    <w:rsid w:val="00D4682F"/>
    <w:rsid w:val="00D46E9C"/>
    <w:rsid w:val="00D5029F"/>
    <w:rsid w:val="00D50880"/>
    <w:rsid w:val="00D51BC2"/>
    <w:rsid w:val="00D51DD3"/>
    <w:rsid w:val="00D52706"/>
    <w:rsid w:val="00D5272F"/>
    <w:rsid w:val="00D52AB9"/>
    <w:rsid w:val="00D52B17"/>
    <w:rsid w:val="00D52D3A"/>
    <w:rsid w:val="00D53336"/>
    <w:rsid w:val="00D549B1"/>
    <w:rsid w:val="00D55159"/>
    <w:rsid w:val="00D55837"/>
    <w:rsid w:val="00D55DA4"/>
    <w:rsid w:val="00D56C4C"/>
    <w:rsid w:val="00D56E34"/>
    <w:rsid w:val="00D60A2C"/>
    <w:rsid w:val="00D61580"/>
    <w:rsid w:val="00D63586"/>
    <w:rsid w:val="00D63952"/>
    <w:rsid w:val="00D63FA9"/>
    <w:rsid w:val="00D640A0"/>
    <w:rsid w:val="00D641FA"/>
    <w:rsid w:val="00D647C0"/>
    <w:rsid w:val="00D648BB"/>
    <w:rsid w:val="00D6608A"/>
    <w:rsid w:val="00D66FF5"/>
    <w:rsid w:val="00D679F6"/>
    <w:rsid w:val="00D67E58"/>
    <w:rsid w:val="00D70463"/>
    <w:rsid w:val="00D705FC"/>
    <w:rsid w:val="00D7129E"/>
    <w:rsid w:val="00D713C9"/>
    <w:rsid w:val="00D71663"/>
    <w:rsid w:val="00D7177A"/>
    <w:rsid w:val="00D71BAA"/>
    <w:rsid w:val="00D73AE4"/>
    <w:rsid w:val="00D742BF"/>
    <w:rsid w:val="00D74371"/>
    <w:rsid w:val="00D74B54"/>
    <w:rsid w:val="00D75171"/>
    <w:rsid w:val="00D75B7D"/>
    <w:rsid w:val="00D75E16"/>
    <w:rsid w:val="00D76596"/>
    <w:rsid w:val="00D76906"/>
    <w:rsid w:val="00D76E81"/>
    <w:rsid w:val="00D80074"/>
    <w:rsid w:val="00D803B9"/>
    <w:rsid w:val="00D811DE"/>
    <w:rsid w:val="00D82B10"/>
    <w:rsid w:val="00D851F2"/>
    <w:rsid w:val="00D855A6"/>
    <w:rsid w:val="00D8686A"/>
    <w:rsid w:val="00D86D5A"/>
    <w:rsid w:val="00D87359"/>
    <w:rsid w:val="00D87BC6"/>
    <w:rsid w:val="00D87C69"/>
    <w:rsid w:val="00D90C21"/>
    <w:rsid w:val="00D91762"/>
    <w:rsid w:val="00D917E7"/>
    <w:rsid w:val="00D91D1C"/>
    <w:rsid w:val="00D9236C"/>
    <w:rsid w:val="00D92A84"/>
    <w:rsid w:val="00D92F0A"/>
    <w:rsid w:val="00D94420"/>
    <w:rsid w:val="00D95332"/>
    <w:rsid w:val="00D9640B"/>
    <w:rsid w:val="00D9663F"/>
    <w:rsid w:val="00D9673F"/>
    <w:rsid w:val="00D975ED"/>
    <w:rsid w:val="00DA0A63"/>
    <w:rsid w:val="00DA1600"/>
    <w:rsid w:val="00DA2AE5"/>
    <w:rsid w:val="00DA2C58"/>
    <w:rsid w:val="00DA2DF2"/>
    <w:rsid w:val="00DA2FB7"/>
    <w:rsid w:val="00DA304C"/>
    <w:rsid w:val="00DA37AD"/>
    <w:rsid w:val="00DA40B2"/>
    <w:rsid w:val="00DA544E"/>
    <w:rsid w:val="00DA770E"/>
    <w:rsid w:val="00DB18AF"/>
    <w:rsid w:val="00DB18F4"/>
    <w:rsid w:val="00DB2777"/>
    <w:rsid w:val="00DB474D"/>
    <w:rsid w:val="00DB4B28"/>
    <w:rsid w:val="00DB4EAD"/>
    <w:rsid w:val="00DB5D4E"/>
    <w:rsid w:val="00DB5D84"/>
    <w:rsid w:val="00DB602E"/>
    <w:rsid w:val="00DB6145"/>
    <w:rsid w:val="00DB678F"/>
    <w:rsid w:val="00DB6E5D"/>
    <w:rsid w:val="00DC1000"/>
    <w:rsid w:val="00DC120F"/>
    <w:rsid w:val="00DC1521"/>
    <w:rsid w:val="00DC1C02"/>
    <w:rsid w:val="00DC305A"/>
    <w:rsid w:val="00DC3349"/>
    <w:rsid w:val="00DC450B"/>
    <w:rsid w:val="00DC47C5"/>
    <w:rsid w:val="00DC496D"/>
    <w:rsid w:val="00DC4B7B"/>
    <w:rsid w:val="00DC53E8"/>
    <w:rsid w:val="00DC57C4"/>
    <w:rsid w:val="00DC5D01"/>
    <w:rsid w:val="00DD0EE7"/>
    <w:rsid w:val="00DD14FE"/>
    <w:rsid w:val="00DD3C82"/>
    <w:rsid w:val="00DD54E3"/>
    <w:rsid w:val="00DE0118"/>
    <w:rsid w:val="00DE077C"/>
    <w:rsid w:val="00DE1AC7"/>
    <w:rsid w:val="00DE1BFE"/>
    <w:rsid w:val="00DE264D"/>
    <w:rsid w:val="00DE2786"/>
    <w:rsid w:val="00DE4FE7"/>
    <w:rsid w:val="00DE527F"/>
    <w:rsid w:val="00DE5BBD"/>
    <w:rsid w:val="00DE5DCF"/>
    <w:rsid w:val="00DE6B30"/>
    <w:rsid w:val="00DE74B9"/>
    <w:rsid w:val="00DE7E40"/>
    <w:rsid w:val="00DF01C6"/>
    <w:rsid w:val="00DF0A30"/>
    <w:rsid w:val="00DF0C67"/>
    <w:rsid w:val="00DF0ED9"/>
    <w:rsid w:val="00DF10DF"/>
    <w:rsid w:val="00DF11A3"/>
    <w:rsid w:val="00DF24CD"/>
    <w:rsid w:val="00DF2575"/>
    <w:rsid w:val="00DF3097"/>
    <w:rsid w:val="00DF3110"/>
    <w:rsid w:val="00DF433A"/>
    <w:rsid w:val="00DF44BC"/>
    <w:rsid w:val="00DF45DB"/>
    <w:rsid w:val="00DF4B3A"/>
    <w:rsid w:val="00DF579D"/>
    <w:rsid w:val="00DF5FA6"/>
    <w:rsid w:val="00DF6DAA"/>
    <w:rsid w:val="00E0056B"/>
    <w:rsid w:val="00E015DB"/>
    <w:rsid w:val="00E02334"/>
    <w:rsid w:val="00E0259C"/>
    <w:rsid w:val="00E03795"/>
    <w:rsid w:val="00E045AE"/>
    <w:rsid w:val="00E04618"/>
    <w:rsid w:val="00E054ED"/>
    <w:rsid w:val="00E05DBB"/>
    <w:rsid w:val="00E06075"/>
    <w:rsid w:val="00E077CA"/>
    <w:rsid w:val="00E07C3F"/>
    <w:rsid w:val="00E10613"/>
    <w:rsid w:val="00E123A6"/>
    <w:rsid w:val="00E14092"/>
    <w:rsid w:val="00E145F6"/>
    <w:rsid w:val="00E14A85"/>
    <w:rsid w:val="00E15E2B"/>
    <w:rsid w:val="00E15FA3"/>
    <w:rsid w:val="00E16A07"/>
    <w:rsid w:val="00E17EF8"/>
    <w:rsid w:val="00E203C0"/>
    <w:rsid w:val="00E21BC4"/>
    <w:rsid w:val="00E225EE"/>
    <w:rsid w:val="00E22843"/>
    <w:rsid w:val="00E234B1"/>
    <w:rsid w:val="00E23F09"/>
    <w:rsid w:val="00E24342"/>
    <w:rsid w:val="00E24B38"/>
    <w:rsid w:val="00E2517A"/>
    <w:rsid w:val="00E260FC"/>
    <w:rsid w:val="00E27C73"/>
    <w:rsid w:val="00E300B3"/>
    <w:rsid w:val="00E32901"/>
    <w:rsid w:val="00E32A53"/>
    <w:rsid w:val="00E32C1C"/>
    <w:rsid w:val="00E334BD"/>
    <w:rsid w:val="00E33B0F"/>
    <w:rsid w:val="00E34619"/>
    <w:rsid w:val="00E34B59"/>
    <w:rsid w:val="00E35D3D"/>
    <w:rsid w:val="00E364B3"/>
    <w:rsid w:val="00E3728C"/>
    <w:rsid w:val="00E40382"/>
    <w:rsid w:val="00E41C9A"/>
    <w:rsid w:val="00E42045"/>
    <w:rsid w:val="00E42C22"/>
    <w:rsid w:val="00E42D9C"/>
    <w:rsid w:val="00E43173"/>
    <w:rsid w:val="00E43590"/>
    <w:rsid w:val="00E44464"/>
    <w:rsid w:val="00E44C9C"/>
    <w:rsid w:val="00E469EF"/>
    <w:rsid w:val="00E47B9D"/>
    <w:rsid w:val="00E5093D"/>
    <w:rsid w:val="00E50B10"/>
    <w:rsid w:val="00E519F9"/>
    <w:rsid w:val="00E52C6F"/>
    <w:rsid w:val="00E531C9"/>
    <w:rsid w:val="00E535D0"/>
    <w:rsid w:val="00E547E2"/>
    <w:rsid w:val="00E54CB4"/>
    <w:rsid w:val="00E559A5"/>
    <w:rsid w:val="00E56321"/>
    <w:rsid w:val="00E5634B"/>
    <w:rsid w:val="00E577DC"/>
    <w:rsid w:val="00E57A20"/>
    <w:rsid w:val="00E6021A"/>
    <w:rsid w:val="00E61268"/>
    <w:rsid w:val="00E6137E"/>
    <w:rsid w:val="00E629AA"/>
    <w:rsid w:val="00E637C3"/>
    <w:rsid w:val="00E63E85"/>
    <w:rsid w:val="00E64B95"/>
    <w:rsid w:val="00E657B7"/>
    <w:rsid w:val="00E659C5"/>
    <w:rsid w:val="00E65A79"/>
    <w:rsid w:val="00E6610A"/>
    <w:rsid w:val="00E66DBC"/>
    <w:rsid w:val="00E6708B"/>
    <w:rsid w:val="00E670AD"/>
    <w:rsid w:val="00E67656"/>
    <w:rsid w:val="00E677E6"/>
    <w:rsid w:val="00E67FAE"/>
    <w:rsid w:val="00E70C04"/>
    <w:rsid w:val="00E712DF"/>
    <w:rsid w:val="00E716E0"/>
    <w:rsid w:val="00E72917"/>
    <w:rsid w:val="00E73551"/>
    <w:rsid w:val="00E74836"/>
    <w:rsid w:val="00E7531D"/>
    <w:rsid w:val="00E755E5"/>
    <w:rsid w:val="00E76BC8"/>
    <w:rsid w:val="00E779F1"/>
    <w:rsid w:val="00E80196"/>
    <w:rsid w:val="00E80510"/>
    <w:rsid w:val="00E80CA5"/>
    <w:rsid w:val="00E81676"/>
    <w:rsid w:val="00E828F2"/>
    <w:rsid w:val="00E829FD"/>
    <w:rsid w:val="00E82A18"/>
    <w:rsid w:val="00E82D4E"/>
    <w:rsid w:val="00E84CD5"/>
    <w:rsid w:val="00E854D5"/>
    <w:rsid w:val="00E85752"/>
    <w:rsid w:val="00E85C8A"/>
    <w:rsid w:val="00E90B63"/>
    <w:rsid w:val="00E91DE7"/>
    <w:rsid w:val="00E921DC"/>
    <w:rsid w:val="00E942ED"/>
    <w:rsid w:val="00E94689"/>
    <w:rsid w:val="00E97699"/>
    <w:rsid w:val="00E97778"/>
    <w:rsid w:val="00E97B48"/>
    <w:rsid w:val="00EA16E7"/>
    <w:rsid w:val="00EA18AC"/>
    <w:rsid w:val="00EA4038"/>
    <w:rsid w:val="00EA5C3D"/>
    <w:rsid w:val="00EA62FA"/>
    <w:rsid w:val="00EA66FD"/>
    <w:rsid w:val="00EA759C"/>
    <w:rsid w:val="00EB0AFF"/>
    <w:rsid w:val="00EB2EE5"/>
    <w:rsid w:val="00EB3454"/>
    <w:rsid w:val="00EB43FD"/>
    <w:rsid w:val="00EB4CA5"/>
    <w:rsid w:val="00EB56E3"/>
    <w:rsid w:val="00EB572A"/>
    <w:rsid w:val="00EB5958"/>
    <w:rsid w:val="00EB59AC"/>
    <w:rsid w:val="00EB5C29"/>
    <w:rsid w:val="00EB5EAD"/>
    <w:rsid w:val="00EB724C"/>
    <w:rsid w:val="00EB7FF7"/>
    <w:rsid w:val="00EC154B"/>
    <w:rsid w:val="00EC16B6"/>
    <w:rsid w:val="00EC18E6"/>
    <w:rsid w:val="00EC29B0"/>
    <w:rsid w:val="00EC2F2E"/>
    <w:rsid w:val="00EC3B5E"/>
    <w:rsid w:val="00EC4718"/>
    <w:rsid w:val="00EC4879"/>
    <w:rsid w:val="00EC4937"/>
    <w:rsid w:val="00EC62BF"/>
    <w:rsid w:val="00ED115C"/>
    <w:rsid w:val="00ED1A89"/>
    <w:rsid w:val="00ED1C72"/>
    <w:rsid w:val="00ED2260"/>
    <w:rsid w:val="00ED262F"/>
    <w:rsid w:val="00ED30EC"/>
    <w:rsid w:val="00ED4AD0"/>
    <w:rsid w:val="00ED4E1F"/>
    <w:rsid w:val="00ED5F4B"/>
    <w:rsid w:val="00ED67BE"/>
    <w:rsid w:val="00ED7796"/>
    <w:rsid w:val="00EE13A2"/>
    <w:rsid w:val="00EE1805"/>
    <w:rsid w:val="00EE1F21"/>
    <w:rsid w:val="00EE38CD"/>
    <w:rsid w:val="00EE5B99"/>
    <w:rsid w:val="00EE6854"/>
    <w:rsid w:val="00EE6B38"/>
    <w:rsid w:val="00EF066C"/>
    <w:rsid w:val="00EF15FD"/>
    <w:rsid w:val="00EF1614"/>
    <w:rsid w:val="00EF40F3"/>
    <w:rsid w:val="00EF4EFC"/>
    <w:rsid w:val="00EF56DA"/>
    <w:rsid w:val="00EF585F"/>
    <w:rsid w:val="00EF5D10"/>
    <w:rsid w:val="00EF7646"/>
    <w:rsid w:val="00EF7D7E"/>
    <w:rsid w:val="00F004F2"/>
    <w:rsid w:val="00F005A6"/>
    <w:rsid w:val="00F039DC"/>
    <w:rsid w:val="00F03F77"/>
    <w:rsid w:val="00F04842"/>
    <w:rsid w:val="00F04E93"/>
    <w:rsid w:val="00F050C2"/>
    <w:rsid w:val="00F054D9"/>
    <w:rsid w:val="00F06F98"/>
    <w:rsid w:val="00F075D7"/>
    <w:rsid w:val="00F10D05"/>
    <w:rsid w:val="00F12070"/>
    <w:rsid w:val="00F1382A"/>
    <w:rsid w:val="00F1548A"/>
    <w:rsid w:val="00F17317"/>
    <w:rsid w:val="00F20138"/>
    <w:rsid w:val="00F20902"/>
    <w:rsid w:val="00F21CCA"/>
    <w:rsid w:val="00F221F0"/>
    <w:rsid w:val="00F22269"/>
    <w:rsid w:val="00F2241F"/>
    <w:rsid w:val="00F22A01"/>
    <w:rsid w:val="00F22C15"/>
    <w:rsid w:val="00F236E2"/>
    <w:rsid w:val="00F23FC9"/>
    <w:rsid w:val="00F240E7"/>
    <w:rsid w:val="00F24770"/>
    <w:rsid w:val="00F24B53"/>
    <w:rsid w:val="00F258C7"/>
    <w:rsid w:val="00F25C33"/>
    <w:rsid w:val="00F25CA4"/>
    <w:rsid w:val="00F2713C"/>
    <w:rsid w:val="00F277B4"/>
    <w:rsid w:val="00F314E7"/>
    <w:rsid w:val="00F31553"/>
    <w:rsid w:val="00F31C41"/>
    <w:rsid w:val="00F320A7"/>
    <w:rsid w:val="00F33209"/>
    <w:rsid w:val="00F34725"/>
    <w:rsid w:val="00F34BC8"/>
    <w:rsid w:val="00F3548A"/>
    <w:rsid w:val="00F36059"/>
    <w:rsid w:val="00F402C7"/>
    <w:rsid w:val="00F406C6"/>
    <w:rsid w:val="00F41A0B"/>
    <w:rsid w:val="00F4250D"/>
    <w:rsid w:val="00F42E63"/>
    <w:rsid w:val="00F439FC"/>
    <w:rsid w:val="00F43F2E"/>
    <w:rsid w:val="00F44E23"/>
    <w:rsid w:val="00F46595"/>
    <w:rsid w:val="00F507F1"/>
    <w:rsid w:val="00F5080E"/>
    <w:rsid w:val="00F509F5"/>
    <w:rsid w:val="00F51C63"/>
    <w:rsid w:val="00F5289F"/>
    <w:rsid w:val="00F539C1"/>
    <w:rsid w:val="00F54740"/>
    <w:rsid w:val="00F550A7"/>
    <w:rsid w:val="00F553FE"/>
    <w:rsid w:val="00F56BD7"/>
    <w:rsid w:val="00F56F47"/>
    <w:rsid w:val="00F57857"/>
    <w:rsid w:val="00F600D8"/>
    <w:rsid w:val="00F601E7"/>
    <w:rsid w:val="00F604CE"/>
    <w:rsid w:val="00F61398"/>
    <w:rsid w:val="00F61E0D"/>
    <w:rsid w:val="00F62EF5"/>
    <w:rsid w:val="00F64C3F"/>
    <w:rsid w:val="00F6567D"/>
    <w:rsid w:val="00F65F7D"/>
    <w:rsid w:val="00F661DE"/>
    <w:rsid w:val="00F666FB"/>
    <w:rsid w:val="00F675B8"/>
    <w:rsid w:val="00F67B25"/>
    <w:rsid w:val="00F67E11"/>
    <w:rsid w:val="00F70222"/>
    <w:rsid w:val="00F7038B"/>
    <w:rsid w:val="00F70CBA"/>
    <w:rsid w:val="00F71545"/>
    <w:rsid w:val="00F715BC"/>
    <w:rsid w:val="00F71A58"/>
    <w:rsid w:val="00F720A6"/>
    <w:rsid w:val="00F72D75"/>
    <w:rsid w:val="00F74D2B"/>
    <w:rsid w:val="00F74EE0"/>
    <w:rsid w:val="00F74FC7"/>
    <w:rsid w:val="00F753F8"/>
    <w:rsid w:val="00F75693"/>
    <w:rsid w:val="00F75C27"/>
    <w:rsid w:val="00F7637F"/>
    <w:rsid w:val="00F7705F"/>
    <w:rsid w:val="00F77138"/>
    <w:rsid w:val="00F80B80"/>
    <w:rsid w:val="00F80BAC"/>
    <w:rsid w:val="00F83AE5"/>
    <w:rsid w:val="00F84C2F"/>
    <w:rsid w:val="00F84F36"/>
    <w:rsid w:val="00F8699C"/>
    <w:rsid w:val="00F87C52"/>
    <w:rsid w:val="00F91CEC"/>
    <w:rsid w:val="00F92B31"/>
    <w:rsid w:val="00F92BB4"/>
    <w:rsid w:val="00F933C2"/>
    <w:rsid w:val="00F9343F"/>
    <w:rsid w:val="00F93AB2"/>
    <w:rsid w:val="00F94222"/>
    <w:rsid w:val="00F942D2"/>
    <w:rsid w:val="00F94AB6"/>
    <w:rsid w:val="00F94B93"/>
    <w:rsid w:val="00F94E75"/>
    <w:rsid w:val="00F955B0"/>
    <w:rsid w:val="00F95A53"/>
    <w:rsid w:val="00F96864"/>
    <w:rsid w:val="00F96BF5"/>
    <w:rsid w:val="00FA01F8"/>
    <w:rsid w:val="00FA0778"/>
    <w:rsid w:val="00FA1A3D"/>
    <w:rsid w:val="00FA248F"/>
    <w:rsid w:val="00FA2D06"/>
    <w:rsid w:val="00FA35E8"/>
    <w:rsid w:val="00FA3D7D"/>
    <w:rsid w:val="00FA3E09"/>
    <w:rsid w:val="00FA4134"/>
    <w:rsid w:val="00FA4D25"/>
    <w:rsid w:val="00FA505A"/>
    <w:rsid w:val="00FA5FC2"/>
    <w:rsid w:val="00FA6DA9"/>
    <w:rsid w:val="00FA7212"/>
    <w:rsid w:val="00FA799C"/>
    <w:rsid w:val="00FB0772"/>
    <w:rsid w:val="00FB0FD7"/>
    <w:rsid w:val="00FB2CD0"/>
    <w:rsid w:val="00FB2F1A"/>
    <w:rsid w:val="00FB2FB1"/>
    <w:rsid w:val="00FB3220"/>
    <w:rsid w:val="00FB35C3"/>
    <w:rsid w:val="00FB4E4C"/>
    <w:rsid w:val="00FB6D86"/>
    <w:rsid w:val="00FB70D8"/>
    <w:rsid w:val="00FB7ACC"/>
    <w:rsid w:val="00FC0420"/>
    <w:rsid w:val="00FC06CB"/>
    <w:rsid w:val="00FC0ECC"/>
    <w:rsid w:val="00FC1ABB"/>
    <w:rsid w:val="00FC4294"/>
    <w:rsid w:val="00FC4605"/>
    <w:rsid w:val="00FC56D8"/>
    <w:rsid w:val="00FC5FEF"/>
    <w:rsid w:val="00FC60DF"/>
    <w:rsid w:val="00FC61B4"/>
    <w:rsid w:val="00FC6EEB"/>
    <w:rsid w:val="00FC751F"/>
    <w:rsid w:val="00FD10B7"/>
    <w:rsid w:val="00FD11E7"/>
    <w:rsid w:val="00FD131B"/>
    <w:rsid w:val="00FD2049"/>
    <w:rsid w:val="00FD2390"/>
    <w:rsid w:val="00FD255C"/>
    <w:rsid w:val="00FD2B6F"/>
    <w:rsid w:val="00FD3503"/>
    <w:rsid w:val="00FD416D"/>
    <w:rsid w:val="00FD4407"/>
    <w:rsid w:val="00FD4512"/>
    <w:rsid w:val="00FD54B1"/>
    <w:rsid w:val="00FE10A6"/>
    <w:rsid w:val="00FE13CD"/>
    <w:rsid w:val="00FE17CD"/>
    <w:rsid w:val="00FE3583"/>
    <w:rsid w:val="00FE4023"/>
    <w:rsid w:val="00FE4113"/>
    <w:rsid w:val="00FE6157"/>
    <w:rsid w:val="00FE729F"/>
    <w:rsid w:val="00FE7E6F"/>
    <w:rsid w:val="00FF078B"/>
    <w:rsid w:val="00FF0DFF"/>
    <w:rsid w:val="00FF2A94"/>
    <w:rsid w:val="00FF3381"/>
    <w:rsid w:val="00FF38C5"/>
    <w:rsid w:val="00FF414A"/>
    <w:rsid w:val="00FF4378"/>
    <w:rsid w:val="00FF4CF8"/>
    <w:rsid w:val="00FF6666"/>
    <w:rsid w:val="00FF6C7E"/>
    <w:rsid w:val="00FF7F38"/>
    <w:rsid w:val="022A7448"/>
    <w:rsid w:val="02977BBA"/>
    <w:rsid w:val="02FF21C0"/>
    <w:rsid w:val="048C067C"/>
    <w:rsid w:val="054018B2"/>
    <w:rsid w:val="05695015"/>
    <w:rsid w:val="08BA19FA"/>
    <w:rsid w:val="09B206EE"/>
    <w:rsid w:val="0B5A4D80"/>
    <w:rsid w:val="0BD13ACA"/>
    <w:rsid w:val="0C9B1774"/>
    <w:rsid w:val="0F1E6343"/>
    <w:rsid w:val="15CF0291"/>
    <w:rsid w:val="1B9A7CA7"/>
    <w:rsid w:val="1C116020"/>
    <w:rsid w:val="1D3C51CB"/>
    <w:rsid w:val="28EB6E47"/>
    <w:rsid w:val="28FA7391"/>
    <w:rsid w:val="29045D52"/>
    <w:rsid w:val="2AF47C0A"/>
    <w:rsid w:val="2B585667"/>
    <w:rsid w:val="2C5E032F"/>
    <w:rsid w:val="2D361D02"/>
    <w:rsid w:val="30BC5625"/>
    <w:rsid w:val="32FD4053"/>
    <w:rsid w:val="356947A5"/>
    <w:rsid w:val="35CC49D0"/>
    <w:rsid w:val="36486C16"/>
    <w:rsid w:val="38F03834"/>
    <w:rsid w:val="38FF075E"/>
    <w:rsid w:val="3D021712"/>
    <w:rsid w:val="44DE7463"/>
    <w:rsid w:val="4539335F"/>
    <w:rsid w:val="47E47115"/>
    <w:rsid w:val="48255EAE"/>
    <w:rsid w:val="4E62189C"/>
    <w:rsid w:val="4F0B085A"/>
    <w:rsid w:val="51443475"/>
    <w:rsid w:val="57F72DC7"/>
    <w:rsid w:val="5A006E0C"/>
    <w:rsid w:val="5A135281"/>
    <w:rsid w:val="5B8475D7"/>
    <w:rsid w:val="5CA759A3"/>
    <w:rsid w:val="5D1E37A1"/>
    <w:rsid w:val="64434384"/>
    <w:rsid w:val="6661029A"/>
    <w:rsid w:val="6796112C"/>
    <w:rsid w:val="6A286952"/>
    <w:rsid w:val="6B84760B"/>
    <w:rsid w:val="6D7E5017"/>
    <w:rsid w:val="72A77BA0"/>
    <w:rsid w:val="738F18F1"/>
    <w:rsid w:val="75CC1DDE"/>
    <w:rsid w:val="77B65910"/>
    <w:rsid w:val="7BFF18E8"/>
    <w:rsid w:val="7D5B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qFormat="1"/>
    <w:lsdException w:name="toc 8" w:semiHidden="0" w:uiPriority="39" w:qFormat="1"/>
    <w:lsdException w:name="toc 9" w:semiHidden="0" w:uiPriority="39" w:qFormat="1"/>
    <w:lsdException w:name="footnote text" w:qFormat="1"/>
    <w:lsdException w:name="annotation text" w:semiHidden="0" w:qFormat="1"/>
    <w:lsdException w:name="header" w:semiHidden="0" w:uiPriority="0" w:qFormat="1"/>
    <w:lsdException w:name="footer" w:semiHidden="0" w:uiPriority="0" w:qFormat="1"/>
    <w:lsdException w:name="caption" w:semiHidden="0" w:uiPriority="35" w:unhideWhenUsed="0" w:qFormat="1"/>
    <w:lsdException w:name="footnote reference"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semiHidden="0" w:uiPriority="0" w:unhideWhenUsed="0"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2"/>
    </w:rPr>
  </w:style>
  <w:style w:type="paragraph" w:styleId="1">
    <w:name w:val="heading 1"/>
    <w:basedOn w:val="a2"/>
    <w:next w:val="a2"/>
    <w:link w:val="1Char"/>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Char"/>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2"/>
    <w:next w:val="a2"/>
    <w:link w:val="3Char"/>
    <w:uiPriority w:val="9"/>
    <w:unhideWhenUsed/>
    <w:qFormat/>
    <w:pPr>
      <w:keepNext/>
      <w:keepLines/>
      <w:numPr>
        <w:numId w:val="1"/>
      </w:numPr>
      <w:spacing w:line="360" w:lineRule="auto"/>
      <w:ind w:left="426"/>
      <w:outlineLvl w:val="2"/>
    </w:pPr>
    <w:rPr>
      <w:bCs/>
      <w:sz w:val="24"/>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uiPriority w:val="39"/>
    <w:unhideWhenUsed/>
    <w:qFormat/>
    <w:pPr>
      <w:ind w:left="1260"/>
      <w:jc w:val="left"/>
    </w:pPr>
    <w:rPr>
      <w:rFonts w:ascii="Calibri" w:hAnsi="Calibri"/>
      <w:sz w:val="20"/>
      <w:szCs w:val="20"/>
    </w:rPr>
  </w:style>
  <w:style w:type="paragraph" w:styleId="a6">
    <w:name w:val="caption"/>
    <w:basedOn w:val="a7"/>
    <w:next w:val="a7"/>
    <w:uiPriority w:val="35"/>
    <w:qFormat/>
    <w:pPr>
      <w:spacing w:line="312" w:lineRule="auto"/>
      <w:jc w:val="center"/>
    </w:pPr>
    <w:rPr>
      <w:b/>
      <w:sz w:val="24"/>
      <w:szCs w:val="24"/>
    </w:rPr>
  </w:style>
  <w:style w:type="paragraph" w:styleId="a7">
    <w:name w:val="No Spacing"/>
    <w:uiPriority w:val="99"/>
    <w:qFormat/>
    <w:pPr>
      <w:widowControl w:val="0"/>
      <w:jc w:val="both"/>
    </w:pPr>
    <w:rPr>
      <w:kern w:val="2"/>
      <w:sz w:val="21"/>
      <w:szCs w:val="22"/>
    </w:rPr>
  </w:style>
  <w:style w:type="paragraph" w:styleId="a8">
    <w:name w:val="Document Map"/>
    <w:basedOn w:val="a2"/>
    <w:link w:val="Char"/>
    <w:uiPriority w:val="99"/>
    <w:unhideWhenUsed/>
    <w:qFormat/>
    <w:rPr>
      <w:rFonts w:ascii="宋体"/>
      <w:kern w:val="0"/>
      <w:sz w:val="18"/>
      <w:szCs w:val="18"/>
    </w:rPr>
  </w:style>
  <w:style w:type="paragraph" w:styleId="a9">
    <w:name w:val="annotation text"/>
    <w:basedOn w:val="a2"/>
    <w:link w:val="Char0"/>
    <w:uiPriority w:val="99"/>
    <w:unhideWhenUsed/>
    <w:qFormat/>
    <w:pPr>
      <w:jc w:val="left"/>
    </w:pPr>
  </w:style>
  <w:style w:type="paragraph" w:styleId="5">
    <w:name w:val="toc 5"/>
    <w:basedOn w:val="a2"/>
    <w:next w:val="a2"/>
    <w:uiPriority w:val="39"/>
    <w:unhideWhenUsed/>
    <w:pPr>
      <w:ind w:left="840"/>
      <w:jc w:val="left"/>
    </w:pPr>
    <w:rPr>
      <w:rFonts w:ascii="Calibri" w:hAnsi="Calibri"/>
      <w:sz w:val="20"/>
      <w:szCs w:val="20"/>
    </w:rPr>
  </w:style>
  <w:style w:type="paragraph" w:styleId="30">
    <w:name w:val="toc 3"/>
    <w:basedOn w:val="a2"/>
    <w:next w:val="a2"/>
    <w:uiPriority w:val="39"/>
    <w:unhideWhenUsed/>
    <w:qFormat/>
    <w:pPr>
      <w:ind w:left="420"/>
      <w:jc w:val="left"/>
    </w:pPr>
    <w:rPr>
      <w:rFonts w:ascii="Calibri" w:hAnsi="Calibri"/>
      <w:sz w:val="20"/>
      <w:szCs w:val="20"/>
    </w:rPr>
  </w:style>
  <w:style w:type="paragraph" w:styleId="8">
    <w:name w:val="toc 8"/>
    <w:basedOn w:val="a2"/>
    <w:next w:val="a2"/>
    <w:uiPriority w:val="39"/>
    <w:unhideWhenUsed/>
    <w:qFormat/>
    <w:pPr>
      <w:ind w:left="1470"/>
      <w:jc w:val="left"/>
    </w:pPr>
    <w:rPr>
      <w:rFonts w:ascii="Calibri" w:hAnsi="Calibri"/>
      <w:sz w:val="20"/>
      <w:szCs w:val="20"/>
    </w:rPr>
  </w:style>
  <w:style w:type="paragraph" w:styleId="aa">
    <w:name w:val="Date"/>
    <w:basedOn w:val="a2"/>
    <w:next w:val="a2"/>
    <w:link w:val="Char1"/>
    <w:uiPriority w:val="99"/>
    <w:semiHidden/>
    <w:unhideWhenUsed/>
    <w:qFormat/>
    <w:pPr>
      <w:ind w:leftChars="2500" w:left="100"/>
    </w:pPr>
  </w:style>
  <w:style w:type="paragraph" w:styleId="ab">
    <w:name w:val="Balloon Text"/>
    <w:basedOn w:val="a2"/>
    <w:link w:val="Char2"/>
    <w:qFormat/>
    <w:rPr>
      <w:sz w:val="18"/>
      <w:szCs w:val="18"/>
    </w:rPr>
  </w:style>
  <w:style w:type="paragraph" w:styleId="ac">
    <w:name w:val="footer"/>
    <w:basedOn w:val="a2"/>
    <w:link w:val="Char3"/>
    <w:unhideWhenUsed/>
    <w:qFormat/>
    <w:pPr>
      <w:tabs>
        <w:tab w:val="center" w:pos="4153"/>
        <w:tab w:val="right" w:pos="8306"/>
      </w:tabs>
      <w:snapToGrid w:val="0"/>
      <w:jc w:val="left"/>
    </w:pPr>
    <w:rPr>
      <w:sz w:val="18"/>
      <w:szCs w:val="18"/>
    </w:rPr>
  </w:style>
  <w:style w:type="paragraph" w:styleId="ad">
    <w:name w:val="header"/>
    <w:basedOn w:val="a2"/>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pPr>
      <w:spacing w:before="240" w:after="120"/>
      <w:jc w:val="left"/>
    </w:pPr>
    <w:rPr>
      <w:rFonts w:ascii="Calibri" w:hAnsi="Calibri"/>
      <w:b/>
      <w:bCs/>
      <w:sz w:val="20"/>
      <w:szCs w:val="20"/>
    </w:rPr>
  </w:style>
  <w:style w:type="paragraph" w:styleId="4">
    <w:name w:val="toc 4"/>
    <w:basedOn w:val="a2"/>
    <w:next w:val="a2"/>
    <w:uiPriority w:val="39"/>
    <w:unhideWhenUsed/>
    <w:pPr>
      <w:ind w:left="630"/>
      <w:jc w:val="left"/>
    </w:pPr>
    <w:rPr>
      <w:rFonts w:ascii="Calibri" w:hAnsi="Calibri"/>
      <w:sz w:val="20"/>
      <w:szCs w:val="20"/>
    </w:rPr>
  </w:style>
  <w:style w:type="paragraph" w:styleId="ae">
    <w:name w:val="footnote text"/>
    <w:basedOn w:val="a2"/>
    <w:link w:val="Char5"/>
    <w:uiPriority w:val="99"/>
    <w:semiHidden/>
    <w:unhideWhenUsed/>
    <w:qFormat/>
    <w:pPr>
      <w:snapToGrid w:val="0"/>
      <w:jc w:val="left"/>
    </w:pPr>
    <w:rPr>
      <w:sz w:val="18"/>
      <w:szCs w:val="18"/>
    </w:rPr>
  </w:style>
  <w:style w:type="paragraph" w:styleId="6">
    <w:name w:val="toc 6"/>
    <w:basedOn w:val="a2"/>
    <w:next w:val="a2"/>
    <w:uiPriority w:val="39"/>
    <w:unhideWhenUsed/>
    <w:pPr>
      <w:ind w:left="1050"/>
      <w:jc w:val="left"/>
    </w:pPr>
    <w:rPr>
      <w:rFonts w:ascii="Calibri" w:hAnsi="Calibri"/>
      <w:sz w:val="20"/>
      <w:szCs w:val="20"/>
    </w:rPr>
  </w:style>
  <w:style w:type="paragraph" w:styleId="20">
    <w:name w:val="toc 2"/>
    <w:basedOn w:val="a2"/>
    <w:next w:val="a2"/>
    <w:uiPriority w:val="39"/>
    <w:unhideWhenUsed/>
    <w:qFormat/>
    <w:pPr>
      <w:spacing w:before="120"/>
      <w:ind w:left="210"/>
      <w:jc w:val="left"/>
    </w:pPr>
    <w:rPr>
      <w:rFonts w:ascii="Calibri" w:hAnsi="Calibri"/>
      <w:i/>
      <w:iCs/>
      <w:sz w:val="20"/>
      <w:szCs w:val="20"/>
    </w:rPr>
  </w:style>
  <w:style w:type="paragraph" w:styleId="9">
    <w:name w:val="toc 9"/>
    <w:basedOn w:val="a2"/>
    <w:next w:val="a2"/>
    <w:uiPriority w:val="39"/>
    <w:unhideWhenUsed/>
    <w:qFormat/>
    <w:pPr>
      <w:ind w:left="1680"/>
      <w:jc w:val="left"/>
    </w:pPr>
    <w:rPr>
      <w:rFonts w:ascii="Calibri" w:hAnsi="Calibri"/>
      <w:sz w:val="20"/>
      <w:szCs w:val="20"/>
    </w:rPr>
  </w:style>
  <w:style w:type="paragraph" w:styleId="af">
    <w:name w:val="Normal (Web)"/>
    <w:basedOn w:val="a2"/>
    <w:uiPriority w:val="99"/>
    <w:unhideWhenUsed/>
    <w:qFormat/>
    <w:pPr>
      <w:spacing w:before="100" w:beforeAutospacing="1" w:after="100" w:afterAutospacing="1"/>
      <w:jc w:val="left"/>
    </w:pPr>
    <w:rPr>
      <w:kern w:val="0"/>
      <w:sz w:val="24"/>
    </w:rPr>
  </w:style>
  <w:style w:type="paragraph" w:styleId="af0">
    <w:name w:val="annotation subject"/>
    <w:basedOn w:val="a9"/>
    <w:next w:val="a9"/>
    <w:link w:val="Char6"/>
    <w:uiPriority w:val="99"/>
    <w:semiHidden/>
    <w:unhideWhenUsed/>
    <w:qFormat/>
    <w:rPr>
      <w:b/>
      <w:bCs/>
    </w:rPr>
  </w:style>
  <w:style w:type="table" w:styleId="af1">
    <w:name w:val="Table Grid"/>
    <w:basedOn w:val="a4"/>
    <w:uiPriority w:val="9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Pr>
      <w:i/>
    </w:rPr>
  </w:style>
  <w:style w:type="character" w:styleId="af3">
    <w:name w:val="Hyperlink"/>
    <w:uiPriority w:val="99"/>
    <w:unhideWhenUsed/>
    <w:qFormat/>
    <w:rPr>
      <w:color w:val="0000FF"/>
      <w:u w:val="single"/>
    </w:rPr>
  </w:style>
  <w:style w:type="character" w:styleId="af4">
    <w:name w:val="annotation reference"/>
    <w:uiPriority w:val="99"/>
    <w:unhideWhenUsed/>
    <w:qFormat/>
    <w:rPr>
      <w:sz w:val="21"/>
      <w:szCs w:val="21"/>
    </w:rPr>
  </w:style>
  <w:style w:type="character" w:styleId="af5">
    <w:name w:val="footnote reference"/>
    <w:basedOn w:val="a3"/>
    <w:uiPriority w:val="99"/>
    <w:semiHidden/>
    <w:unhideWhenUsed/>
    <w:qFormat/>
    <w:rPr>
      <w:vertAlign w:val="superscript"/>
    </w:rPr>
  </w:style>
  <w:style w:type="character" w:customStyle="1" w:styleId="Char3">
    <w:name w:val="页脚 Char"/>
    <w:link w:val="ac"/>
    <w:qFormat/>
    <w:rPr>
      <w:sz w:val="18"/>
      <w:szCs w:val="18"/>
    </w:rPr>
  </w:style>
  <w:style w:type="character" w:customStyle="1" w:styleId="Char2">
    <w:name w:val="批注框文本 Char"/>
    <w:link w:val="ab"/>
    <w:qFormat/>
    <w:rPr>
      <w:kern w:val="2"/>
      <w:sz w:val="18"/>
      <w:szCs w:val="18"/>
    </w:rPr>
  </w:style>
  <w:style w:type="character" w:customStyle="1" w:styleId="1Char">
    <w:name w:val="标题 1 Char"/>
    <w:link w:val="1"/>
    <w:uiPriority w:val="9"/>
    <w:qFormat/>
    <w:rPr>
      <w:rFonts w:ascii="Calibri" w:eastAsia="宋体" w:hAnsi="Calibri" w:cs="Times New Roman"/>
      <w:b/>
      <w:bCs/>
      <w:kern w:val="44"/>
      <w:sz w:val="44"/>
      <w:szCs w:val="44"/>
    </w:rPr>
  </w:style>
  <w:style w:type="character" w:customStyle="1" w:styleId="Char4">
    <w:name w:val="页眉 Char"/>
    <w:link w:val="ad"/>
    <w:qFormat/>
    <w:rPr>
      <w:sz w:val="18"/>
      <w:szCs w:val="18"/>
    </w:rPr>
  </w:style>
  <w:style w:type="paragraph" w:customStyle="1" w:styleId="af6">
    <w:name w:val="前言、引言标题"/>
    <w:next w:val="af7"/>
    <w:qFormat/>
    <w:pPr>
      <w:keepNext/>
      <w:pageBreakBefore/>
      <w:shd w:val="clear" w:color="FFFFFF" w:fill="FFFFFF"/>
      <w:spacing w:before="640" w:after="560"/>
      <w:jc w:val="center"/>
      <w:outlineLvl w:val="0"/>
    </w:pPr>
    <w:rPr>
      <w:rFonts w:ascii="黑体" w:eastAsia="黑体"/>
      <w:sz w:val="32"/>
    </w:rPr>
  </w:style>
  <w:style w:type="paragraph" w:customStyle="1" w:styleId="af7">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1">
    <w:name w:val="二级条标题"/>
    <w:basedOn w:val="a0"/>
    <w:next w:val="af7"/>
    <w:qFormat/>
    <w:pPr>
      <w:numPr>
        <w:ilvl w:val="2"/>
      </w:numPr>
      <w:spacing w:before="50" w:after="50"/>
      <w:outlineLvl w:val="3"/>
    </w:pPr>
  </w:style>
  <w:style w:type="paragraph" w:customStyle="1" w:styleId="a0">
    <w:name w:val="一级条标题"/>
    <w:next w:val="af7"/>
    <w:qFormat/>
    <w:pPr>
      <w:numPr>
        <w:ilvl w:val="1"/>
        <w:numId w:val="2"/>
      </w:numPr>
      <w:spacing w:beforeLines="50" w:afterLines="50"/>
      <w:outlineLvl w:val="2"/>
    </w:pPr>
    <w:rPr>
      <w:rFonts w:ascii="黑体" w:eastAsia="黑体"/>
      <w:sz w:val="21"/>
      <w:szCs w:val="21"/>
    </w:rPr>
  </w:style>
  <w:style w:type="paragraph" w:customStyle="1" w:styleId="a">
    <w:name w:val="附录标识"/>
    <w:basedOn w:val="af6"/>
    <w:qFormat/>
    <w:pPr>
      <w:keepNext w:val="0"/>
      <w:pageBreakBefore w:val="0"/>
      <w:numPr>
        <w:numId w:val="3"/>
      </w:numPr>
      <w:tabs>
        <w:tab w:val="left" w:pos="6405"/>
      </w:tabs>
      <w:spacing w:after="200"/>
    </w:pPr>
    <w:rPr>
      <w:sz w:val="21"/>
    </w:rPr>
  </w:style>
  <w:style w:type="paragraph" w:customStyle="1" w:styleId="TOC1">
    <w:name w:val="TOC 标题1"/>
    <w:basedOn w:val="1"/>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TableParagraph">
    <w:name w:val="Table Paragraph"/>
    <w:basedOn w:val="a2"/>
    <w:qFormat/>
    <w:pPr>
      <w:autoSpaceDE w:val="0"/>
      <w:autoSpaceDN w:val="0"/>
      <w:adjustRightInd w:val="0"/>
      <w:jc w:val="left"/>
    </w:pPr>
    <w:rPr>
      <w:kern w:val="0"/>
      <w:sz w:val="24"/>
      <w:szCs w:val="24"/>
    </w:rPr>
  </w:style>
  <w:style w:type="character" w:customStyle="1" w:styleId="2Char">
    <w:name w:val="标题 2 Char"/>
    <w:link w:val="2"/>
    <w:uiPriority w:val="9"/>
    <w:qFormat/>
    <w:rPr>
      <w:rFonts w:ascii="等线 Light" w:eastAsia="等线 Light" w:hAnsi="等线 Light" w:cs="Times New Roman"/>
      <w:b/>
      <w:bCs/>
      <w:kern w:val="2"/>
      <w:sz w:val="32"/>
      <w:szCs w:val="32"/>
    </w:rPr>
  </w:style>
  <w:style w:type="paragraph" w:styleId="af8">
    <w:name w:val="List Paragraph"/>
    <w:basedOn w:val="a2"/>
    <w:uiPriority w:val="34"/>
    <w:qFormat/>
    <w:pPr>
      <w:ind w:firstLineChars="200" w:firstLine="420"/>
    </w:pPr>
    <w:rPr>
      <w:rFonts w:ascii="Calibri" w:hAnsi="Calibri"/>
    </w:rPr>
  </w:style>
  <w:style w:type="paragraph" w:customStyle="1" w:styleId="af9">
    <w:name w:val="表格样式"/>
    <w:basedOn w:val="a2"/>
    <w:qFormat/>
    <w:pPr>
      <w:jc w:val="center"/>
    </w:pPr>
    <w:rPr>
      <w:sz w:val="24"/>
    </w:rPr>
  </w:style>
  <w:style w:type="character" w:customStyle="1" w:styleId="Char0">
    <w:name w:val="批注文字 Char"/>
    <w:link w:val="a9"/>
    <w:uiPriority w:val="99"/>
    <w:qFormat/>
    <w:rPr>
      <w:kern w:val="2"/>
      <w:sz w:val="21"/>
      <w:szCs w:val="22"/>
    </w:rPr>
  </w:style>
  <w:style w:type="character" w:customStyle="1" w:styleId="Char6">
    <w:name w:val="批注主题 Char"/>
    <w:link w:val="af0"/>
    <w:uiPriority w:val="99"/>
    <w:semiHidden/>
    <w:qFormat/>
    <w:rPr>
      <w:b/>
      <w:bCs/>
      <w:kern w:val="2"/>
      <w:sz w:val="21"/>
      <w:szCs w:val="22"/>
    </w:rPr>
  </w:style>
  <w:style w:type="character" w:customStyle="1" w:styleId="3Char">
    <w:name w:val="标题 3 Char"/>
    <w:basedOn w:val="a3"/>
    <w:link w:val="3"/>
    <w:uiPriority w:val="9"/>
    <w:qFormat/>
    <w:rPr>
      <w:bCs/>
      <w:kern w:val="2"/>
      <w:sz w:val="24"/>
      <w:szCs w:val="32"/>
    </w:rPr>
  </w:style>
  <w:style w:type="character" w:customStyle="1" w:styleId="Char1">
    <w:name w:val="日期 Char"/>
    <w:basedOn w:val="a3"/>
    <w:link w:val="aa"/>
    <w:uiPriority w:val="99"/>
    <w:semiHidden/>
    <w:qFormat/>
    <w:rPr>
      <w:kern w:val="2"/>
      <w:sz w:val="21"/>
      <w:szCs w:val="22"/>
    </w:rPr>
  </w:style>
  <w:style w:type="table" w:customStyle="1" w:styleId="11">
    <w:name w:val="网格型1"/>
    <w:basedOn w:val="a4"/>
    <w:uiPriority w:val="99"/>
    <w:qFormat/>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4"/>
    <w:uiPriority w:val="99"/>
    <w:qFormat/>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脚注文本 Char"/>
    <w:basedOn w:val="a3"/>
    <w:link w:val="ae"/>
    <w:uiPriority w:val="99"/>
    <w:semiHidden/>
    <w:qFormat/>
    <w:rPr>
      <w:kern w:val="2"/>
      <w:sz w:val="18"/>
      <w:szCs w:val="18"/>
    </w:rPr>
  </w:style>
  <w:style w:type="paragraph" w:customStyle="1" w:styleId="12">
    <w:name w:val="修订1"/>
    <w:hidden/>
    <w:uiPriority w:val="99"/>
    <w:semiHidden/>
    <w:qFormat/>
    <w:rPr>
      <w:kern w:val="2"/>
      <w:sz w:val="21"/>
      <w:szCs w:val="22"/>
    </w:rPr>
  </w:style>
  <w:style w:type="table" w:customStyle="1" w:styleId="31">
    <w:name w:val="网格型3"/>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3"/>
    <w:qFormat/>
    <w:rPr>
      <w:rFonts w:ascii="宋体" w:eastAsia="宋体" w:hAnsi="宋体" w:hint="eastAsia"/>
      <w:color w:val="000000"/>
      <w:sz w:val="22"/>
      <w:szCs w:val="22"/>
    </w:rPr>
  </w:style>
  <w:style w:type="character" w:customStyle="1" w:styleId="Char">
    <w:name w:val="文档结构图 Char"/>
    <w:basedOn w:val="a3"/>
    <w:link w:val="a8"/>
    <w:uiPriority w:val="99"/>
    <w:qFormat/>
    <w:rPr>
      <w:rFonts w:ascii="宋体"/>
      <w:sz w:val="18"/>
      <w:szCs w:val="18"/>
    </w:rPr>
  </w:style>
  <w:style w:type="table" w:customStyle="1" w:styleId="40">
    <w:name w:val="网格型4"/>
    <w:basedOn w:val="a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image" Target="media/image18.emf"/><Relationship Id="rId21" Type="http://schemas.openxmlformats.org/officeDocument/2006/relationships/oleObject" Target="embeddings/oleObject7.bin"/><Relationship Id="rId34" Type="http://schemas.openxmlformats.org/officeDocument/2006/relationships/image" Target="media/image13.emf"/><Relationship Id="rId42" Type="http://schemas.openxmlformats.org/officeDocument/2006/relationships/image" Target="media/image21.wmf"/><Relationship Id="rId47" Type="http://schemas.openxmlformats.org/officeDocument/2006/relationships/image" Target="media/image24.emf"/><Relationship Id="rId50" Type="http://schemas.openxmlformats.org/officeDocument/2006/relationships/oleObject" Target="embeddings/oleObject16.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oleObject" Target="embeddings/oleObject33.bin"/><Relationship Id="rId89" Type="http://schemas.openxmlformats.org/officeDocument/2006/relationships/image" Target="media/image45.wmf"/><Relationship Id="rId7" Type="http://schemas.openxmlformats.org/officeDocument/2006/relationships/webSettings" Target="webSettings.xml"/><Relationship Id="rId71" Type="http://schemas.openxmlformats.org/officeDocument/2006/relationships/image" Target="media/image36.wmf"/><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9.emf"/><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oleObject" Target="embeddings/oleObject14.bin"/><Relationship Id="rId53" Type="http://schemas.openxmlformats.org/officeDocument/2006/relationships/image" Target="media/image27.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40.wmf"/><Relationship Id="rId87" Type="http://schemas.openxmlformats.org/officeDocument/2006/relationships/image" Target="media/image44.wmf"/><Relationship Id="rId5" Type="http://schemas.microsoft.com/office/2007/relationships/stylesWithEffects" Target="stylesWithEffects.xml"/><Relationship Id="rId61" Type="http://schemas.openxmlformats.org/officeDocument/2006/relationships/image" Target="media/image31.wmf"/><Relationship Id="rId82" Type="http://schemas.openxmlformats.org/officeDocument/2006/relationships/oleObject" Target="embeddings/oleObject32.bin"/><Relationship Id="rId90"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4.emf"/><Relationship Id="rId43" Type="http://schemas.openxmlformats.org/officeDocument/2006/relationships/oleObject" Target="embeddings/oleObject13.bin"/><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5.emf"/><Relationship Id="rId77" Type="http://schemas.openxmlformats.org/officeDocument/2006/relationships/image" Target="media/image39.wmf"/><Relationship Id="rId8" Type="http://schemas.openxmlformats.org/officeDocument/2006/relationships/footnotes" Target="footnotes.xml"/><Relationship Id="rId51" Type="http://schemas.openxmlformats.org/officeDocument/2006/relationships/image" Target="media/image26.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3.wmf"/><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6.emf"/><Relationship Id="rId33" Type="http://schemas.openxmlformats.org/officeDocument/2006/relationships/oleObject" Target="embeddings/oleObject12.bin"/><Relationship Id="rId38" Type="http://schemas.openxmlformats.org/officeDocument/2006/relationships/image" Target="media/image17.emf"/><Relationship Id="rId46" Type="http://schemas.openxmlformats.org/officeDocument/2006/relationships/image" Target="media/image23.emf"/><Relationship Id="rId59" Type="http://schemas.openxmlformats.org/officeDocument/2006/relationships/image" Target="media/image30.wmf"/><Relationship Id="rId67" Type="http://schemas.openxmlformats.org/officeDocument/2006/relationships/image" Target="media/image34.emf"/><Relationship Id="rId20" Type="http://schemas.openxmlformats.org/officeDocument/2006/relationships/oleObject" Target="embeddings/oleObject6.bin"/><Relationship Id="rId41" Type="http://schemas.openxmlformats.org/officeDocument/2006/relationships/image" Target="media/image20.e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5.bin"/><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8.emf"/><Relationship Id="rId36" Type="http://schemas.openxmlformats.org/officeDocument/2006/relationships/image" Target="media/image15.e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1.emf"/><Relationship Id="rId31" Type="http://schemas.openxmlformats.org/officeDocument/2006/relationships/image" Target="media/image11.emf"/><Relationship Id="rId44" Type="http://schemas.openxmlformats.org/officeDocument/2006/relationships/image" Target="media/image22.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3.emf"/><Relationship Id="rId73" Type="http://schemas.openxmlformats.org/officeDocument/2006/relationships/image" Target="media/image37.wmf"/><Relationship Id="rId78" Type="http://schemas.openxmlformats.org/officeDocument/2006/relationships/oleObject" Target="embeddings/oleObject30.bin"/><Relationship Id="rId81" Type="http://schemas.openxmlformats.org/officeDocument/2006/relationships/image" Target="media/image41.wmf"/><Relationship Id="rId86" Type="http://schemas.openxmlformats.org/officeDocument/2006/relationships/oleObject" Target="embeddings/oleObject34.bin"/><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97020-D221-453B-94A5-05C8507C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92</Pages>
  <Words>12208</Words>
  <Characters>69590</Characters>
  <Application>Microsoft Office Word</Application>
  <DocSecurity>0</DocSecurity>
  <Lines>579</Lines>
  <Paragraphs>163</Paragraphs>
  <ScaleCrop>false</ScaleCrop>
  <Company/>
  <LinksUpToDate>false</LinksUpToDate>
  <CharactersWithSpaces>81635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NE.Ref</dc:description>
  <cp:lastModifiedBy>刘伟</cp:lastModifiedBy>
  <cp:revision>4</cp:revision>
  <cp:lastPrinted>2020-01-01T14:40:00Z</cp:lastPrinted>
  <dcterms:created xsi:type="dcterms:W3CDTF">2020-02-14T00:52:00Z</dcterms:created>
  <dcterms:modified xsi:type="dcterms:W3CDTF">2020-03-12T08:09:00Z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MTWinEqns">
    <vt:bool>true</vt:bool>
  </property>
</Properties>
</file>