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2169"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2022年以来涉交通运输业国家主要财税金融</w:t>
      </w:r>
    </w:p>
    <w:p w14:paraId="01C2A3C6"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23118240"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w:t>
      </w:r>
      <w:r>
        <w:rPr>
          <w:rFonts w:ascii="方正小标宋_GBK" w:eastAsia="方正小标宋_GBK" w:hAnsi="方正小标宋_GBK" w:cs="方正小标宋_GBK"/>
          <w:bCs/>
          <w:color w:val="000000"/>
          <w:sz w:val="36"/>
          <w:szCs w:val="44"/>
        </w:rPr>
        <w:t>3</w:t>
      </w:r>
      <w:r>
        <w:rPr>
          <w:rFonts w:ascii="方正小标宋_GBK" w:eastAsia="方正小标宋_GBK" w:hAnsi="方正小标宋_GBK" w:cs="方正小标宋_GBK" w:hint="eastAsia"/>
          <w:bCs/>
          <w:color w:val="000000"/>
          <w:sz w:val="36"/>
          <w:szCs w:val="44"/>
        </w:rPr>
        <w:t>）</w:t>
      </w:r>
    </w:p>
    <w:p w14:paraId="71BEA83E" w14:textId="77777777" w:rsidR="000E0C43"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 xml:space="preserve">财务审计司编发                     </w:t>
      </w:r>
      <w:r>
        <w:rPr>
          <w:rFonts w:ascii="黑体" w:eastAsia="黑体" w:hAnsi="黑体" w:cs="方正小标宋_GBK"/>
          <w:bCs/>
          <w:color w:val="000000"/>
          <w:sz w:val="30"/>
          <w:szCs w:val="44"/>
        </w:rPr>
        <w:t>4</w:t>
      </w:r>
      <w:r>
        <w:rPr>
          <w:rFonts w:ascii="黑体" w:eastAsia="黑体" w:hAnsi="黑体" w:cs="方正小标宋_GBK" w:hint="eastAsia"/>
          <w:bCs/>
          <w:color w:val="000000"/>
          <w:sz w:val="30"/>
          <w:szCs w:val="44"/>
        </w:rPr>
        <w:t>月</w:t>
      </w:r>
      <w:r>
        <w:rPr>
          <w:rFonts w:ascii="黑体" w:eastAsia="黑体" w:hAnsi="黑体" w:cs="方正小标宋_GBK"/>
          <w:bCs/>
          <w:color w:val="000000"/>
          <w:sz w:val="30"/>
          <w:szCs w:val="44"/>
        </w:rPr>
        <w:t>2</w:t>
      </w:r>
      <w:r>
        <w:rPr>
          <w:rFonts w:ascii="黑体" w:eastAsia="黑体" w:hAnsi="黑体" w:cs="方正小标宋_GBK" w:hint="eastAsia"/>
          <w:bCs/>
          <w:color w:val="000000"/>
          <w:sz w:val="30"/>
          <w:szCs w:val="44"/>
        </w:rPr>
        <w:t>1日至5月31日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0E0C43" w14:paraId="311EDD98" w14:textId="77777777">
        <w:trPr>
          <w:trHeight w:val="648"/>
          <w:tblHeader/>
          <w:jc w:val="center"/>
        </w:trPr>
        <w:tc>
          <w:tcPr>
            <w:tcW w:w="710" w:type="dxa"/>
            <w:vAlign w:val="center"/>
          </w:tcPr>
          <w:p w14:paraId="3A493EF2"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27009D76"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5DA57FA6"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0E0C43" w14:paraId="1103738E" w14:textId="77777777">
        <w:trPr>
          <w:trHeight w:val="645"/>
          <w:jc w:val="center"/>
        </w:trPr>
        <w:tc>
          <w:tcPr>
            <w:tcW w:w="710" w:type="dxa"/>
            <w:vAlign w:val="center"/>
          </w:tcPr>
          <w:p w14:paraId="0827E557"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2463" w:type="dxa"/>
            <w:vAlign w:val="center"/>
          </w:tcPr>
          <w:p w14:paraId="7D95FB4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《国务院关于印发扎实稳住经济一揽子政策措施的通知》（国发〔2022〕12号）</w:t>
            </w:r>
          </w:p>
        </w:tc>
        <w:tc>
          <w:tcPr>
            <w:tcW w:w="5851" w:type="dxa"/>
            <w:vAlign w:val="center"/>
          </w:tcPr>
          <w:p w14:paraId="7DD5568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1.财政政策</w:t>
            </w:r>
          </w:p>
          <w:p w14:paraId="7C65C94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抓紧办理小微企业、个体工商户留抵退税并加大帮扶力度，在纳税人自愿申请的基础上，6月30日前基本完成集中退还存量留抵税额。</w:t>
            </w:r>
          </w:p>
          <w:p w14:paraId="67E72D8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快地方政府专项债券发行使用并扩大支持范围。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p>
          <w:p w14:paraId="2AC9E58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用好政府性融资担保等政策。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w:t>
            </w:r>
            <w:r>
              <w:rPr>
                <w:rFonts w:ascii="仿宋_GB2312" w:eastAsia="仿宋_GB2312" w:hAnsi="仿宋_GB2312" w:cs="仿宋_GB2312" w:hint="eastAsia"/>
              </w:rPr>
              <w:lastRenderedPageBreak/>
              <w:t>件的地方对支小支农担保业务保费给予阶段性补贴。</w:t>
            </w:r>
          </w:p>
          <w:p w14:paraId="1E76B42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（4）加大政府采购支持中小企业力度。将面向小微企业的价格扣除比例由6%—10%提高至10%—20%。政府采购工程要落实促进中小企业发展的政府采购政策。</w:t>
            </w:r>
          </w:p>
          <w:p w14:paraId="4AE9DC5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14:paraId="08B5BFF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加大稳岗支持力度。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p>
          <w:p w14:paraId="3F92CEA2"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2.货币金融政策</w:t>
            </w:r>
          </w:p>
          <w:p w14:paraId="7E0DFD8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鼓励对中小微企业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w:t>
            </w:r>
          </w:p>
          <w:p w14:paraId="79C34A3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普惠小微贷款支持力度。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w:t>
            </w:r>
            <w:r>
              <w:rPr>
                <w:rFonts w:ascii="仿宋_GB2312" w:eastAsia="仿宋_GB2312" w:hAnsi="仿宋_GB2312" w:cs="仿宋_GB2312" w:hint="eastAsia"/>
              </w:rPr>
              <w:lastRenderedPageBreak/>
              <w:t>发展。</w:t>
            </w:r>
          </w:p>
          <w:p w14:paraId="54028EF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继续推动实际贷款利率稳中有降。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14:paraId="0133B775"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14:paraId="3811C48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14:paraId="1CADD57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3.稳投资促消费等政策</w:t>
            </w:r>
          </w:p>
          <w:p w14:paraId="53E2709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快推动交通基础设施投资。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14:paraId="3107676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（2）稳定增加汽车等大宗消费。研究今年内对一定排量以下乘用车减征车辆购置税的支持政策。</w:t>
            </w:r>
          </w:p>
          <w:p w14:paraId="04173DA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4.保产业链供应链稳定政策</w:t>
            </w:r>
          </w:p>
          <w:p w14:paraId="0AA5EC7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降低市场主体用水用电用网等成本。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w:t>
            </w:r>
            <w:r>
              <w:rPr>
                <w:rFonts w:ascii="仿宋_GB2312" w:eastAsia="仿宋_GB2312" w:hAnsi="仿宋_GB2312" w:cs="仿宋_GB2312" w:hint="eastAsia"/>
              </w:rPr>
              <w:lastRenderedPageBreak/>
              <w:t>担保。</w:t>
            </w:r>
          </w:p>
          <w:p w14:paraId="1A6D6A2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推动阶段性减免市场主体房屋租金。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p w14:paraId="728EE4C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民航等受疫情影响较大行业企业的纾困支持力度。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w:t>
            </w:r>
          </w:p>
          <w:p w14:paraId="6EEAF15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14:paraId="4638A09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统筹加大对物流枢纽和物流企业的支持力度。2022年，中央财政安排50亿元左右，择优支持全国性重点枢纽城市，提升枢纽的货物集散、仓储、中转运输、应急保障能力，引导加快推进多式联运融合发展，降低综合货运成本。加快1000亿元交通物流专项再贷款政策落地，支持交通物流等企业融资，加大结构性货币政策工具对稳定供应链的支持。</w:t>
            </w:r>
          </w:p>
          <w:p w14:paraId="0575BDE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保基本民生政策。实施住房公积金阶段性支持政策。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p>
        </w:tc>
      </w:tr>
      <w:tr w:rsidR="000E0C43" w14:paraId="76D6C3B5" w14:textId="77777777">
        <w:trPr>
          <w:trHeight w:val="645"/>
          <w:jc w:val="center"/>
        </w:trPr>
        <w:tc>
          <w:tcPr>
            <w:tcW w:w="710" w:type="dxa"/>
            <w:vAlign w:val="center"/>
          </w:tcPr>
          <w:p w14:paraId="4C74D53E"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2463" w:type="dxa"/>
            <w:vAlign w:val="center"/>
          </w:tcPr>
          <w:p w14:paraId="3925906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 xml:space="preserve">人力资源社会保障部 国家发展改革委 财政部 </w:t>
            </w:r>
            <w:r>
              <w:rPr>
                <w:rFonts w:ascii="仿宋_GB2312" w:eastAsia="仿宋_GB2312" w:hAnsi="仿宋_GB2312" w:cs="仿宋_GB2312" w:hint="eastAsia"/>
              </w:rPr>
              <w:lastRenderedPageBreak/>
              <w:t>税务总局关于扩大阶段性缓缴社会保险费政策实施范围等问题的通知（人社部发〔2022〕31号）</w:t>
            </w:r>
          </w:p>
          <w:p w14:paraId="71209F72" w14:textId="77777777" w:rsidR="000E0C43" w:rsidRDefault="000E0C43">
            <w:pPr>
              <w:spacing w:line="240" w:lineRule="auto"/>
              <w:rPr>
                <w:rFonts w:ascii="仿宋_GB2312" w:eastAsia="仿宋_GB2312" w:hAnsi="仿宋_GB2312" w:cs="仿宋_GB2312" w:hint="eastAsia"/>
              </w:rPr>
            </w:pPr>
          </w:p>
        </w:tc>
        <w:tc>
          <w:tcPr>
            <w:tcW w:w="5851" w:type="dxa"/>
            <w:vAlign w:val="center"/>
          </w:tcPr>
          <w:p w14:paraId="0B91B9D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1.扩大实施缓缴政策的困难行业范围。在对餐饮、零售、旅游、民航、公路水路铁路运输等5个特困行业实施阶段性缓缴三项</w:t>
            </w:r>
            <w:r>
              <w:rPr>
                <w:rFonts w:ascii="仿宋_GB2312" w:eastAsia="仿宋_GB2312" w:hAnsi="仿宋_GB2312" w:cs="仿宋_GB2312" w:hint="eastAsia"/>
              </w:rPr>
              <w:lastRenderedPageBreak/>
              <w:t>社保费政策的基础上，以产业链供应链受疫情影响较大、生产经营困难的制造业企业为重点，进一步扩大实施范围（具体行业名单附后）。缓缴扩围行业所属困难企业，可申请缓缴三项社保费单位缴费部分，其中养老保险费缓缴实施期限到2022年年底，工伤、失业保险费缓缴期限不超过1年。原明确的5个特困行业缓缴养老保险费期限相应延长至2022年年底。缓缴期间免收滞纳金。</w:t>
            </w:r>
          </w:p>
          <w:p w14:paraId="70928C3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受疫情影响较大、生产经营困难的中小微企业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14:paraId="411A45D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进一步发挥失业保险稳岗作用。加大稳岗返还支持力度，将大型企业稳岗返还比例由30%提至50%。拓宽一次性留工培训补助受益范围，由出现中高风险疫情地区的中小微企业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人社部发〔2022〕23号）一致。企业招用毕业年度高校毕业生，签订劳动合同并参加失业保险的，可按每人不超过1500元的标准，发放一次性扩岗补助，具体补助标准由各省份确定，与一次性吸纳就业补贴政策不重复享受，实施期限截至2022年年底。</w:t>
            </w:r>
          </w:p>
          <w:p w14:paraId="27F7238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社会保障部门会同相关部门负责审批。各县（区）要严格把握适用范围和条件，不得擅自扩大范围、降低标准，批准缓缴的企业名单等情况按月报省级人力资源社会保障、税务部门。各省份具体实施办法出台后报人力资源社会保障部、国家发展改革委、财政部、税务总局备案。 </w:t>
            </w:r>
          </w:p>
          <w:p w14:paraId="4F19B4C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5.简化企业申报流程。缓缴社会保险费坚持自愿原则，符合条件的困难企业，可根据自身情况申请缓缴一定期限的社会保险费。各级人力资源社会保障、税务部门要简化办事流程，大力</w:t>
            </w:r>
            <w:r>
              <w:rPr>
                <w:rFonts w:ascii="仿宋_GB2312" w:eastAsia="仿宋_GB2312" w:hAnsi="仿宋_GB2312" w:cs="仿宋_GB2312" w:hint="eastAsia"/>
              </w:rPr>
              <w:lastRenderedPageBreak/>
              <w:t>推行“网上办”等不见面服务方式，简化程序，方便企业办理，减轻企业事务性负担。对生产经营困难、所属行业类型等适用条件，可实行告知承诺制，企业出具符合条件的书面承诺。要加强事后监督检查，对作出承诺但经查不符合条件的企业，要及时追缴缓缴的社会保险费，并按规定加收滞纳金。各省份要全面推行稳岗返还“免申即享”经办新模式，通过大数据比对，直接向符合条件的企业发放资金。</w:t>
            </w:r>
          </w:p>
          <w:p w14:paraId="2838F08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14:paraId="2B6FB09A" w14:textId="77777777" w:rsidR="000E0C43" w:rsidRDefault="000E0C43">
            <w:pPr>
              <w:spacing w:line="240" w:lineRule="auto"/>
              <w:rPr>
                <w:rFonts w:ascii="仿宋_GB2312" w:eastAsia="仿宋_GB2312" w:hAnsi="仿宋_GB2312" w:cs="仿宋_GB2312" w:hint="eastAsia"/>
              </w:rPr>
            </w:pPr>
          </w:p>
        </w:tc>
      </w:tr>
      <w:tr w:rsidR="000E0C43" w14:paraId="68834E2A" w14:textId="77777777">
        <w:trPr>
          <w:trHeight w:val="645"/>
          <w:jc w:val="center"/>
        </w:trPr>
        <w:tc>
          <w:tcPr>
            <w:tcW w:w="710" w:type="dxa"/>
            <w:vAlign w:val="center"/>
          </w:tcPr>
          <w:p w14:paraId="281EE6B3"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3</w:t>
            </w:r>
          </w:p>
        </w:tc>
        <w:tc>
          <w:tcPr>
            <w:tcW w:w="2463" w:type="dxa"/>
            <w:vAlign w:val="center"/>
          </w:tcPr>
          <w:p w14:paraId="448522E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《关于减征部分乘用车车辆购置税的公告》（财政部 税务总局公告2022年第20号）</w:t>
            </w:r>
          </w:p>
        </w:tc>
        <w:tc>
          <w:tcPr>
            <w:tcW w:w="5851" w:type="dxa"/>
            <w:vAlign w:val="center"/>
          </w:tcPr>
          <w:p w14:paraId="429851B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对购置日期在2022年6月1日至2022年12月31日期间内且单车价格（不含增值税）不超过30万元的2.0升及以下排量乘用车，减半征收车辆购置税。</w:t>
            </w:r>
          </w:p>
        </w:tc>
      </w:tr>
      <w:tr w:rsidR="000E0C43" w14:paraId="400FF6A6" w14:textId="77777777">
        <w:trPr>
          <w:trHeight w:val="645"/>
          <w:jc w:val="center"/>
        </w:trPr>
        <w:tc>
          <w:tcPr>
            <w:tcW w:w="710" w:type="dxa"/>
            <w:vAlign w:val="center"/>
          </w:tcPr>
          <w:p w14:paraId="105A910E"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4</w:t>
            </w:r>
          </w:p>
        </w:tc>
        <w:tc>
          <w:tcPr>
            <w:tcW w:w="2463" w:type="dxa"/>
            <w:vAlign w:val="center"/>
          </w:tcPr>
          <w:p w14:paraId="7D7B79D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《关于提前下达第三批支持基层落实减税降费和重点民生等转移支付资金预算的通知》（财预〔2022〕79号）</w:t>
            </w:r>
          </w:p>
        </w:tc>
        <w:tc>
          <w:tcPr>
            <w:tcW w:w="5851" w:type="dxa"/>
            <w:vAlign w:val="center"/>
          </w:tcPr>
          <w:p w14:paraId="04FEDA7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中央财政提前下达第三批支持基层落实减税降费和重点民生等转移支付资金预算指标，支持地方落实好留抵退税和其他减税降费政策。上述资金列入2023年预算，库款于2022年先行单独调拨。</w:t>
            </w:r>
          </w:p>
        </w:tc>
      </w:tr>
      <w:tr w:rsidR="000E0C43" w14:paraId="210B96AB" w14:textId="77777777">
        <w:trPr>
          <w:trHeight w:val="645"/>
          <w:jc w:val="center"/>
        </w:trPr>
        <w:tc>
          <w:tcPr>
            <w:tcW w:w="710" w:type="dxa"/>
            <w:vAlign w:val="center"/>
          </w:tcPr>
          <w:p w14:paraId="3F761BF7"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2463" w:type="dxa"/>
            <w:vAlign w:val="center"/>
          </w:tcPr>
          <w:p w14:paraId="311BAE85"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《关于支持加快农产品供应链体系建设 进一步促进冷链物流发展的通知》（财办建〔2022〕36号）</w:t>
            </w:r>
          </w:p>
        </w:tc>
        <w:tc>
          <w:tcPr>
            <w:tcW w:w="5851" w:type="dxa"/>
            <w:vAlign w:val="center"/>
          </w:tcPr>
          <w:p w14:paraId="0E02EB5A" w14:textId="77777777" w:rsidR="000E0C43" w:rsidRDefault="00000000">
            <w:pPr>
              <w:spacing w:line="240" w:lineRule="auto"/>
              <w:rPr>
                <w:rFonts w:ascii="仿宋_GB2312" w:hAnsi="仿宋_GB2312" w:cs="仿宋_GB2312" w:hint="eastAsia"/>
              </w:rPr>
            </w:pPr>
            <w:r>
              <w:rPr>
                <w:rFonts w:ascii="仿宋_GB2312" w:eastAsia="仿宋_GB2312" w:hAnsi="仿宋_GB2312" w:cs="仿宋_GB2312" w:hint="eastAsia"/>
              </w:rPr>
              <w:t>通过中央财政服务业发展资金（以下简称服务业资金）引导有关省（自治区、直辖市）统筹推进农产品供应链体系建设，引导支持的主要方向主要有：增强农产品批发市场冷链流通能力，提高冷链物流重点干支线配送效率，完善农产品零售终端冷链环境，统筹支持农产品市场保供。</w:t>
            </w:r>
          </w:p>
        </w:tc>
      </w:tr>
      <w:tr w:rsidR="000E0C43" w14:paraId="503ED323" w14:textId="77777777">
        <w:trPr>
          <w:trHeight w:val="645"/>
          <w:jc w:val="center"/>
        </w:trPr>
        <w:tc>
          <w:tcPr>
            <w:tcW w:w="710" w:type="dxa"/>
            <w:vAlign w:val="center"/>
          </w:tcPr>
          <w:p w14:paraId="549FCFB9"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6</w:t>
            </w:r>
          </w:p>
        </w:tc>
        <w:tc>
          <w:tcPr>
            <w:tcW w:w="2463" w:type="dxa"/>
            <w:vAlign w:val="center"/>
          </w:tcPr>
          <w:p w14:paraId="11F0CF7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《关于发挥财政政策引导作用支持金融助力市场主体纾困发展的通知》（财金〔2022〕60号）</w:t>
            </w:r>
          </w:p>
        </w:tc>
        <w:tc>
          <w:tcPr>
            <w:tcW w:w="5851" w:type="dxa"/>
            <w:vAlign w:val="center"/>
          </w:tcPr>
          <w:p w14:paraId="5E54BBB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政府性融资担保机构增信作用。地方各级政府性融资担保机构对符合条件的交通运输、餐饮、住宿、旅游等行业的中小微企业和个体工商户提供融资担保支持，及时履行代偿义务，推动金融机构尽快放贷，不抽贷、不压贷、不断贷。2022年，将上述符合条件的融资担保业务纳入国家融资担保基金再担保合作范围。有条件的地方要加大对政府性融资担保机构的资本金补充、担保费补贴等支持力度。 </w:t>
            </w:r>
          </w:p>
          <w:p w14:paraId="73B3068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创业担保贷款贴息力度。县级以上地方财政部门要会同有关方面加大创业担保贷款贴息政策宣传和实施力度，重点加大对受疫情影响较大的交通运输、餐饮、住宿、旅游等行业小微企业和个体工商户的支持，助力援企稳岗。有条件的地方要</w:t>
            </w:r>
            <w:r>
              <w:rPr>
                <w:rFonts w:ascii="仿宋_GB2312" w:eastAsia="仿宋_GB2312" w:hAnsi="仿宋_GB2312" w:cs="仿宋_GB2312" w:hint="eastAsia"/>
              </w:rPr>
              <w:lastRenderedPageBreak/>
              <w:t>加快推广创业担保贷款线上业务模式，简化业务审批流程，提高贷款便利度。县级以上地方财政部门应按规定及时补充创业担保贷款担保基金，或由政府性融资担保机构为符合条件的创业个人和小微企业提供担保增信，支持创业担保贷款扩面增量。 </w:t>
            </w:r>
          </w:p>
          <w:p w14:paraId="360DF362"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3.落实中央财政支持普惠金融发展示范区奖补政策。各省级财政部门要认真组织落实《财政部 人民银行 银保监会关于实施中央财政支持普惠金融发展示范区奖补政策的通知》（财金〔2021〕96号），指导示范区所在地财政部门抓紧制定奖补资金分配、使用和管理办法，落实落细示范区建设方案，加强部门协同和政策联动，切实引导普惠金融服务增量、扩面、降本、增效。 </w:t>
            </w:r>
          </w:p>
        </w:tc>
      </w:tr>
      <w:tr w:rsidR="000E0C43" w14:paraId="743361F7" w14:textId="77777777">
        <w:trPr>
          <w:trHeight w:val="645"/>
          <w:jc w:val="center"/>
        </w:trPr>
        <w:tc>
          <w:tcPr>
            <w:tcW w:w="710" w:type="dxa"/>
            <w:vAlign w:val="center"/>
          </w:tcPr>
          <w:p w14:paraId="1536CC12"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7</w:t>
            </w:r>
          </w:p>
        </w:tc>
        <w:tc>
          <w:tcPr>
            <w:tcW w:w="2463" w:type="dxa"/>
            <w:vAlign w:val="center"/>
          </w:tcPr>
          <w:p w14:paraId="723F86A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《关于阶段性实施国内客运航班运行财政补贴的通知》（财建〔2022〕142号）</w:t>
            </w:r>
          </w:p>
        </w:tc>
        <w:tc>
          <w:tcPr>
            <w:tcW w:w="5851" w:type="dxa"/>
            <w:vAlign w:val="center"/>
          </w:tcPr>
          <w:p w14:paraId="0A1DDD1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为夯实民航安全基础，以保最低运行航班量和保安全飞行为目标，现对国内运输航空公司经营的国内客运航班实施阶段性财政补贴： </w:t>
            </w:r>
          </w:p>
          <w:p w14:paraId="36B83B3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1.财政补贴启动条件 </w:t>
            </w:r>
          </w:p>
          <w:p w14:paraId="54C5524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原则上当每周内日均国内客运航班量低于或等于4500班（保持安全运行最低飞行航班数）时，启动财政补贴。 </w:t>
            </w:r>
          </w:p>
          <w:p w14:paraId="30F138D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2.补贴对象和范围 </w:t>
            </w:r>
          </w:p>
          <w:p w14:paraId="311E76E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国内运输航空公司执飞同时符合下列条件的国内客运航班，纳入资金支持范围。 </w:t>
            </w:r>
          </w:p>
          <w:p w14:paraId="78C4843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（1）国内客运航班，不含港澳台航班、承担重大紧急运输任务的航班、调机、公务机等。 </w:t>
            </w:r>
          </w:p>
          <w:p w14:paraId="2610F4F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（2）实际运行的每周内日均国内客运航班量未超过保持安全运行最低飞行航班数。经停航班按每条航段起飞港分别核算。 </w:t>
            </w:r>
          </w:p>
          <w:p w14:paraId="7392908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（3）每周每条航段平均客座率未超过75%。多家运输航空公司共飞同一航段，按各公司该航段周平均客座率计算。 </w:t>
            </w:r>
          </w:p>
          <w:p w14:paraId="58C075D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（4）航班实际收入无法覆盖变动成本。 </w:t>
            </w:r>
          </w:p>
          <w:p w14:paraId="6A75CCC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3.补贴标准和期限 </w:t>
            </w:r>
          </w:p>
          <w:p w14:paraId="443E3BB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（1）对国内客运航班实际收入扣减变动成本后的亏损额给予补贴。设定最高亏损额补贴标准上限为每小时2.4万元。 </w:t>
            </w:r>
          </w:p>
          <w:p w14:paraId="2286EA7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（2）政策实施期限为2022年5月21日至2022年7月20日。 </w:t>
            </w:r>
          </w:p>
          <w:p w14:paraId="2CDE06D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4.资金渠道和支付方式 </w:t>
            </w:r>
          </w:p>
          <w:p w14:paraId="5CBA1D22"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补贴资金由中央和地方财政共同承担。其中，中央财政对东部、中部、西部地区分别补助65%、70%、80%，东部、中部、西部地区地方财政分别承担35%、30%、20%。 </w:t>
            </w:r>
          </w:p>
          <w:p w14:paraId="6AFC7AD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补贴资金由航班起飞港所在地（直辖市、计划单列市或地级以上城市，下同）财政部门拨付。中央财政补贴资金列入转移支付下拨相关省级财政部门（航班起飞港所在地为计划单列市的，省级财政部门指计划单列市财政部门，下同），采取先预拨后清算的方式。在政策实施后，分两批预拨中央财政补贴资金上限的70%；剩余30%待补贴政策到期后，根据实际情况按规定标准进行清算，多退少补。 </w:t>
            </w:r>
          </w:p>
          <w:p w14:paraId="7300791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地方财政补贴资金到位情况，由航班起飞港所在地财政部门会同民航相关地区管理局于资金拨付后及时报送财政部、民航局。 </w:t>
            </w:r>
          </w:p>
        </w:tc>
      </w:tr>
      <w:tr w:rsidR="000E0C43" w14:paraId="52936CC8" w14:textId="77777777">
        <w:trPr>
          <w:trHeight w:val="645"/>
          <w:jc w:val="center"/>
        </w:trPr>
        <w:tc>
          <w:tcPr>
            <w:tcW w:w="710" w:type="dxa"/>
            <w:vAlign w:val="center"/>
          </w:tcPr>
          <w:p w14:paraId="72423A7C"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71CAADB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　财政部 人民银行关于实施住房公积金阶段性支持政策的通知》（建金〔2022〕45号）</w:t>
            </w:r>
          </w:p>
        </w:tc>
        <w:tc>
          <w:tcPr>
            <w:tcW w:w="5851" w:type="dxa"/>
            <w:vAlign w:val="center"/>
          </w:tcPr>
          <w:p w14:paraId="077648E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1.受新冠肺炎疫情影响的企业，可按规定申请缓缴住房公积金，到期后进行补缴。在此期间，缴存职工正常提取和申请住房公积金贷款，不受缓缴影响。</w:t>
            </w:r>
          </w:p>
          <w:p w14:paraId="5FD690A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2.受新冠肺炎疫情影响的缴存人，不能正常偿还住房公积金贷款的，不作逾期处理，不作为逾期记录报送征信部门。</w:t>
            </w:r>
          </w:p>
          <w:p w14:paraId="4578BB0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3.各地根据当地房租水平和合理租住面积，可提高住房公积金租房提取额度，支持缴存人按需提取，更好地满足缴存人支付房租的实际需要。</w:t>
            </w:r>
          </w:p>
          <w:p w14:paraId="43ACADC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4.上述支持政策实施时限暂定至2022年12月31日。</w:t>
            </w:r>
          </w:p>
        </w:tc>
      </w:tr>
      <w:tr w:rsidR="000E0C43" w14:paraId="7712915F" w14:textId="77777777">
        <w:trPr>
          <w:trHeight w:val="645"/>
          <w:jc w:val="center"/>
        </w:trPr>
        <w:tc>
          <w:tcPr>
            <w:tcW w:w="710" w:type="dxa"/>
            <w:vAlign w:val="center"/>
          </w:tcPr>
          <w:p w14:paraId="7CC1050D"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13EBC01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《关于中央企业助力中小企业纾困解难促进协同发展有关事项的通知》（国资发财评〔2022〕40号）</w:t>
            </w:r>
          </w:p>
        </w:tc>
        <w:tc>
          <w:tcPr>
            <w:tcW w:w="5851" w:type="dxa"/>
            <w:vAlign w:val="center"/>
          </w:tcPr>
          <w:p w14:paraId="5635935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1.及时足额支付账款，助力缓解中小企业资金困难</w:t>
            </w:r>
          </w:p>
          <w:p w14:paraId="6063428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严格落实《保障中小企业款项支付条例》，对中小企业账款坚持“应付尽付、应付快付”，从制度、机制、流程和信息化管控上杜绝滥用市场优势地位恶意拖欠账款行为。</w:t>
            </w:r>
          </w:p>
          <w:p w14:paraId="5AFC3CE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（1）严格按照合同约定的时间、方式，及时足额支付中小企业款项。对于出现临时资金周转困难的子企业，集团公司或上级单位要给予临时性资金或增信支持，确保及时足额支付中小企业账款。</w:t>
            </w:r>
          </w:p>
          <w:p w14:paraId="19B8B65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（2）对于长期合作、信誉良好、履约及时、确有困难的中小企业，在确保资金安全、对方书面申请、严格履行内部决策程序的前提下，可提前支付或预付部分账款。</w:t>
            </w:r>
          </w:p>
          <w:p w14:paraId="5E390F2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（3）加强合规管理，清理霸王条款，不得设立不合理的付款条件、时限。严控“背靠背”付款条款，加强上游款项催收，上</w:t>
            </w:r>
            <w:r>
              <w:rPr>
                <w:rFonts w:ascii="仿宋_GB2312" w:eastAsia="仿宋_GB2312" w:hAnsi="仿宋_GB2312" w:cs="仿宋_GB2312" w:hint="eastAsia"/>
              </w:rPr>
              <w:lastRenderedPageBreak/>
              <w:t>游付款后要及时对中小企业付款。</w:t>
            </w:r>
          </w:p>
          <w:p w14:paraId="4E08728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严格票据等非现金支付管理，现金流较为充裕的企业要优先使用现金支付中小企业账款。未事先明示、书面约定非现金支付的，原则上不得使用非现金支付。开具的商业承兑汇票和供应链债务凭证期限原则上不得超过6个月。</w:t>
            </w:r>
          </w:p>
          <w:p w14:paraId="351DEFC5"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2.切实加快减免房租，助力支持服务业小微企业和个体工商户渡过难关</w:t>
            </w:r>
          </w:p>
          <w:p w14:paraId="58842CC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认真落实《关于做好2022年服务业小微企业和个体工商户房租减免工作的通知》（国资厅财评〔2022〕29号，以下简称29号文件）要求，坚持“应免尽免、应免快免”，切实加快减免房租政策落地。</w:t>
            </w:r>
          </w:p>
          <w:p w14:paraId="61B6FB2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（1）对承租中央企业房屋的服务业小微企业和个体工商户，要在2022年普遍减免3个月租金，并力争在上半年完成减免主体工作。对2022年租期分属不同承租人的，要根据不同承租人实际租期按比例减免。</w:t>
            </w:r>
          </w:p>
          <w:p w14:paraId="43CDE2B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2022年被列为疫情中高风险地区所在县级行政区域内，承租中央企业房屋的服务业小微企业和个体工商户，再补充减免3个月租金，补充减免工作要在所在县级行政区域出现疫情中高风险地区后2个月内完成。</w:t>
            </w:r>
          </w:p>
          <w:p w14:paraId="4C7FF86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对于转租、分租中央企业房屋的，要持续加大工作力度，确保减租政策有效传导至实际承租人。对于所属股权多元化子企业，要积极沟通协调，争取中小股东理解支持，在规范履行内部决策程序后，尽快减免租金。</w:t>
            </w:r>
          </w:p>
          <w:p w14:paraId="646A34E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出租房屋所在地政府出台房租减免政策力度大于29号文件要求的，要认真执行属地政策，确保政策不打折扣。对参股企业所属房屋，要积极承担股东责任，与其他股东协商争取支持。不属于29号文件规定减免对象的中小企业提出减免房租申请的，鼓励中央企业本着互惠互利、友好协商、规范决策、共渡难关的原则，在能力可及范围内给予必要帮扶。</w:t>
            </w:r>
          </w:p>
          <w:p w14:paraId="597D654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3.大力实施降费提质，助力降低中小企业运行成本</w:t>
            </w:r>
          </w:p>
          <w:p w14:paraId="3AA428D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坚决配合地方政府价格主管部门和市场监管部门清理转供电环节不合理加价。对于转供电主体内部产权明晰、具备改造条件的，有序推进“转改直”工作。按照国家有关要求清理规范城镇供电收费，进一步规范收费项目和标准。</w:t>
            </w:r>
          </w:p>
          <w:p w14:paraId="46BEBEB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（2）落实好餐饮、零售、旅游、民航、公路水路铁路运输等特困行业有关纾困扶持措施，积极配合地方价格主管部门做好特困行业小微企业和个体工商户实行用电阶段性优惠工作。对受</w:t>
            </w:r>
            <w:r>
              <w:rPr>
                <w:rFonts w:ascii="仿宋_GB2312" w:eastAsia="仿宋_GB2312" w:hAnsi="仿宋_GB2312" w:cs="仿宋_GB2312" w:hint="eastAsia"/>
              </w:rPr>
              <w:lastRenderedPageBreak/>
              <w:t>疫情影响暂时出现生产经营困难的小微企业和个体工商户用水、用电、用气实行“欠费不停供”，允许其在6个月内补缴欠费。</w:t>
            </w:r>
          </w:p>
          <w:p w14:paraId="1EA6E4F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快推动5G、人工智能、工业互联网、物联网、大数据、区块链等创新技术与实体产业融合应用，支持中小企业数字化转型。加快发展5G和千兆宽带网络，提升服务质量和水平，打通宽带入户“最后一公里”，确保2022年对中小企业宽带和专线平均资费再降10%。加大云盘、云会议等云办公产品优惠力度，减轻疫情对中小企业线下办公的影响。</w:t>
            </w:r>
          </w:p>
          <w:p w14:paraId="03ABC9C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创新服务手段，对用水、用电、用气等实施阳光服务，加快实现缴费、保修等“一网通办”。积极建云建平台，大力推进“云采购”“云签约”“云结算”“云物流”，努力让信息多跑路，尽可能节约中小企业“脚底”成本，积极为受疫情影响较大的中小企业减免用云、用平台的费用。</w:t>
            </w:r>
          </w:p>
          <w:p w14:paraId="70699C0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4.有力支持资金融通，助力缓解中小企业融资困难</w:t>
            </w:r>
          </w:p>
          <w:p w14:paraId="1E93C19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对商用货车消费贷款的支持力度，有效缓解物流企业和个体货车司机贷款偿还压力。中央汽车企业所属金融子企业要发挥引领示范作用，对2022年6月30日前发放的商用货车消费贷款给予6个月延期还本付息政策支持。</w:t>
            </w:r>
          </w:p>
          <w:p w14:paraId="257679E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积极发挥产业链“核心”企业作用，支持配合上下游中小企业开展供应链融资，努力实现自身优质信用与上下游中小企业共享。中小企业需要以其持有的中央企业集团内单位应付账款、出具的商票和供应链债务凭证等办理融资业务的，要及时确权，严禁高息套利。</w:t>
            </w:r>
          </w:p>
          <w:p w14:paraId="4D2E4CC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积极发挥供应链服务平台作用，基于真实业务数据为上下游中小企业信用赋能，助力中小企业拓展融资渠道、获取低成本资金、减少资金占用。借鉴电e金服“电e贷”、中储智运“运费贷”等供应链平台服务中小企业的经验，立足自身创新服务中小企业方式。</w:t>
            </w:r>
          </w:p>
          <w:p w14:paraId="0445712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（4）持续推进保函（保险）替代现金保证金，不得向中小企业超比例收取或变相收取不合理的保证金，不得限定中小企业提供保证的方式，及时退还到期保证金。</w:t>
            </w:r>
          </w:p>
        </w:tc>
      </w:tr>
      <w:tr w:rsidR="000E0C43" w14:paraId="5A69C879" w14:textId="77777777">
        <w:trPr>
          <w:trHeight w:val="645"/>
          <w:jc w:val="center"/>
        </w:trPr>
        <w:tc>
          <w:tcPr>
            <w:tcW w:w="710" w:type="dxa"/>
            <w:vAlign w:val="center"/>
          </w:tcPr>
          <w:p w14:paraId="1E5FF029"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10</w:t>
            </w:r>
          </w:p>
        </w:tc>
        <w:tc>
          <w:tcPr>
            <w:tcW w:w="2463" w:type="dxa"/>
            <w:vAlign w:val="center"/>
          </w:tcPr>
          <w:p w14:paraId="618D181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人民银行印发《关于推动建立金融服务小微企业敢贷愿贷能贷会贷长效机制的通知》</w:t>
            </w:r>
          </w:p>
        </w:tc>
        <w:tc>
          <w:tcPr>
            <w:tcW w:w="5851" w:type="dxa"/>
            <w:vAlign w:val="center"/>
          </w:tcPr>
          <w:p w14:paraId="7CE29B0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1.健全容错安排和风险缓释机制，增强敢贷信心</w:t>
            </w:r>
          </w:p>
          <w:p w14:paraId="1C621F8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优化完善尽职免责制度。各金融机构要通过建立正面清单和负面清单、搭建申诉平台、加强公示等，探索简便易行、客观可量化的尽职免责内部认定标准和流程，引导相关岗位人员勤勉尽职，适当提高免责和减责比例。在有效防范道德风险的</w:t>
            </w:r>
            <w:r>
              <w:rPr>
                <w:rFonts w:ascii="仿宋_GB2312" w:eastAsia="仿宋_GB2312" w:hAnsi="仿宋_GB2312" w:cs="仿宋_GB2312" w:hint="eastAsia"/>
              </w:rPr>
              <w:lastRenderedPageBreak/>
              <w:t>前提下，对小微企业贷款不良率符合监管规定的分支机构，可免除或减轻相关人员内部考核扣分、行政处分、经济处罚等责任。贷款风险发生后需启动问责程序的，要先启动尽职免责认定程序、开展尽职免责调查与评议并进行责任认定。要通过案例引导、经验交流等方式，推动尽职免责制度落地，营造尽职免责的信贷文化氛围。</w:t>
            </w:r>
          </w:p>
          <w:p w14:paraId="7B5F681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改进小微企业不良贷款处置方式。各金融机构要落实好普惠小微贷款不良容忍度监管要求，对不超出容忍度标准的分支机构，计提效益工资总额时，可不考虑或部分考虑不良贷款造成的利润损失。优先安排小微企业不良贷款核销计划，确保应核尽核。用好批量转让、资产证券化、重组转化等处置手段，提高小微企业不良贷款处置质效。对长账龄不良贷款，争取实现应处置尽处置。人民银行分支机构在各项评估中，可对普惠小微贷款增速、增量进行不良贷款核销还原，鼓励金融机构加快普惠小微不良贷款处置。</w:t>
            </w:r>
          </w:p>
          <w:p w14:paraId="1629E89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积极开展银政保担业务合作。各金融机构要积极与政府性融资担保机构开展“见贷即担”“见担即贷”批量担保业务合作，减少重复尽职调查，优化担保流程，提高担保效率。深化“银行+保险”合作，优化保单质押、贷款保证保险等合作业务流程，助力小微企业融资。人民银行分支机构要会同相关部门推动政府性融资担保机构合理提高担保放大倍数，降低担保费率和反担保要求，扩大对小微企业的覆盖面，降低或取消盈利性考核要求，依法依约及时履行代偿责任，适度提高代偿比例。鼓励有条件的地方设立风险补偿基金，为小微信贷业务提供风险缓释。</w:t>
            </w:r>
          </w:p>
          <w:p w14:paraId="60CDC55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2.强化正向激励和评估考核，激发愿贷动力</w:t>
            </w:r>
          </w:p>
          <w:p w14:paraId="5118B9E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（1）进一步优化信贷结构，逐步转变对地方政府融资平台、国有企业等的传统偏好，扭转“垒大户”倾向，减少超过合理融资需求的多头授信、过度授信，腾挪更多信贷资源支持小微企业发展。</w:t>
            </w:r>
          </w:p>
          <w:p w14:paraId="3CA0B33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优化提升贷款精细化定价水平。各金融机构要继续完善成本分摊和收益分享机制，加大内部资金转移定价优惠幅度，调整优化经济资本占用计量系数，加大对小微业务的倾斜支持力度。将贷款市场报价利率（LPR）内嵌到内部定价和传导相关环节，统筹考虑小微市场主体资质、经营状况、担保方式、贷款期限等情况，提高精细化定价水平，推动综合融资成本稳中有降。适当下放贷款定价权限，提高分支机构金融服务效率。对受新冠肺炎疫情影响严重行业和地区的小微企业，鼓励阶段性实行更优惠的利率和服务收费，减免罚息，减轻困难企业负担。</w:t>
            </w:r>
          </w:p>
          <w:p w14:paraId="7C07950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3）改进完善差异化绩效考核机制。各金融机构要进一步强化绩效考核引导，优化评价指标体系，降低或取消对小微业务条线存款、利润、中间业务等考核要求，适当提高信用贷款、首贷户等指标权重。将金融服务小微企业情况与分支机构考核挂钩，作为薪酬激励、评优评先的主要依据。合理增加专项激励工资、营销费用补贴、业务创新奖励等配套供给，鼓励开展小微客户拓展和产品创新。做好考核目标分解落实，确保各项保障激励政策及时兑现，充分调动分支机构和一线从业人员积极性。</w:t>
            </w:r>
          </w:p>
          <w:p w14:paraId="49ECFDC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强政策效果评估运用。人民银行分支机构要认真开展小微企业信贷政策导向效果评估，推动金融机构将评估结果纳入对其分支机构的综合绩效考核。加强财政金融政策协同，推动有条件的地方将小微企业金融服务情况与财政奖补等挂钩。继续开展区域融资环境评价，完善评价体系，加强评价结果运用，推动地方融资环境持续优化。</w:t>
            </w:r>
          </w:p>
          <w:p w14:paraId="23D11CE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3.做好资金保障和渠道建设，夯实能贷基础</w:t>
            </w:r>
          </w:p>
          <w:p w14:paraId="284EA0B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好货币政策工具总量和结构双重功能。各金融机构要充分运用降准释放的长期资金、再贷款再贴现等结构性货币政策工具提供的资金，将新增信贷资源优先投向小微企业。人民银行分支机构要运用好普惠小微贷款支持工具，推动金融机构持续增加普惠小微贷款投放，更多发放信用贷款。</w:t>
            </w:r>
          </w:p>
          <w:p w14:paraId="6B77407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持续增加小微企业信贷供给。各金融机构要围绕普惠小微贷款增速不低于各项贷款平均增速的目标，结合各项贷款投放安排，科学制定年度普惠小微专项信贷计划，鼓励有条件的金融机构单列信用贷、首贷计划，加强监测管理，确保贷款专项专用。全国性银行分解专项信贷计划，要向中西部地区、信贷增长缓慢地区和受疫情影响严重地区和行业倾斜。地方法人银行新增可贷资金要更多用于发放涉农和小微企业贷款，确保涉农和普惠小微贷款持续稳定增长。人民银行分支机构要及时调研了解辖区内金融机构普惠小微专项信贷计划制定和落实情况，并加强督促指导。</w:t>
            </w:r>
          </w:p>
          <w:p w14:paraId="58F064A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拓宽多元化信贷资金来源渠道。鼓励金融机构在依法合规、风险可控前提下，通过信贷资产证券化等方式，盘活存量信贷资源。通过加大利润留存、适当控制风险资产增速等，增加内生资本补充。继续支持中小银行发行永续债、二级资本债，配合有关部门指导地方政府用好新增专项债额度合理补充中小银行资本，鼓励资质相对较好的银行通过权益市场融资，加大外源资本补充力度。金融债券余额管理试点银行要在年度批复额度内，合理安排小微企业金融债券发行规模，严格规范募集资金使用管理。人民银行分支机构要及时摸排地方法人银行</w:t>
            </w:r>
            <w:r>
              <w:rPr>
                <w:rFonts w:ascii="仿宋_GB2312" w:eastAsia="仿宋_GB2312" w:hAnsi="仿宋_GB2312" w:cs="仿宋_GB2312" w:hint="eastAsia"/>
              </w:rPr>
              <w:lastRenderedPageBreak/>
              <w:t>发行小微企业金融债券、资本补充债券需求，做好辅导沟通，提高发行效率。鼓励有条件的地区对地方法人银行发行小微企业金融债券进行奖补。</w:t>
            </w:r>
          </w:p>
          <w:p w14:paraId="1953261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4.推动科技赋能和产品创新，提升会贷水平</w:t>
            </w:r>
          </w:p>
          <w:p w14:paraId="25E88FF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健全分层分类的小微金融服务体系。开发性银行、政策性银行要加强对转贷款资金的规范管理，确保用于小微企业信贷供给，并围绕核心企业创新供应链金融模式，探索为其上下游小微企业提供直贷业务。全国性银行要发挥“头雁”作用，充分运用网点、人才和科技优势，切实满足小微企业综合金融服务需求，提高融资可得性和便利性。地方法人银行要强化支农支小定位，将增加小微信贷投放与改革化险相结合，充分发挥贴近基层优势，形成特色化产品和服务模式，重点支持县域经济和小微企业发展。</w:t>
            </w:r>
          </w:p>
          <w:p w14:paraId="65E7507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丰富特色化金融产品。各金融机构要针对小微企业生命周期、所属行业、交易场景和融资需求等特点，持续推进信贷产品创新，合理设置贷款期限，优化贷款流程，继续推广主动授信、随借随还贷款模式，满足小微企业灵活用款需求。运用续贷、年审制等方式，丰富中长期贷款产品供给。依托核心企业，优化对产业链上下游小微企业的融资、结算等金融服务，积极开展应收账款、预付款、存货、仓单等权利和动产质押融资业务。发挥动产融资统一登记公示系统、供应链票据平台、中征应收账款融资服务平台作用，拓宽抵质押物范围，便利小微企业融资。</w:t>
            </w:r>
          </w:p>
          <w:p w14:paraId="7605DFD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重点领域和困难行业的金融支持力度。深入研究个体工商户经营特点和融资需求，加大创业担保贷款、信用贷款投放力度，为个体工商户发展提供更多金融服务。鼓励为符合授信条件但未办理登记注册的个体经营者提供融资支持，激发创业动能。按照市场化、法治化原则，提高对新市民在创业、就业、教育等领域的金融服务质效。人民银行分支机构、各金融机构要做好疫情防控下的金融服务和困难行业支持工作，加强与商务、文旅、交通等行业主管部门的沟通协作，发挥普惠性支持措施和针对性支持措施合力，帮助企业纾困，避免出现行业性限贷、抽贷、断贷。</w:t>
            </w:r>
          </w:p>
        </w:tc>
      </w:tr>
      <w:tr w:rsidR="000E0C43" w14:paraId="6B4DE7B8" w14:textId="77777777">
        <w:trPr>
          <w:trHeight w:val="645"/>
          <w:jc w:val="center"/>
        </w:trPr>
        <w:tc>
          <w:tcPr>
            <w:tcW w:w="710" w:type="dxa"/>
            <w:vAlign w:val="center"/>
          </w:tcPr>
          <w:p w14:paraId="273CA3CC"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11</w:t>
            </w:r>
          </w:p>
        </w:tc>
        <w:tc>
          <w:tcPr>
            <w:tcW w:w="2463" w:type="dxa"/>
            <w:vAlign w:val="center"/>
          </w:tcPr>
          <w:p w14:paraId="5C649AC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《国务院办公厅关于推动外贸保稳提质的意见》（国办发〔2022〕18号）</w:t>
            </w:r>
          </w:p>
          <w:p w14:paraId="1A92C40C" w14:textId="77777777" w:rsidR="000E0C43" w:rsidRDefault="000E0C43">
            <w:pPr>
              <w:spacing w:line="240" w:lineRule="auto"/>
              <w:rPr>
                <w:rFonts w:ascii="仿宋_GB2312" w:eastAsia="仿宋_GB2312" w:hAnsi="仿宋_GB2312" w:cs="仿宋_GB2312" w:hint="eastAsia"/>
              </w:rPr>
            </w:pPr>
          </w:p>
        </w:tc>
        <w:tc>
          <w:tcPr>
            <w:tcW w:w="5851" w:type="dxa"/>
            <w:vAlign w:val="center"/>
          </w:tcPr>
          <w:p w14:paraId="0B77CE9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强外贸企业生产经营保障。涉疫地区（中高风险地区所在县级行政区域）所在省份，在做好疫情防控的同时，确定重点外贸企业名录和相关物流企业、人员名录，对生产、物流、用工予以保障，尽快帮助受疫情影响的外贸企业复工达产，保障外贸供应链稳定。</w:t>
            </w:r>
          </w:p>
          <w:p w14:paraId="0E3D1C4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2.促进外贸货物运输保通保畅。各地方严格落实全国保障物流</w:t>
            </w:r>
            <w:r>
              <w:rPr>
                <w:rFonts w:ascii="仿宋_GB2312" w:eastAsia="仿宋_GB2312" w:hAnsi="仿宋_GB2312" w:cs="仿宋_GB2312" w:hint="eastAsia"/>
              </w:rPr>
              <w:lastRenderedPageBreak/>
              <w:t>畅通促进产业链供应链稳定电视电话会议精神及《国务院应对新型冠状病毒感染肺炎疫情联防联控机制关于切实做好货运物流保通保畅工作的通知》（国办发明电〔2022〕3号）要求，将外贸货物纳入重要物资范围，全力保障货运物流运输畅通，有运输需求的外贸企业，可按有关规定申领重点物资运输车辆通行证。有力有序疏通海空港等集疏运，提高作业和通关效率。各地要积极优化作业流程，进一步压缩国际班轮等泊时间，不得层层加码，出台影响国际集装箱班轮靠港作业效率的措施。加强航空口岸机场海关及作业人员保障，用好航空货运运力，保障重要零部件、装备和产品运输。加强与国际货运班列沿线国家沟通协调，同步提高铁路口岸通关及作业效率。进一步提升深港陆路运输效率和通行能力。</w:t>
            </w:r>
          </w:p>
          <w:p w14:paraId="597168D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增强海运物流服务稳外贸功能。各地方、商协会组织中小微外贸企业加大与国际班轮公司对接力度，进一步推动扩大班轮公司直客对接的业务规模。各地方协调帮助物流、货代等企业及时赴港口提离冷藏货物、危险货物等集装箱，提升主要港口的货物中转效率。</w:t>
            </w:r>
          </w:p>
          <w:p w14:paraId="6ED0C72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4.加大进出口信贷支持。支持银行机构对于发展前景良好但暂时受困的外贸企业，不盲目惜贷、抽贷、断贷、压贷，根据风险管控要求和企业经营实际，满足企业合理资金需求。</w:t>
            </w:r>
          </w:p>
          <w:p w14:paraId="5A75912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进一步加强对中小微外贸企业金融支持。各地方加强“政银企”对接，梳理一批急需资金的中小微外贸企业名单，开展“清单式”管理，按照市场化原则，予以重点支持。加大出口信用保险对中小微外贸企业的支持力度，在去年基础上进一步扩大对中小微外贸企业的承保覆盖面。优化中小微外贸企业承保和理赔条件，缩短理赔时间。鼓励银行机构按照市场化原则加大对外贸企业特别是中小微外贸企业的信贷支持力度。鼓励银行和保险机构深化出口信用保险保单融资合作，强化对中小微外贸企业的融资增信支持，增加信保保单融资规模。</w:t>
            </w:r>
          </w:p>
        </w:tc>
      </w:tr>
      <w:tr w:rsidR="000E0C43" w14:paraId="289220F1" w14:textId="77777777">
        <w:trPr>
          <w:trHeight w:val="645"/>
          <w:jc w:val="center"/>
        </w:trPr>
        <w:tc>
          <w:tcPr>
            <w:tcW w:w="710" w:type="dxa"/>
            <w:vAlign w:val="center"/>
          </w:tcPr>
          <w:p w14:paraId="26BF6F49"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12</w:t>
            </w:r>
          </w:p>
        </w:tc>
        <w:tc>
          <w:tcPr>
            <w:tcW w:w="2463" w:type="dxa"/>
            <w:vAlign w:val="center"/>
          </w:tcPr>
          <w:p w14:paraId="191D1DA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《关于进一步发挥资本市场功能 支持受疫情影响严重地区和行业加快恢复发展的通知》（证监发〔2022〕46号）</w:t>
            </w:r>
          </w:p>
        </w:tc>
        <w:tc>
          <w:tcPr>
            <w:tcW w:w="5851" w:type="dxa"/>
            <w:vAlign w:val="center"/>
          </w:tcPr>
          <w:p w14:paraId="0D07A39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1.采取有效手段，加大直接融资支持力度</w:t>
            </w:r>
          </w:p>
          <w:p w14:paraId="791B2DA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2022年业绩受疫情影响严重地区和行业申请首发上市的企业，在符合板块定位及发行上市条件的前提下，经中介机构核查情况属实且不对持续盈利能力或持续经营能力构成重大不利影响的，相关审核或注册工作正常推进。2022年年底前对受疫情影响严重地区和行业的上市公司再融资申请实施专人对接、即报即审、审过即发。</w:t>
            </w:r>
          </w:p>
          <w:p w14:paraId="22B3EF3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（2）受疫情影响严重地区和行业企业申请北交所上市、全国股转系统挂牌的，实施专人对接、即报即审、审过即发。受疫情影响严重地区和行业企业发行公司债券、资产证券化产品的，</w:t>
            </w:r>
            <w:r>
              <w:rPr>
                <w:rFonts w:ascii="仿宋_GB2312" w:eastAsia="仿宋_GB2312" w:hAnsi="仿宋_GB2312" w:cs="仿宋_GB2312" w:hint="eastAsia"/>
              </w:rPr>
              <w:lastRenderedPageBreak/>
              <w:t>或者债券募集资金用于疫情防控相关领域或用于偿还疫情防控期间到期债券产品的，实施专人对接、即报即审。</w:t>
            </w:r>
          </w:p>
          <w:p w14:paraId="6BECA84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受疫情影响严重地区和行业上市公司发行股份购买资产申请适用“小额快速”审核机制，在计算交易金额时不再适用最近12个月内累计计算的要求。发行股份购买资产同时募集配套资金的，放宽募集配套资金用于补充流动资金、偿还债务的比例限制。</w:t>
            </w:r>
          </w:p>
          <w:p w14:paraId="7100BEC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（4）加快公募基金产品特别是权益类基金、抗疫主题基金等产品的审核进度。对受疫情影响严重地区和行业企业相关基金产品的行政许可事项，依法依规给予支持。</w:t>
            </w:r>
          </w:p>
          <w:p w14:paraId="44A4A6F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2.实施延期展期政策，体现监管弹性</w:t>
            </w:r>
          </w:p>
          <w:p w14:paraId="7BA76D75"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受疫情影响严重地区和行业发行人的反馈意见、审核问询回复时限可以延长3个月，告知函回复时限可以延长1个月。对受疫情影响严重地区和行业企业申报发行公司债券和资产证券化产品的，暂缓计算审核阶段反馈意见回复时限、中止时限3个月。</w:t>
            </w:r>
          </w:p>
          <w:p w14:paraId="611F262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疫情影响严重地区和行业的上市公司并购重组项目确实不能按期更新财务资料或发出股东大会通知的，可以在充分披露疫情对本次重组的具体影响后，申请财务资料有效期延长或股东大会通知时间延期1个月，最多可以延期3次。</w:t>
            </w:r>
          </w:p>
          <w:p w14:paraId="030686F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（3）受疫情影响严重地区和行业的上市公司取得重大资产重组行政许可批文后，可以申请暂缓计算批文有效期，暂缓计算期限最长不超过12个月。</w:t>
            </w:r>
          </w:p>
          <w:p w14:paraId="2C73CC4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（4）支持受疫情影响严重地区的私募基金备案，适当延长管理人首支私募基金备案和信息报送时限，适当放宽私募基金登记备案材料签章要求和部分工商材料要求。</w:t>
            </w:r>
          </w:p>
          <w:p w14:paraId="71709BE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3.优化监管工作安排，传递监管温度</w:t>
            </w:r>
          </w:p>
          <w:p w14:paraId="081900A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（1）对受疫情影响严重地区和行业的公开发行证券并上市的企业，2022年上市当年因受疫情影响业绩大幅下滑的，对发行人和相关保荐机构给予适当监管包容。</w:t>
            </w:r>
          </w:p>
          <w:p w14:paraId="423AA82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沪深证券交易所免收上市公司2022年度上市初费、上市年费和股东大会网络投票服务费。北交所免收上市公司2022年上市年费。全国股转公司免收相关地区挂牌公司2022年挂牌初费和年费。中国结算免收相关发行人2022年登记结算费用。各期货交易所减收相关期货经营机构手续费、减免席位费。支持各协会通过免收减收会费、延期交纳会费、免费培训等方式，</w:t>
            </w:r>
            <w:r>
              <w:rPr>
                <w:rFonts w:ascii="仿宋_GB2312" w:eastAsia="仿宋_GB2312" w:hAnsi="仿宋_GB2312" w:cs="仿宋_GB2312" w:hint="eastAsia"/>
              </w:rPr>
              <w:lastRenderedPageBreak/>
              <w:t>加大会员服务力度。</w:t>
            </w:r>
          </w:p>
          <w:p w14:paraId="5F520E2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4.发挥行业机构作用，助力抗疫和复工复产</w:t>
            </w:r>
          </w:p>
          <w:p w14:paraId="69F5BF2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鼓励证券公司积极发挥融资中介职能，支持受疫情影响严重地区和行业开展股权融资和债券融资。引导证券公司与股权质押到期还款困难的客户，协商展期3至6个月。对于因疫情防控实施隔离或者接受救治的融资融券客户，尽量减少强制平仓，柔性处理。</w:t>
            </w:r>
          </w:p>
          <w:p w14:paraId="13B395A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（2）支持公募基金管理公司践行长期投资、价值投资、责任投资理念，积极以自有资金申购旗下基金产品，积极发挥专业投资者作用，引导更多社会资金流向抗疫相关企业。</w:t>
            </w:r>
          </w:p>
          <w:p w14:paraId="6B81415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（3）鼓励证券公司设立私募资产管理产品，通过私募基金子公司按照市场化、法治化原则设立私募基金产品，对接相关企业融资需求，降低融资成本。</w:t>
            </w:r>
          </w:p>
          <w:p w14:paraId="58B4BBB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发挥期货市场作用，发挥期货避险功能，助力受疫情影响严重地区和行业企业风险管理。抓好产业客户培育活动，稳步扩展“期货稳价订单”至沥青、低硫燃料油等能化期货品种。对于在疫情期间服务受疫情影响严重地区和行业的中小微企业表现突出的期货公司，在分类评价中予以加分。</w:t>
            </w:r>
          </w:p>
        </w:tc>
      </w:tr>
      <w:tr w:rsidR="000E0C43" w14:paraId="0B810048" w14:textId="77777777">
        <w:trPr>
          <w:trHeight w:val="645"/>
          <w:jc w:val="center"/>
        </w:trPr>
        <w:tc>
          <w:tcPr>
            <w:tcW w:w="710" w:type="dxa"/>
            <w:vAlign w:val="center"/>
          </w:tcPr>
          <w:p w14:paraId="09067FA4"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13</w:t>
            </w:r>
          </w:p>
        </w:tc>
        <w:tc>
          <w:tcPr>
            <w:tcW w:w="2463" w:type="dxa"/>
            <w:vAlign w:val="center"/>
          </w:tcPr>
          <w:p w14:paraId="595B71F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《小微企业、个体工商户税费优惠政策指引》</w:t>
            </w:r>
          </w:p>
        </w:tc>
        <w:tc>
          <w:tcPr>
            <w:tcW w:w="5851" w:type="dxa"/>
            <w:vAlign w:val="center"/>
          </w:tcPr>
          <w:p w14:paraId="24311F0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深入落实党中央、国务院实施新的组合式税费支持政策的决策部署，更加便利小微企业和个体工商户及时了解适用税费优惠政策，税务总局针对小微企业和个体工商户的税费优惠政策进行了梳理，按照享受主体、优惠内容、享受条件、政策依据的编写体例，从减负担、促融资、助创业三个方面，梳理形成了涵盖39项针对小微企业和个体工商户的税费优惠政策指引内容。</w:t>
            </w:r>
          </w:p>
        </w:tc>
      </w:tr>
      <w:tr w:rsidR="000E0C43" w14:paraId="63CC33DB" w14:textId="77777777">
        <w:trPr>
          <w:trHeight w:val="645"/>
          <w:jc w:val="center"/>
        </w:trPr>
        <w:tc>
          <w:tcPr>
            <w:tcW w:w="710" w:type="dxa"/>
            <w:vAlign w:val="center"/>
          </w:tcPr>
          <w:p w14:paraId="6EF4735D"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14</w:t>
            </w:r>
          </w:p>
        </w:tc>
        <w:tc>
          <w:tcPr>
            <w:tcW w:w="2463" w:type="dxa"/>
            <w:vAlign w:val="center"/>
          </w:tcPr>
          <w:p w14:paraId="32FAB33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《2022年新的组合式税费支持政策指引》</w:t>
            </w:r>
          </w:p>
        </w:tc>
        <w:tc>
          <w:tcPr>
            <w:tcW w:w="5851" w:type="dxa"/>
            <w:vAlign w:val="center"/>
          </w:tcPr>
          <w:p w14:paraId="56BB201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了方便市场主体及时了解适用税费支持政策，税务总局对新出台的和延续实施的有关政策进行了梳理，按照享受主体、优惠内容、享受条件、政策依据的编写体例，形成了涵盖33项内容的新的组合式税费支持政策指引，后续将根据新出台税费政策情况持续更新。</w:t>
            </w:r>
          </w:p>
        </w:tc>
      </w:tr>
      <w:tr w:rsidR="000E0C43" w14:paraId="46C63236" w14:textId="77777777">
        <w:trPr>
          <w:trHeight w:val="645"/>
          <w:jc w:val="center"/>
        </w:trPr>
        <w:tc>
          <w:tcPr>
            <w:tcW w:w="710" w:type="dxa"/>
            <w:vAlign w:val="center"/>
          </w:tcPr>
          <w:p w14:paraId="2BEE364C"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15</w:t>
            </w:r>
          </w:p>
        </w:tc>
        <w:tc>
          <w:tcPr>
            <w:tcW w:w="2463" w:type="dxa"/>
            <w:vAlign w:val="center"/>
          </w:tcPr>
          <w:p w14:paraId="6CA5BE0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《财政部 税务总局关于进一步持续加快增值税期末留抵退税政策实施进度的公告》（财政部 税务总局公告2022年第19号）</w:t>
            </w:r>
          </w:p>
        </w:tc>
        <w:tc>
          <w:tcPr>
            <w:tcW w:w="5851" w:type="dxa"/>
            <w:vAlign w:val="center"/>
          </w:tcPr>
          <w:p w14:paraId="2D76EF4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w:t>
            </w:r>
            <w:r>
              <w:rPr>
                <w:rFonts w:ascii="仿宋_GB2312" w:eastAsia="仿宋_GB2312" w:hAnsi="仿宋_GB2312" w:cs="仿宋_GB2312" w:hint="eastAsia"/>
              </w:rPr>
              <w:lastRenderedPageBreak/>
              <w:t>请的基础上，集中退还大型企业存量留抵税额。</w:t>
            </w:r>
          </w:p>
        </w:tc>
      </w:tr>
      <w:tr w:rsidR="000E0C43" w14:paraId="44D7C125" w14:textId="77777777">
        <w:trPr>
          <w:trHeight w:val="645"/>
          <w:jc w:val="center"/>
        </w:trPr>
        <w:tc>
          <w:tcPr>
            <w:tcW w:w="710" w:type="dxa"/>
            <w:vAlign w:val="center"/>
          </w:tcPr>
          <w:p w14:paraId="3C811D08"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16</w:t>
            </w:r>
          </w:p>
        </w:tc>
        <w:tc>
          <w:tcPr>
            <w:tcW w:w="2463" w:type="dxa"/>
            <w:vAlign w:val="center"/>
          </w:tcPr>
          <w:p w14:paraId="4043867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《交通运输部办公厅关于进一步抓实抓细道路客运及城市客运领域新冠肺炎疫情防控有关工作的通知》（交运明电〔2022〕160号）</w:t>
            </w:r>
          </w:p>
        </w:tc>
        <w:tc>
          <w:tcPr>
            <w:tcW w:w="5851" w:type="dxa"/>
            <w:vAlign w:val="center"/>
          </w:tcPr>
          <w:p w14:paraId="798A2C7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地交通运输主管部门要加强与发展改革、财政、人力资源社会保障、银保监等部门的沟通对接，保障道路客运和城市客运经营者、客运场站经营者充分享受国家既有财税、金融、保险等纾困解难政策。要积极争取属地人民政府为经营者提供防疫物资或资金补助，将一线从业人员纳入免费核酸检测范围，及时拨付应急运输费用。</w:t>
            </w:r>
          </w:p>
        </w:tc>
      </w:tr>
      <w:tr w:rsidR="000E0C43" w14:paraId="4C9B950E" w14:textId="77777777">
        <w:trPr>
          <w:trHeight w:val="645"/>
          <w:jc w:val="center"/>
        </w:trPr>
        <w:tc>
          <w:tcPr>
            <w:tcW w:w="710" w:type="dxa"/>
            <w:vAlign w:val="center"/>
          </w:tcPr>
          <w:p w14:paraId="2419770B"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17</w:t>
            </w:r>
          </w:p>
        </w:tc>
        <w:tc>
          <w:tcPr>
            <w:tcW w:w="2463" w:type="dxa"/>
            <w:vAlign w:val="center"/>
          </w:tcPr>
          <w:p w14:paraId="7FF8A93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 财政部 国家税务总局关于做好失业保险稳岗位提技能防失业工作的通知》（人社部发〔2022〕23号）</w:t>
            </w:r>
          </w:p>
        </w:tc>
        <w:tc>
          <w:tcPr>
            <w:tcW w:w="5851" w:type="dxa"/>
            <w:vAlign w:val="center"/>
          </w:tcPr>
          <w:p w14:paraId="0180F3CF"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继续实施失业保险稳岗返还政策。参保企业上年度未裁员或裁员率不高于上年度全国城镇调查失业率控制目标，30人（含）以下的参保企业裁员率不高于参保职工总数20%的，可以申请失业保险稳岗返还。大型企业仍按不超过企业及其职工上年度实际缴纳失业保险费的30%返还，中小微企业返还比例从60%最高提至90%。社会团体、基金会、社会服务机构、律师事务所、会计师事务所、以单位形式参保的个体工商户参照实施。实施上述稳岗返还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14:paraId="4B1608A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拓宽技能提升补贴受益范围。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14:paraId="2757520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3.继续实施职业培训补贴政策。对领取失业保险金期间接受职业培训的失业人员，按规定发放职业培训补贴。</w:t>
            </w:r>
          </w:p>
          <w:p w14:paraId="5BF1B30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继续实施东部7省（市）扩大失业保险基金支出范围试点政策。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14:paraId="626EC68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5.发放一次性留工培训补助。2022年1月1日至12月31日，</w:t>
            </w:r>
            <w:r>
              <w:rPr>
                <w:rFonts w:ascii="仿宋_GB2312" w:eastAsia="仿宋_GB2312" w:hAnsi="仿宋_GB2312" w:cs="仿宋_GB2312" w:hint="eastAsia"/>
              </w:rPr>
              <w:lastRenderedPageBreak/>
              <w:t>累计出现1个（含）以上中高风险疫情地区的市（地、州、盟）、县（市、区、旗），可对因新冠肺炎疫情严重影响暂时无法正常生产经营的中小微企业，按每名参保职工不超过500元的标准发放一次性留工培训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保险稳岗返还。实施上述政策的统筹地区，上年度失业保险基金滚存结余备付期限应在2年以上。上述政策执行期限至2022年12月31日。具体办法由各省（自治区、直辖市）制定。</w:t>
            </w:r>
          </w:p>
          <w:p w14:paraId="4EC2E37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大力支持职业技能培训。上年度失业保险基金滚存结余备付期限在2年以上，并且职业技能提升行动专账资金不足的统筹地区，在各项保生活稳岗位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14:paraId="259DFFF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实施降费率和缓缴社会保险费政策。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14:paraId="39715A22"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保障失业人员基本生活。继续实施失业保险保障扩围政策，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w:t>
            </w:r>
            <w:r>
              <w:rPr>
                <w:rFonts w:ascii="仿宋_GB2312" w:eastAsia="仿宋_GB2312" w:hAnsi="仿宋_GB2312" w:cs="仿宋_GB2312" w:hint="eastAsia"/>
              </w:rPr>
              <w:lastRenderedPageBreak/>
              <w:t>一入口，方便失业人员申领。</w:t>
            </w:r>
          </w:p>
        </w:tc>
      </w:tr>
      <w:tr w:rsidR="000E0C43" w14:paraId="7FA42757" w14:textId="77777777">
        <w:trPr>
          <w:trHeight w:val="645"/>
          <w:jc w:val="center"/>
        </w:trPr>
        <w:tc>
          <w:tcPr>
            <w:tcW w:w="710" w:type="dxa"/>
            <w:vAlign w:val="center"/>
          </w:tcPr>
          <w:p w14:paraId="07B2179A"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18</w:t>
            </w:r>
          </w:p>
        </w:tc>
        <w:tc>
          <w:tcPr>
            <w:tcW w:w="2463" w:type="dxa"/>
            <w:vAlign w:val="center"/>
          </w:tcPr>
          <w:p w14:paraId="5640166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《住房和城乡建设部办公厅 国家邮政局办公室关于做好疫情防控期间寄递服务保障工作的通知》（建办城函〔2022〕181号）</w:t>
            </w:r>
          </w:p>
        </w:tc>
        <w:tc>
          <w:tcPr>
            <w:tcW w:w="5851" w:type="dxa"/>
            <w:vAlign w:val="center"/>
          </w:tcPr>
          <w:p w14:paraId="73A96F9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鼓励有条件地区为邮政快递从业人员提供定期免费核酸和抗原检测。</w:t>
            </w:r>
          </w:p>
          <w:p w14:paraId="462B212A" w14:textId="77777777" w:rsidR="000E0C43" w:rsidRDefault="000E0C43">
            <w:pPr>
              <w:spacing w:line="240" w:lineRule="auto"/>
              <w:rPr>
                <w:rFonts w:eastAsia="仿宋_GB2312"/>
              </w:rPr>
            </w:pPr>
          </w:p>
        </w:tc>
      </w:tr>
      <w:tr w:rsidR="000E0C43" w14:paraId="56A717F0" w14:textId="77777777">
        <w:trPr>
          <w:trHeight w:val="645"/>
          <w:jc w:val="center"/>
        </w:trPr>
        <w:tc>
          <w:tcPr>
            <w:tcW w:w="710" w:type="dxa"/>
            <w:vAlign w:val="center"/>
          </w:tcPr>
          <w:p w14:paraId="578621B3"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19</w:t>
            </w:r>
          </w:p>
        </w:tc>
        <w:tc>
          <w:tcPr>
            <w:tcW w:w="2463" w:type="dxa"/>
            <w:vAlign w:val="center"/>
          </w:tcPr>
          <w:p w14:paraId="4FC7BBD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《国家发展改革委等部门关于做好2022年降成本重点工作的通知》（发改运行〔2022〕672号）</w:t>
            </w:r>
          </w:p>
        </w:tc>
        <w:tc>
          <w:tcPr>
            <w:tcW w:w="5851" w:type="dxa"/>
            <w:vAlign w:val="center"/>
          </w:tcPr>
          <w:p w14:paraId="3C7E5C4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1.实施新的组合式税费支持政策</w:t>
            </w:r>
            <w:r>
              <w:rPr>
                <w:rFonts w:ascii="仿宋_GB2312" w:eastAsia="仿宋_GB2312" w:hAnsi="仿宋_GB2312" w:cs="仿宋_GB2312" w:hint="eastAsia"/>
              </w:rPr>
              <w:br/>
              <w:t>（4）进一步清理规范涉企收费。清理转供电环节不合理加价，支持地方对特殊困难行业用电实行阶段性优惠政策。进一步清理规范行业协会商会、中介机构等收费。开展涉企违规收费专项整治行动，建立协同治理和联合惩戒机制，坚决查处乱收费、乱罚款、乱摊派。</w:t>
            </w:r>
            <w:r>
              <w:rPr>
                <w:rFonts w:ascii="仿宋_GB2312" w:eastAsia="仿宋_GB2312" w:hAnsi="仿宋_GB2312" w:cs="仿宋_GB2312" w:hint="eastAsia"/>
              </w:rPr>
              <w:br/>
              <w:t>2.加强金融对实体经济的有效支持</w:t>
            </w:r>
            <w:r>
              <w:rPr>
                <w:rFonts w:ascii="仿宋_GB2312" w:eastAsia="仿宋_GB2312" w:hAnsi="仿宋_GB2312" w:cs="仿宋_GB2312" w:hint="eastAsia"/>
              </w:rPr>
              <w:br/>
              <w:t>（1）营造良好的货币金融环境。扩大新增贷款规模，保持货币供应量和社会融资规模增速与名义经济增速基本匹配，保持宏观杠杆率基本稳定。保持人民币汇率在合理均衡水平上的基本稳定。持续释放贷款市场报价利率（LPR）改革潜力，推动金融机构将LPR下行效果充分传导至贷款利率，促进企业综合融资成本稳中有降。</w:t>
            </w:r>
            <w:r>
              <w:rPr>
                <w:rFonts w:ascii="仿宋_GB2312" w:eastAsia="仿宋_GB2312" w:hAnsi="仿宋_GB2312" w:cs="仿宋_GB2312" w:hint="eastAsia"/>
              </w:rPr>
              <w:br/>
              <w:t>（2）引导资金更多流向重点领域和薄弱环节。保持普惠性再贷款、再贴现政策稳定性，继续对涉农、小微企业、民营企业提供普惠性、持续性的资金支持。用好普惠小微贷款支持工具，增加支农支小再贷款，优化监管考核，推动普惠小微贷款明显增长、信用贷款和首贷户比重继续提升。引导金融机构准确把握信贷政策，继续对受疫情影响严重的行业企业给予融资支持，避免出现行业性限贷、抽贷、断贷。积极推动碳减排支持工具和支持煤炭清洁高效利用专项再贷款落地见效。</w:t>
            </w:r>
            <w:r>
              <w:rPr>
                <w:rFonts w:ascii="仿宋_GB2312" w:eastAsia="仿宋_GB2312" w:hAnsi="仿宋_GB2312" w:cs="仿宋_GB2312" w:hint="eastAsia"/>
              </w:rPr>
              <w:br/>
              <w:t>（3）建立健全多层次资本市场。完善民营企业债券融资支持机制，全面实行股票发行注册制，促进资本市场平稳健康发展。</w:t>
            </w:r>
            <w:r>
              <w:rPr>
                <w:rFonts w:ascii="仿宋_GB2312" w:eastAsia="仿宋_GB2312" w:hAnsi="仿宋_GB2312" w:cs="仿宋_GB2312" w:hint="eastAsia"/>
              </w:rPr>
              <w:br/>
              <w:t>（4）提升企业融资便利度。推进涉企信用信息整合共享，加快税务、海关、电力等单位与金融机构信息联通，扩大政府性融资担保对小微企业的覆盖面。持续优化应收账款融资服务，深化供应链融资改革，提升企业动产和权利融资便利度。加强银行服务市场调节价管理，鼓励对小微企业、个体工商户实施差异化定价和服务优惠。</w:t>
            </w:r>
            <w:r>
              <w:rPr>
                <w:rFonts w:ascii="仿宋_GB2312" w:eastAsia="仿宋_GB2312" w:hAnsi="仿宋_GB2312" w:cs="仿宋_GB2312" w:hint="eastAsia"/>
              </w:rPr>
              <w:br/>
              <w:t>4.降低企业用地房租原材料成本</w:t>
            </w:r>
            <w:r>
              <w:rPr>
                <w:rFonts w:ascii="仿宋_GB2312" w:eastAsia="仿宋_GB2312" w:hAnsi="仿宋_GB2312" w:cs="仿宋_GB2312" w:hint="eastAsia"/>
              </w:rPr>
              <w:br/>
              <w:t>降低房屋租金成本。2022年被列为疫情中高风险地区所在的县级行政区域内的服务业小微企业和个体工商户承租国有房屋，2022年减免6个月租金，其他地区减免3个月租金。各地可统</w:t>
            </w:r>
            <w:r>
              <w:rPr>
                <w:rFonts w:ascii="仿宋_GB2312" w:eastAsia="仿宋_GB2312" w:hAnsi="仿宋_GB2312" w:cs="仿宋_GB2312" w:hint="eastAsia"/>
              </w:rPr>
              <w:lastRenderedPageBreak/>
              <w:t>筹各类资金，对承租非国有房屋的服务业小微企业和个体工商户给予适当帮扶。鼓励非国有房屋租赁主体在平等协商的基础上合理分担疫情带来的损失。</w:t>
            </w:r>
            <w:r>
              <w:rPr>
                <w:rFonts w:ascii="仿宋_GB2312" w:eastAsia="仿宋_GB2312" w:hAnsi="仿宋_GB2312" w:cs="仿宋_GB2312" w:hint="eastAsia"/>
              </w:rPr>
              <w:br/>
              <w:t>5.进物流提质增效降本</w:t>
            </w:r>
            <w:r>
              <w:rPr>
                <w:rFonts w:ascii="仿宋_GB2312" w:eastAsia="仿宋_GB2312" w:hAnsi="仿宋_GB2312" w:cs="仿宋_GB2312" w:hint="eastAsia"/>
              </w:rPr>
              <w:br/>
              <w:t>规范降低物流收费。深化高速公路差异化收费。严格落实鲜活农产品运输“绿色通道”政策，对整车合法装载运输全国统一《鲜活农产品品种目录》内产品的车辆，免收车辆通行费。减并港口收费项目，定向降低沿海港口引航费，完善拖轮费收费政策。</w:t>
            </w:r>
          </w:p>
        </w:tc>
      </w:tr>
      <w:tr w:rsidR="000E0C43" w14:paraId="5E6EBC29" w14:textId="77777777">
        <w:trPr>
          <w:trHeight w:val="645"/>
          <w:jc w:val="center"/>
        </w:trPr>
        <w:tc>
          <w:tcPr>
            <w:tcW w:w="710" w:type="dxa"/>
            <w:vAlign w:val="center"/>
          </w:tcPr>
          <w:p w14:paraId="634E2D99"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20</w:t>
            </w:r>
          </w:p>
        </w:tc>
        <w:tc>
          <w:tcPr>
            <w:tcW w:w="2463" w:type="dxa"/>
            <w:vAlign w:val="center"/>
          </w:tcPr>
          <w:p w14:paraId="4938378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税务总局关于快递收派服务免征增值税政策的公告》（财政部 税务总局公告2022年第18号）</w:t>
            </w:r>
          </w:p>
        </w:tc>
        <w:tc>
          <w:tcPr>
            <w:tcW w:w="5851" w:type="dxa"/>
            <w:vAlign w:val="center"/>
          </w:tcPr>
          <w:p w14:paraId="0CB5F91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自2022年5月1日至2022年12月31日，对纳税人为居民提供必需生活物资快递收派服务取得的收入，免征增值税。</w:t>
            </w:r>
          </w:p>
          <w:p w14:paraId="3C2123FF" w14:textId="77777777" w:rsidR="000E0C43" w:rsidRDefault="000E0C43">
            <w:pPr>
              <w:spacing w:line="240" w:lineRule="auto"/>
              <w:rPr>
                <w:rFonts w:ascii="仿宋_GB2312" w:eastAsia="仿宋_GB2312" w:hAnsi="仿宋_GB2312" w:cs="仿宋_GB2312" w:hint="eastAsia"/>
              </w:rPr>
            </w:pPr>
          </w:p>
        </w:tc>
      </w:tr>
      <w:tr w:rsidR="000E0C43" w14:paraId="7E6836A7" w14:textId="77777777">
        <w:trPr>
          <w:trHeight w:val="645"/>
          <w:jc w:val="center"/>
        </w:trPr>
        <w:tc>
          <w:tcPr>
            <w:tcW w:w="710" w:type="dxa"/>
            <w:vAlign w:val="center"/>
          </w:tcPr>
          <w:p w14:paraId="59355885"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21</w:t>
            </w:r>
          </w:p>
        </w:tc>
        <w:tc>
          <w:tcPr>
            <w:tcW w:w="2463" w:type="dxa"/>
            <w:vAlign w:val="center"/>
          </w:tcPr>
          <w:p w14:paraId="6E91C82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《国务院办公厅关于进一步释放消费潜力促进消费持续恢复的意见》（国办发〔2022〕9号）</w:t>
            </w:r>
          </w:p>
        </w:tc>
        <w:tc>
          <w:tcPr>
            <w:tcW w:w="5851" w:type="dxa"/>
            <w:vAlign w:val="center"/>
          </w:tcPr>
          <w:p w14:paraId="69B9225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围绕保市场主体加大助企纾困力度。深入落实扶持制造业、小微企业和个体工商户的减税退税降费政策。推动金融系统通过降低利率、减少收费等多种措施，向实体经济让利。引导金融机构优化信贷管理，对受疫情影响严重的行业企业给予融资支持，避免出现行业性限贷、抽贷、断贷。延续执行阶段性降低失业保险、工伤保险费率政策。对不裁员少裁员的企业，实施好失业保险稳岗返还政策。清理转供电环节不合理加价。采取切实有效措施制止乱收费、乱摊派、乱罚款行为。落实好餐饮、零售、旅游、民航、公路水路铁路运输等特困行业纾困扶持措施。鼓励地方加大帮扶力度，支持各地区结合实际依法出台税费减免等措施，对特困行业实行用电阶段性优惠、暂缓缴纳养老保险费等政策，对承租非国有房屋的服务业小微企业和个体工商户给予适当帮扶，稳住更多消费服务市场主体。</w:t>
            </w:r>
          </w:p>
        </w:tc>
      </w:tr>
      <w:tr w:rsidR="000E0C43" w14:paraId="44F37A4E" w14:textId="77777777">
        <w:trPr>
          <w:trHeight w:val="645"/>
          <w:jc w:val="center"/>
        </w:trPr>
        <w:tc>
          <w:tcPr>
            <w:tcW w:w="710" w:type="dxa"/>
            <w:vAlign w:val="center"/>
          </w:tcPr>
          <w:p w14:paraId="7F05A1F2"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 w:hint="eastAsia"/>
                <w:bCs/>
                <w:color w:val="000000"/>
                <w:szCs w:val="21"/>
              </w:rPr>
              <w:t>22</w:t>
            </w:r>
          </w:p>
        </w:tc>
        <w:tc>
          <w:tcPr>
            <w:tcW w:w="2463" w:type="dxa"/>
            <w:vAlign w:val="center"/>
          </w:tcPr>
          <w:p w14:paraId="1622B5B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《关于进一步加快增值税期末留抵退税政策实施进度的公告》(财政部 税务总局公告2022年第17号)</w:t>
            </w:r>
          </w:p>
          <w:p w14:paraId="4CA2814D" w14:textId="77777777" w:rsidR="000E0C43" w:rsidRDefault="000E0C43">
            <w:pPr>
              <w:spacing w:line="240" w:lineRule="auto"/>
              <w:rPr>
                <w:rFonts w:ascii="仿宋_GB2312" w:eastAsia="仿宋_GB2312" w:hAnsi="仿宋_GB2312" w:cs="仿宋_GB2312" w:hint="eastAsia"/>
              </w:rPr>
            </w:pPr>
          </w:p>
        </w:tc>
        <w:tc>
          <w:tcPr>
            <w:tcW w:w="5851" w:type="dxa"/>
            <w:vAlign w:val="center"/>
          </w:tcPr>
          <w:p w14:paraId="114753E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w:t>
            </w:r>
            <w:r>
              <w:rPr>
                <w:rFonts w:hint="eastAsia"/>
              </w:rPr>
              <w:t xml:space="preserve"> </w:t>
            </w:r>
            <w:r>
              <w:rPr>
                <w:rFonts w:ascii="仿宋_GB2312" w:eastAsia="仿宋_GB2312" w:hAnsi="仿宋_GB2312" w:cs="仿宋_GB2312" w:hint="eastAsia"/>
              </w:rPr>
              <w:t xml:space="preserve">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 </w:t>
            </w:r>
          </w:p>
          <w:p w14:paraId="786B3C4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 xml:space="preserve">. </w:t>
            </w:r>
            <w:r>
              <w:rPr>
                <w:rFonts w:ascii="仿宋_GB2312" w:eastAsia="仿宋_GB2312" w:hAnsi="仿宋_GB2312" w:cs="仿宋_GB2312" w:hint="eastAsia"/>
              </w:rPr>
              <w:t>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w:t>
            </w:r>
            <w:r>
              <w:rPr>
                <w:rFonts w:ascii="仿宋_GB2312" w:eastAsia="仿宋_GB2312" w:hAnsi="仿宋_GB2312" w:cs="仿宋_GB2312" w:hint="eastAsia"/>
              </w:rPr>
              <w:lastRenderedPageBreak/>
              <w:t>请的基础上，集中退还中型企业存量留抵税额。</w:t>
            </w:r>
          </w:p>
        </w:tc>
      </w:tr>
      <w:tr w:rsidR="000E0C43" w14:paraId="462CC3F2" w14:textId="77777777">
        <w:trPr>
          <w:trHeight w:val="645"/>
          <w:jc w:val="center"/>
        </w:trPr>
        <w:tc>
          <w:tcPr>
            <w:tcW w:w="710" w:type="dxa"/>
            <w:vAlign w:val="center"/>
          </w:tcPr>
          <w:p w14:paraId="4BA7E35E"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23</w:t>
            </w:r>
          </w:p>
        </w:tc>
        <w:tc>
          <w:tcPr>
            <w:tcW w:w="2463" w:type="dxa"/>
            <w:vAlign w:val="center"/>
          </w:tcPr>
          <w:p w14:paraId="02CA6F9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《税务总局等十部门关于进一步加大出口退税支持力度 促进外贸平稳发展的通知》（税总货劳发〔2022〕36号）</w:t>
            </w:r>
          </w:p>
        </w:tc>
        <w:tc>
          <w:tcPr>
            <w:tcW w:w="5851" w:type="dxa"/>
            <w:vAlign w:val="center"/>
          </w:tcPr>
          <w:p w14:paraId="2B285AB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进一步提高出口货物退运通关效率。深化海关、税务部门合作，积极推动《出口货物已补税/未退税证明》信息共享，在办理出口货物退运通关时，凡可查验信息的，不再要求企业报送纸质证明，改为查验共享信息，帮助企业加速办理退运通关。</w:t>
            </w:r>
          </w:p>
        </w:tc>
      </w:tr>
    </w:tbl>
    <w:p w14:paraId="3E6604DD" w14:textId="77777777" w:rsidR="000E0C43" w:rsidRDefault="000E0C43">
      <w:pPr>
        <w:rPr>
          <w:rFonts w:ascii="宋体" w:hAnsi="宋体" w:cs="宋体" w:hint="eastAsia"/>
          <w:sz w:val="28"/>
          <w:szCs w:val="28"/>
        </w:rPr>
      </w:pPr>
    </w:p>
    <w:p w14:paraId="6AD565FA" w14:textId="77777777" w:rsidR="000E0C43" w:rsidRDefault="00000000">
      <w:pPr>
        <w:rPr>
          <w:color w:val="333333"/>
        </w:rPr>
      </w:pPr>
      <w:r>
        <w:rPr>
          <w:color w:val="333333"/>
        </w:rPr>
        <w:br w:type="page"/>
      </w:r>
    </w:p>
    <w:p w14:paraId="17B623E8"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418C26F7"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38BFA799"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w:t>
      </w:r>
      <w:r>
        <w:rPr>
          <w:rFonts w:ascii="方正小标宋_GBK" w:eastAsia="方正小标宋_GBK" w:hAnsi="方正小标宋_GBK" w:cs="方正小标宋_GBK"/>
          <w:bCs/>
          <w:color w:val="000000"/>
          <w:sz w:val="36"/>
          <w:szCs w:val="44"/>
        </w:rPr>
        <w:t>2</w:t>
      </w:r>
      <w:r>
        <w:rPr>
          <w:rFonts w:ascii="方正小标宋_GBK" w:eastAsia="方正小标宋_GBK" w:hAnsi="方正小标宋_GBK" w:cs="方正小标宋_GBK" w:hint="eastAsia"/>
          <w:bCs/>
          <w:color w:val="000000"/>
          <w:sz w:val="36"/>
          <w:szCs w:val="44"/>
        </w:rPr>
        <w:t>）</w:t>
      </w:r>
    </w:p>
    <w:p w14:paraId="2B8D7891" w14:textId="77777777" w:rsidR="000E0C43"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 xml:space="preserve">财务审计司编发                     </w:t>
      </w:r>
      <w:r>
        <w:rPr>
          <w:rFonts w:ascii="黑体" w:eastAsia="黑体" w:hAnsi="黑体" w:cs="方正小标宋_GBK"/>
          <w:bCs/>
          <w:color w:val="000000"/>
          <w:sz w:val="30"/>
          <w:szCs w:val="44"/>
        </w:rPr>
        <w:t>3</w:t>
      </w:r>
      <w:r>
        <w:rPr>
          <w:rFonts w:ascii="黑体" w:eastAsia="黑体" w:hAnsi="黑体" w:cs="方正小标宋_GBK" w:hint="eastAsia"/>
          <w:bCs/>
          <w:color w:val="000000"/>
          <w:sz w:val="30"/>
          <w:szCs w:val="44"/>
        </w:rPr>
        <w:t>月</w:t>
      </w:r>
      <w:r>
        <w:rPr>
          <w:rFonts w:ascii="黑体" w:eastAsia="黑体" w:hAnsi="黑体" w:cs="方正小标宋_GBK"/>
          <w:bCs/>
          <w:color w:val="000000"/>
          <w:sz w:val="30"/>
          <w:szCs w:val="44"/>
        </w:rPr>
        <w:t>2</w:t>
      </w:r>
      <w:r>
        <w:rPr>
          <w:rFonts w:ascii="黑体" w:eastAsia="黑体" w:hAnsi="黑体" w:cs="方正小标宋_GBK" w:hint="eastAsia"/>
          <w:bCs/>
          <w:color w:val="000000"/>
          <w:sz w:val="30"/>
          <w:szCs w:val="44"/>
        </w:rPr>
        <w:t>6日至</w:t>
      </w:r>
      <w:r>
        <w:rPr>
          <w:rFonts w:ascii="黑体" w:eastAsia="黑体" w:hAnsi="黑体" w:cs="方正小标宋_GBK"/>
          <w:bCs/>
          <w:color w:val="000000"/>
          <w:sz w:val="30"/>
          <w:szCs w:val="44"/>
        </w:rPr>
        <w:t>4</w:t>
      </w:r>
      <w:r>
        <w:rPr>
          <w:rFonts w:ascii="黑体" w:eastAsia="黑体" w:hAnsi="黑体" w:cs="方正小标宋_GBK" w:hint="eastAsia"/>
          <w:bCs/>
          <w:color w:val="000000"/>
          <w:sz w:val="30"/>
          <w:szCs w:val="44"/>
        </w:rPr>
        <w:t>月20日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0E0C43" w14:paraId="5AE008FF" w14:textId="77777777">
        <w:trPr>
          <w:trHeight w:val="648"/>
          <w:tblHeader/>
          <w:jc w:val="center"/>
        </w:trPr>
        <w:tc>
          <w:tcPr>
            <w:tcW w:w="710" w:type="dxa"/>
            <w:vAlign w:val="center"/>
          </w:tcPr>
          <w:p w14:paraId="6D57204D"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427F0AB5"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1ECA886A"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0E0C43" w14:paraId="2D3F928D" w14:textId="77777777">
        <w:trPr>
          <w:trHeight w:val="645"/>
          <w:jc w:val="center"/>
        </w:trPr>
        <w:tc>
          <w:tcPr>
            <w:tcW w:w="710" w:type="dxa"/>
            <w:vAlign w:val="center"/>
          </w:tcPr>
          <w:p w14:paraId="5FC60B35"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 w:hint="eastAsia"/>
                <w:bCs/>
                <w:color w:val="000000"/>
                <w:szCs w:val="21"/>
              </w:rPr>
              <w:t>1</w:t>
            </w:r>
          </w:p>
        </w:tc>
        <w:tc>
          <w:tcPr>
            <w:tcW w:w="2463" w:type="dxa"/>
            <w:vAlign w:val="center"/>
          </w:tcPr>
          <w:p w14:paraId="4BA8D1A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《关于对增值税小规模纳税人免征增值税的公告》（财政部 税务总局公告2022年第15号）</w:t>
            </w:r>
          </w:p>
        </w:tc>
        <w:tc>
          <w:tcPr>
            <w:tcW w:w="5851" w:type="dxa"/>
            <w:vAlign w:val="center"/>
          </w:tcPr>
          <w:p w14:paraId="26801F55"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 xml:space="preserve">1.自2022年4月1日至2022年12月31日，增值税小规模纳税人适用3%征收率的应税销售收入，免征增值税；适用3%预征率的预缴增值税项目，暂停预缴增值税。 </w:t>
            </w:r>
          </w:p>
          <w:p w14:paraId="1C3EB8A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rPr>
              <w:t>2</w:t>
            </w:r>
            <w:r>
              <w:rPr>
                <w:rFonts w:ascii="仿宋_GB2312" w:eastAsia="仿宋_GB2312" w:hAnsi="仿宋_GB2312" w:cs="仿宋_GB2312" w:hint="eastAsia"/>
              </w:rPr>
              <w:t>.《财政部 税务总局关于延续实施应对疫情部分税费优惠政策的公告》（财政部 税务总局公告2021年第7号）第一条规定的税收优惠政策，执行期限延长至2022年3月31日。</w:t>
            </w:r>
          </w:p>
        </w:tc>
      </w:tr>
      <w:tr w:rsidR="000E0C43" w14:paraId="69BEE8C5" w14:textId="77777777">
        <w:trPr>
          <w:trHeight w:val="645"/>
          <w:jc w:val="center"/>
        </w:trPr>
        <w:tc>
          <w:tcPr>
            <w:tcW w:w="710" w:type="dxa"/>
            <w:vAlign w:val="center"/>
          </w:tcPr>
          <w:p w14:paraId="7AE5EC8F"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2</w:t>
            </w:r>
          </w:p>
        </w:tc>
        <w:tc>
          <w:tcPr>
            <w:tcW w:w="2463" w:type="dxa"/>
            <w:vAlign w:val="center"/>
          </w:tcPr>
          <w:p w14:paraId="61B112C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《国家税务总局关于小规模纳税人免征增值税等征收管理事项的公告》（国家税务总局公告2022年第6号）</w:t>
            </w:r>
          </w:p>
        </w:tc>
        <w:tc>
          <w:tcPr>
            <w:tcW w:w="5851" w:type="dxa"/>
            <w:vAlign w:val="center"/>
          </w:tcPr>
          <w:p w14:paraId="612A1443" w14:textId="77777777" w:rsidR="000E0C43" w:rsidRDefault="00000000">
            <w:pPr>
              <w:adjustRightInd w:val="0"/>
              <w:snapToGrid w:val="0"/>
              <w:spacing w:line="240" w:lineRule="auto"/>
              <w:rPr>
                <w:rFonts w:ascii="仿宋_GB2312" w:eastAsia="仿宋_GB2312" w:hAnsi="仿宋_GB2312" w:cs="仿宋_GB2312" w:hint="eastAsia"/>
              </w:rPr>
            </w:pPr>
            <w:r>
              <w:rPr>
                <w:rFonts w:ascii="仿宋_GB2312" w:eastAsia="仿宋_GB2312" w:hAnsi="仿宋_GB2312" w:cs="仿宋_GB2312" w:hint="eastAsia"/>
              </w:rPr>
              <w:t>1.增值税小规模纳税人适用3%征收率应税销售收入免征增值税的，应按规定开具免税普通发票。纳税人选择放弃免税并开具增值税专用发票的，应开具征收率为3%的增值税专用发票。</w:t>
            </w:r>
          </w:p>
          <w:p w14:paraId="2658427B" w14:textId="77777777" w:rsidR="000E0C43"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增值税小规模纳税人发生增值税应税销售行为，合计月销售额未超过15万元（以1个季度为1个纳税期的，季度销售额未超过45万元，下同）的，免征增值税的销售额等项目应当填写在《增值税及附加税费申报表（小规模纳税人适用）》“小微企业免税销售额”或者“未达起征点销售额”相关栏次。</w:t>
            </w:r>
          </w:p>
          <w:p w14:paraId="22FB30FE" w14:textId="77777777" w:rsidR="000E0C43"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合计月销售额超过15万元的，免征增值税的全部销售额等项目应当填写在《增值税及附加税费申报表（小规模纳税人适用）》“其他免税销售额”栏次及《增值税减免税申报明细表》对应栏次。</w:t>
            </w:r>
          </w:p>
          <w:p w14:paraId="19933E9E" w14:textId="77777777" w:rsidR="000E0C43"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3.此前已按照《财政部</w:t>
            </w:r>
            <w:r>
              <w:rPr>
                <w:rFonts w:ascii="仿宋_GB2312" w:eastAsia="仿宋_GB2312" w:hAnsi="仿宋_GB2312" w:cs="仿宋_GB2312"/>
              </w:rPr>
              <w:t> </w:t>
            </w:r>
            <w:r>
              <w:rPr>
                <w:rFonts w:ascii="仿宋_GB2312" w:eastAsia="仿宋_GB2312" w:hAnsi="仿宋_GB2312" w:cs="仿宋_GB2312" w:hint="eastAsia"/>
              </w:rPr>
              <w:t>税务总局关于统一增值税小规模纳税人标准的通知》（财税〔</w:t>
            </w:r>
            <w:r>
              <w:rPr>
                <w:rFonts w:ascii="仿宋_GB2312" w:eastAsia="仿宋_GB2312" w:hAnsi="仿宋_GB2312" w:cs="仿宋_GB2312"/>
              </w:rPr>
              <w:t>2018</w:t>
            </w:r>
            <w:r>
              <w:rPr>
                <w:rFonts w:ascii="仿宋_GB2312" w:eastAsia="仿宋_GB2312" w:hAnsi="仿宋_GB2312" w:cs="仿宋_GB2312" w:hint="eastAsia"/>
              </w:rPr>
              <w:t>〕</w:t>
            </w:r>
            <w:r>
              <w:rPr>
                <w:rFonts w:ascii="仿宋_GB2312" w:eastAsia="仿宋_GB2312" w:hAnsi="仿宋_GB2312" w:cs="仿宋_GB2312"/>
              </w:rPr>
              <w:t>33</w:t>
            </w:r>
            <w:r>
              <w:rPr>
                <w:rFonts w:ascii="仿宋_GB2312" w:eastAsia="仿宋_GB2312" w:hAnsi="仿宋_GB2312" w:cs="仿宋_GB2312" w:hint="eastAsia"/>
              </w:rPr>
              <w:t>号）第二条、《国家税务总局关于小规模纳税人免征增值税政策有关征管问题的公告》（</w:t>
            </w:r>
            <w:r>
              <w:rPr>
                <w:rFonts w:ascii="仿宋_GB2312" w:eastAsia="仿宋_GB2312" w:hAnsi="仿宋_GB2312" w:cs="仿宋_GB2312"/>
              </w:rPr>
              <w:t>2019</w:t>
            </w:r>
            <w:r>
              <w:rPr>
                <w:rFonts w:ascii="仿宋_GB2312" w:eastAsia="仿宋_GB2312" w:hAnsi="仿宋_GB2312" w:cs="仿宋_GB2312" w:hint="eastAsia"/>
              </w:rPr>
              <w:t>年第</w:t>
            </w:r>
            <w:r>
              <w:rPr>
                <w:rFonts w:ascii="仿宋_GB2312" w:eastAsia="仿宋_GB2312" w:hAnsi="仿宋_GB2312" w:cs="仿宋_GB2312"/>
              </w:rPr>
              <w:t>4</w:t>
            </w:r>
            <w:r>
              <w:rPr>
                <w:rFonts w:ascii="仿宋_GB2312" w:eastAsia="仿宋_GB2312" w:hAnsi="仿宋_GB2312" w:cs="仿宋_GB2312" w:hint="eastAsia"/>
              </w:rPr>
              <w:t>号）第五条、《国家税务总局关于明确二手车经销等若干增值税征管问题的公告》（</w:t>
            </w:r>
            <w:r>
              <w:rPr>
                <w:rFonts w:ascii="仿宋_GB2312" w:eastAsia="仿宋_GB2312" w:hAnsi="仿宋_GB2312" w:cs="仿宋_GB2312"/>
              </w:rPr>
              <w:t>2020</w:t>
            </w:r>
            <w:r>
              <w:rPr>
                <w:rFonts w:ascii="仿宋_GB2312" w:eastAsia="仿宋_GB2312" w:hAnsi="仿宋_GB2312" w:cs="仿宋_GB2312" w:hint="eastAsia"/>
              </w:rPr>
              <w:t>年第</w:t>
            </w:r>
            <w:r>
              <w:rPr>
                <w:rFonts w:ascii="仿宋_GB2312" w:eastAsia="仿宋_GB2312" w:hAnsi="仿宋_GB2312" w:cs="仿宋_GB2312"/>
              </w:rPr>
              <w:t>9</w:t>
            </w:r>
            <w:r>
              <w:rPr>
                <w:rFonts w:ascii="仿宋_GB2312" w:eastAsia="仿宋_GB2312" w:hAnsi="仿宋_GB2312" w:cs="仿宋_GB2312" w:hint="eastAsia"/>
              </w:rPr>
              <w:t>号）第六条规定转登记的纳税人，根据《国家税务总局关于统一小规模纳税人标准等若干增值税问题的公告》（</w:t>
            </w:r>
            <w:r>
              <w:rPr>
                <w:rFonts w:ascii="仿宋_GB2312" w:eastAsia="仿宋_GB2312" w:hAnsi="仿宋_GB2312" w:cs="仿宋_GB2312"/>
              </w:rPr>
              <w:t>2018</w:t>
            </w:r>
            <w:r>
              <w:rPr>
                <w:rFonts w:ascii="仿宋_GB2312" w:eastAsia="仿宋_GB2312" w:hAnsi="仿宋_GB2312" w:cs="仿宋_GB2312" w:hint="eastAsia"/>
              </w:rPr>
              <w:t>年第</w:t>
            </w:r>
            <w:r>
              <w:rPr>
                <w:rFonts w:ascii="仿宋_GB2312" w:eastAsia="仿宋_GB2312" w:hAnsi="仿宋_GB2312" w:cs="仿宋_GB2312"/>
              </w:rPr>
              <w:t>18</w:t>
            </w:r>
            <w:r>
              <w:rPr>
                <w:rFonts w:ascii="仿宋_GB2312" w:eastAsia="仿宋_GB2312" w:hAnsi="仿宋_GB2312" w:cs="仿宋_GB2312" w:hint="eastAsia"/>
              </w:rPr>
              <w:t>号）相关规定计入“应交税费——待抵扣进项税额”科目核算、截至</w:t>
            </w:r>
            <w:r>
              <w:rPr>
                <w:rFonts w:ascii="仿宋_GB2312" w:eastAsia="仿宋_GB2312" w:hAnsi="仿宋_GB2312" w:cs="仿宋_GB2312"/>
              </w:rPr>
              <w:t>2022</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日的余额，在</w:t>
            </w:r>
            <w:r>
              <w:rPr>
                <w:rFonts w:ascii="仿宋_GB2312" w:eastAsia="仿宋_GB2312" w:hAnsi="仿宋_GB2312" w:cs="仿宋_GB2312"/>
              </w:rPr>
              <w:t>2022</w:t>
            </w:r>
            <w:r>
              <w:rPr>
                <w:rFonts w:ascii="仿宋_GB2312" w:eastAsia="仿宋_GB2312" w:hAnsi="仿宋_GB2312" w:cs="仿宋_GB2312" w:hint="eastAsia"/>
              </w:rPr>
              <w:t>年度可分别计入固定资产、无形资产、投资资产、存货等相关科目，按规定在企业所得税或个人所得税税前扣除，对此前已税前扣除的折旧、摊销不再调整；对无法划分的部分，在2022年度可一次性在企业所得税或个人所得税税前扣除。</w:t>
            </w:r>
          </w:p>
          <w:p w14:paraId="40D5EBAB" w14:textId="77777777" w:rsidR="000E0C43"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rPr>
              <w:t>4</w:t>
            </w:r>
            <w:r>
              <w:rPr>
                <w:rFonts w:ascii="仿宋_GB2312" w:eastAsia="仿宋_GB2312" w:hAnsi="仿宋_GB2312" w:cs="仿宋_GB2312" w:hint="eastAsia"/>
              </w:rPr>
              <w:t>.本公告自2022年4月1日起施行。</w:t>
            </w:r>
          </w:p>
        </w:tc>
      </w:tr>
      <w:tr w:rsidR="000E0C43" w14:paraId="5F3E2607" w14:textId="77777777">
        <w:trPr>
          <w:trHeight w:val="645"/>
          <w:jc w:val="center"/>
        </w:trPr>
        <w:tc>
          <w:tcPr>
            <w:tcW w:w="710" w:type="dxa"/>
            <w:vAlign w:val="center"/>
          </w:tcPr>
          <w:p w14:paraId="5BF4ABC0"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3</w:t>
            </w:r>
          </w:p>
        </w:tc>
        <w:tc>
          <w:tcPr>
            <w:tcW w:w="2463" w:type="dxa"/>
            <w:vAlign w:val="center"/>
          </w:tcPr>
          <w:p w14:paraId="546DCAF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《中国银保监会办公厅关于金融支持货运物流保通保畅工作的通知》（</w:t>
            </w:r>
          </w:p>
          <w:p w14:paraId="130FC33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银保监办发〔2022〕40号）</w:t>
            </w:r>
          </w:p>
          <w:p w14:paraId="5EBFEC64" w14:textId="77777777" w:rsidR="000E0C43" w:rsidRDefault="000E0C43">
            <w:pPr>
              <w:spacing w:line="240" w:lineRule="auto"/>
              <w:rPr>
                <w:rFonts w:ascii="仿宋_GB2312" w:eastAsia="仿宋_GB2312" w:hAnsi="仿宋_GB2312" w:cs="仿宋_GB2312" w:hint="eastAsia"/>
              </w:rPr>
            </w:pPr>
          </w:p>
        </w:tc>
        <w:tc>
          <w:tcPr>
            <w:tcW w:w="5851" w:type="dxa"/>
            <w:vAlign w:val="center"/>
          </w:tcPr>
          <w:p w14:paraId="03DC9E0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资金支持。各银行机构要用好普惠小微贷款支持工具，将普惠型小微企业贷款适当向运输企业和个体工商户倾斜，主动跟进并有效满足其融资需求，做好延期还本付息政策到期后相关贷款的接续转换，避免出现行业性限贷、抽贷、断贷。</w:t>
            </w:r>
          </w:p>
          <w:p w14:paraId="41A678D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帮扶重点群体。各银行保险机构要强化对货车司机群体的关怀和帮扶，根据实际情况及时提供便捷有效的综合金融服务。对于因疫情影响货车司机偿还汽车贷款暂时存在困难的，商业银行、汽车金融公司、企业集团财务公司、金融租赁公司等，均应视情合理给予延期、展期或续贷安排。灵活调整货车司机个人住房按揭、信用卡等信贷还款安排，合理延后还款期限，帮助其渡过难关。</w:t>
            </w:r>
          </w:p>
          <w:p w14:paraId="2A776A5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升服务效率。鼓励银行保险机构按市场化原则优化审批流程，对承担疫情防控和应急运输任务较重的交通运输企业开辟绿色通道，提供灵活便捷服务。鼓励银行机构在综合考虑自身经营状况和客户还款能力基础上，降低实际贷款利率，适当减少收费。鼓励保险公司根据疫情防控实际情况，提高出险理赔效率，适度延后货运汽车保险等保费缴纳时间。</w:t>
            </w:r>
          </w:p>
          <w:p w14:paraId="42382E7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创新担保方式。充分利用行业主管部门动态监控数据，鼓励银行机构创新符合陆路、水路运输企业特点的动产质押类贷款产品。鼓励政府性融资担保机构为符合条件的运输企业、货车司机提供融资增信支持，依法依约及时履行代偿责任。</w:t>
            </w:r>
          </w:p>
          <w:p w14:paraId="005BDD1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5.加强保险保障。鼓励保险公司针对货车司机、快递员等特殊岗位工作人群特点，开发意外伤害保险等产品。积极发展货物运输保险、道路货物运输承运人责任保险等财险业务，为物流业提供风险保障。</w:t>
            </w:r>
          </w:p>
        </w:tc>
      </w:tr>
      <w:tr w:rsidR="000E0C43" w14:paraId="0FB6B640" w14:textId="77777777">
        <w:trPr>
          <w:trHeight w:val="645"/>
          <w:jc w:val="center"/>
        </w:trPr>
        <w:tc>
          <w:tcPr>
            <w:tcW w:w="710" w:type="dxa"/>
            <w:vAlign w:val="center"/>
          </w:tcPr>
          <w:p w14:paraId="6E45D6D9"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4</w:t>
            </w:r>
          </w:p>
        </w:tc>
        <w:tc>
          <w:tcPr>
            <w:tcW w:w="2463" w:type="dxa"/>
            <w:vAlign w:val="center"/>
          </w:tcPr>
          <w:p w14:paraId="0850382C"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 交通运输部关于银行业保险业支持公路交通高质量发展的意见》(银保监发〔2022〕8号)</w:t>
            </w:r>
          </w:p>
          <w:p w14:paraId="0887B4D9" w14:textId="77777777" w:rsidR="000E0C43" w:rsidRDefault="000E0C43">
            <w:pPr>
              <w:spacing w:line="240" w:lineRule="auto"/>
              <w:rPr>
                <w:rFonts w:ascii="仿宋_GB2312" w:eastAsia="仿宋_GB2312" w:hAnsi="仿宋_GB2312" w:cs="仿宋_GB2312" w:hint="eastAsia"/>
              </w:rPr>
            </w:pPr>
          </w:p>
        </w:tc>
        <w:tc>
          <w:tcPr>
            <w:tcW w:w="5851" w:type="dxa"/>
            <w:vAlign w:val="center"/>
          </w:tcPr>
          <w:p w14:paraId="5931998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依法合规做好政府收费公路项目配套融资。</w:t>
            </w:r>
            <w:r>
              <w:rPr>
                <w:rFonts w:ascii="仿宋_GB2312" w:eastAsia="仿宋_GB2312" w:hAnsi="仿宋_GB2312" w:cs="仿宋_GB2312" w:hint="eastAsia"/>
              </w:rPr>
              <w:t>严格按照《关于做好地方政府专项债券发行及项目配套融资工作的通知》要求，对有一定收益且收益兼有政府性基金收入和其他经营性专项收入（以下简称专项收入）的政府收费公路项目，在落实好分账管理的前提下，对偿还收费公路专项债券本息后，仍有剩余专项收入、资金可用于偿还市场化融资的，银行保险机构可在风险可控、审慎合规的前提下，根据剩余专项收入情况提供市场化融资。</w:t>
            </w:r>
          </w:p>
          <w:p w14:paraId="5EDBF928"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进一步优化公路项目还款安排。</w:t>
            </w:r>
            <w:r>
              <w:rPr>
                <w:rFonts w:ascii="仿宋_GB2312" w:eastAsia="仿宋_GB2312" w:hAnsi="仿宋_GB2312" w:cs="仿宋_GB2312" w:hint="eastAsia"/>
              </w:rPr>
              <w:t>针对公路交通项目现金流收益特征，合理做好贷款还本付息安排。对在运营初期存在收支缺口的收费公路，银行业金融机构可根据评估情况，合理安排债务本息还款宽限期，原则上不超过建设期加1年。</w:t>
            </w:r>
          </w:p>
          <w:p w14:paraId="37F24BF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稳妥有序开展业务创新。</w:t>
            </w:r>
            <w:r>
              <w:rPr>
                <w:rFonts w:ascii="仿宋_GB2312" w:eastAsia="仿宋_GB2312" w:hAnsi="仿宋_GB2312" w:cs="仿宋_GB2312" w:hint="eastAsia"/>
              </w:rPr>
              <w:t>鼓励银行保险机构为符合条件的绿</w:t>
            </w:r>
            <w:r>
              <w:rPr>
                <w:rFonts w:ascii="仿宋_GB2312" w:eastAsia="仿宋_GB2312" w:hAnsi="仿宋_GB2312" w:cs="仿宋_GB2312" w:hint="eastAsia"/>
              </w:rPr>
              <w:lastRenderedPageBreak/>
              <w:t>色低碳公路项目提供金融支持，助力交通运输领域实现碳达峰碳中和。支持交通运输企业在依法合规、风险可控的前提下，通过资产证券化（ABS）、基础设施领域不动产投资信托基金（REITs）等方式有效盘活公路存量资产。</w:t>
            </w:r>
          </w:p>
          <w:p w14:paraId="655869A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w:t>
            </w:r>
            <w:r>
              <w:rPr>
                <w:rFonts w:ascii="仿宋_GB2312" w:eastAsia="仿宋_GB2312" w:hAnsi="仿宋_GB2312" w:cs="仿宋_GB2312"/>
              </w:rPr>
              <w:t>支持保险公司参与公路交通建设。</w:t>
            </w:r>
            <w:r>
              <w:rPr>
                <w:rFonts w:ascii="仿宋_GB2312" w:eastAsia="仿宋_GB2312" w:hAnsi="仿宋_GB2312" w:cs="仿宋_GB2312" w:hint="eastAsia"/>
              </w:rPr>
              <w:t>充分发挥保险资金规模大、期限长、稳定性高的优势，鼓励保险机构通过债权、股权、股债结合、资产支持计划和私募基金等形式，参与重大公路交通基础设施、新型交通基础设施等项目建设。鼓励保险机构根据不同类型项目特点，推出合适的公路交通项目灾毁保险产品和服务，积极参与公路灾毁保险等业务。鼓励保险资金在风险可控前提下通过购买地方政府债券方式合法合规参与公路发展。</w:t>
            </w:r>
          </w:p>
          <w:p w14:paraId="0BD9938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w:t>
            </w:r>
            <w:r>
              <w:rPr>
                <w:rFonts w:ascii="仿宋_GB2312" w:eastAsia="仿宋_GB2312" w:hAnsi="仿宋_GB2312" w:cs="仿宋_GB2312"/>
              </w:rPr>
              <w:t>稳妥做好存量债务风险化解。</w:t>
            </w:r>
            <w:r>
              <w:rPr>
                <w:rFonts w:ascii="仿宋_GB2312" w:eastAsia="仿宋_GB2312" w:hAnsi="仿宋_GB2312" w:cs="仿宋_GB2312" w:hint="eastAsia"/>
              </w:rPr>
              <w:t>对受疫情影响较重、经营遇到暂时困难的公路交通企业，银行业金融机构在依法合规的前提下，按照市场化原则合理优化贷款期限、利率和还款方式，不盲目抽贷、断贷、压贷，支持公路交通企业应对疫情影响。</w:t>
            </w:r>
          </w:p>
          <w:p w14:paraId="34FE029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w:t>
            </w:r>
            <w:r>
              <w:rPr>
                <w:rFonts w:ascii="仿宋_GB2312" w:eastAsia="仿宋_GB2312" w:hAnsi="仿宋_GB2312" w:cs="仿宋_GB2312"/>
              </w:rPr>
              <w:t>建立完善多元化投融资机制。</w:t>
            </w:r>
            <w:r>
              <w:rPr>
                <w:rFonts w:ascii="仿宋_GB2312" w:eastAsia="仿宋_GB2312" w:hAnsi="仿宋_GB2312" w:cs="仿宋_GB2312" w:hint="eastAsia"/>
              </w:rPr>
              <w:t>各级交通运输主管部门要进一步完善公路建设投融资管理模式。在制定收费公路项目收费期限和收费标准时，要充分考虑实际情况，实现对公路建设成本的全覆盖。加强地方政府专项债券支持的公路项目管理，按规定将通行费收入和有关专项收入用于偿还专项债券本息，测算偿还后有剩余专项收入的，在确保专项债券还本付息资金安全的前提下，可由依法确定的高速公路企业法人项目单位根据剩余经营性专项收入情况适度进行市场化融资。纳入政府性基金管理的通行费等收入和纳入企业收入管理的经营性专项收入实行分账管理，纳入企业收入管理的经营性专项收入包括路衍专营收入，要优先用于偿还银行保险机构融资。</w:t>
            </w:r>
          </w:p>
        </w:tc>
      </w:tr>
      <w:tr w:rsidR="000E0C43" w14:paraId="7B323ED8" w14:textId="77777777">
        <w:trPr>
          <w:trHeight w:val="645"/>
          <w:jc w:val="center"/>
        </w:trPr>
        <w:tc>
          <w:tcPr>
            <w:tcW w:w="710" w:type="dxa"/>
            <w:vAlign w:val="center"/>
          </w:tcPr>
          <w:p w14:paraId="6F7A62BB"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5</w:t>
            </w:r>
          </w:p>
        </w:tc>
        <w:tc>
          <w:tcPr>
            <w:tcW w:w="2463" w:type="dxa"/>
            <w:vAlign w:val="center"/>
          </w:tcPr>
          <w:p w14:paraId="452A839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《中国人民银行 国家外汇管理局关于做好疫情防控和经济社会发展金融服务的通知》</w:t>
            </w:r>
          </w:p>
        </w:tc>
        <w:tc>
          <w:tcPr>
            <w:tcW w:w="5851" w:type="dxa"/>
            <w:vAlign w:val="center"/>
          </w:tcPr>
          <w:p w14:paraId="0B0701D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1.发挥货币政策总量和结构双重功能，加大对受疫情影响行业、企业、人群等金融支持</w:t>
            </w:r>
          </w:p>
          <w:p w14:paraId="26DD46C1"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为受疫情影响较大的行业提供差异化的金融服务。用好支农支小再贷款、再贴现政策，适时增加支农支小再贷款额度，引导地方法人金融机构加大对受疫情影响较大的住宿餐饮、批发零售、文化旅游等接触型服务业及其他有前景但受疫情影响暂遇困难行业的支持力度。</w:t>
            </w:r>
          </w:p>
          <w:p w14:paraId="11F02AD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加强与商务、文化旅游、交通运输等行业主管部门的信息共享，组织开展多种形式的政银企对接活动，帮助银行提升客户获取、风险评价和管控能力，针对企业特点开发动产抵质押和信用贷款产品。</w:t>
            </w:r>
          </w:p>
          <w:p w14:paraId="45A7391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2）加大对小微企业等受困市场主体的金融支持力度。发挥好普惠小微贷款支持工具作用，2022年1月1日至2023年6月末，按照地方法人金融机构普惠小微贷款余额增量的1%提供激励资金，鼓励金融机构稳定普惠小微贷款存量，扩大增量。将普惠小微企业信用贷款支持计划并入支农支小再贷款管理，自2022年起，原用于支持普惠小微信用贷款的4000亿元再贷款额度继续滚动使用，必要时可再进一步增加，引导金融机构提升信用贷款和首贷户比重。</w:t>
            </w:r>
          </w:p>
          <w:p w14:paraId="3B4604C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金融机构要推广主动授信、随借随还贷款模式，更好满足小微企业用款需求。要细化实化内部资金转移定价、不良容忍度、尽职免责、绩效考核等要求，优化信贷资源配置，强化金融科技赋能，加快提升小微企业金融服务能力。要按市场化原则，通过提供中长期贷款、降低利率、展期或续贷支持等方式，积极支持受困企业抵御疫情影响，不得盲目限贷、抽贷、断贷。要积极主动对接征信平台有关的金融、政务、公用事业、商务等不同领域的涉企信用信息，缓解银企信息不对称，提高融资效率。</w:t>
            </w:r>
          </w:p>
          <w:p w14:paraId="0832A6A2"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（3）提高对重点地区和受困人群的金融服务质效。金融机构要通过调整区域融资政策、内部资金转移定价、实施差异化的绩效考核办法等措施，提升受疫情影响严重地区的金融供给水平。</w:t>
            </w:r>
          </w:p>
          <w:p w14:paraId="1A2F41E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对因感染新冠肺炎住院治疗或隔离人员、疫情防控需要隔离观察人员以及受疫情影响暂时失去收入来源的人群，金融机构要及时优化信贷政策，区分还款能力和还款意愿，区分受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p>
          <w:p w14:paraId="21FF5B5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2.发挥金融畅通国民经济循环作用，抓好金融支持实体经济政策落地</w:t>
            </w:r>
          </w:p>
          <w:p w14:paraId="5C5EC83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对物流航运循环畅通的金融支持力度。金融机构要主动跟进和有效满足运输企业融资需求。对承担疫情防控和应急运输任务较重的运输物流企业开辟“绿色通道”，优化信贷审批流程，提供灵活便捷金融服务。对于因疫情影响偿还贷款暂时困难的运输物流企业和货车司机，支持金融机构科学合理给予贷款展期和续贷安排。要用好用足民航应急贷款等工具，多措并举加大对航空公司和机场的信贷支持力度。</w:t>
            </w:r>
          </w:p>
          <w:p w14:paraId="3B3453C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（2）强化产业链供应链核心企业金融支持。设立科技创新再贷</w:t>
            </w:r>
            <w:r>
              <w:rPr>
                <w:rFonts w:ascii="仿宋_GB2312" w:eastAsia="仿宋_GB2312" w:hAnsi="仿宋_GB2312" w:cs="仿宋_GB2312" w:hint="eastAsia"/>
              </w:rPr>
              <w:lastRenderedPageBreak/>
              <w:t>款，对符合条件的科技创新贷款提供再贷款支持，引导金融机构加大对企业科技开发和技术改造的支持力度。建立信贷、债券融资对接机制，引导金融机构快速响应产业链核心及配套企业融资需求。规范发展供应链金融业务，发挥供应链票据等金融工具和应收账款融资服务平台作用，支持供应链企业融资。</w:t>
            </w:r>
          </w:p>
          <w:p w14:paraId="617FCD8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有效投资等金融支持力度。开发性、政策性银行要结合自身业务范围，加大对重点投资项目的资金支持力度。金融机构要主动对接重大项目，加大对水利、交通、管网、市政基础设施等领域惠民生、补短板项目和第五代移动通信（5G）、工业互联网、数据中心等新型基础设施建设的支持，推动新开工项目尽快开工，实现实物工作量。要合理购买地方政府债券，支持地方政府适度超前开展基础设施投资。要在风险可控、依法合规的前提下，按市场化原则保障融资平台公司合理融资需求，不得盲目抽贷、压贷或停贷，保障在建项目顺利实施。做好民间投资、政府和社会资本合作的金融支持工作。金融机构对信贷增长缓慢的省（区）新增贷款占比要稳中有升。</w:t>
            </w:r>
          </w:p>
          <w:p w14:paraId="7EFD20D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积极支持民营企业健康发展。坚持“两个毫不动摇”，对国有经济和民营经济在贷款、债券融资政策等金融政策上一视同仁。鼓励金融机构与民营企业构建中长期合作关系，制定民营企业年度服务目标，充分满足民营经济合理金融需求，进一步提高新发放企业贷款中民营企业贷款占比。</w:t>
            </w:r>
          </w:p>
          <w:p w14:paraId="4FE0CB2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发挥国家融资担保基金引领作用，鼓励有条件的地方设立民营企业贷款风险补偿专项资金或信用保证基金，重点为首贷、转贷、续贷等提供增信服务。完善民营企业债券融资支持机制，鼓励金融机构加大民营企业债券投资力度。</w:t>
            </w:r>
          </w:p>
          <w:p w14:paraId="7DDEF0F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引导平台企业依法合规开展普惠金融业务。在推动平台企业网络金融业务规范健康发展的基础上，发挥平台企业金融服务的积极作用。支持平台企业运用互联网技术，优化场景化线上融资产品，向平台商户和消费者提供非接触式金融服务。鼓励平台企业充分发挥获客、数据、风控和技术优势，加大对“三农”、小微领域的首贷、信用贷支持力度。引导平台企业稳步降低利息和收费水平，为受疫情影响的贷款客户提供延期还本付息服务，最大化惠企利民。督促平台企业规范开展与金融机构业务合作，赋能金融机构加快数字化转型，提升金融服务效率和覆盖面。</w:t>
            </w:r>
          </w:p>
          <w:p w14:paraId="6CCFCE82" w14:textId="77777777" w:rsidR="000E0C43" w:rsidRDefault="000E0C43">
            <w:pPr>
              <w:spacing w:line="240" w:lineRule="auto"/>
              <w:rPr>
                <w:rFonts w:ascii="仿宋_GB2312" w:eastAsia="仿宋_GB2312" w:hAnsi="仿宋_GB2312" w:cs="仿宋_GB2312" w:hint="eastAsia"/>
              </w:rPr>
            </w:pPr>
          </w:p>
        </w:tc>
      </w:tr>
      <w:tr w:rsidR="000E0C43" w14:paraId="1EF94FF6" w14:textId="77777777">
        <w:trPr>
          <w:trHeight w:val="645"/>
          <w:jc w:val="center"/>
        </w:trPr>
        <w:tc>
          <w:tcPr>
            <w:tcW w:w="710" w:type="dxa"/>
            <w:vAlign w:val="center"/>
          </w:tcPr>
          <w:p w14:paraId="51A1DAC8"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6</w:t>
            </w:r>
          </w:p>
        </w:tc>
        <w:tc>
          <w:tcPr>
            <w:tcW w:w="2463" w:type="dxa"/>
            <w:vAlign w:val="center"/>
          </w:tcPr>
          <w:p w14:paraId="4952FD4D"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《国家税务总局关于进一步加大增值税期末留抵退税政策实施力度有</w:t>
            </w:r>
            <w:r>
              <w:rPr>
                <w:rFonts w:ascii="仿宋_GB2312" w:eastAsia="仿宋_GB2312" w:hAnsi="仿宋_GB2312" w:cs="仿宋_GB2312" w:hint="eastAsia"/>
              </w:rPr>
              <w:lastRenderedPageBreak/>
              <w:t>关征管事项的公告》（国家税务总局公告2022年第4号）</w:t>
            </w:r>
          </w:p>
        </w:tc>
        <w:tc>
          <w:tcPr>
            <w:tcW w:w="5851" w:type="dxa"/>
            <w:vAlign w:val="center"/>
          </w:tcPr>
          <w:p w14:paraId="0FCC5A3A"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1.在计算允许退还的留抵税额的进项构成比例时，纳税人在2019年4月至申请退税前一税款所属期内按规定转出的进项税额，无需从已抵扣的增值税专用发票（含带有“增值税专用</w:t>
            </w:r>
            <w:r>
              <w:rPr>
                <w:rFonts w:ascii="仿宋_GB2312" w:eastAsia="仿宋_GB2312" w:hAnsi="仿宋_GB2312" w:cs="仿宋_GB2312" w:hint="eastAsia"/>
              </w:rPr>
              <w:lastRenderedPageBreak/>
              <w:t>发票”字样全面数字化的电子发票、税控机动车销售统一发票）、收费公路通行费增值税电子普通发票、海关进口增值税专用缴款书、解缴税款完税凭证注明的增值税额中扣减。</w:t>
            </w:r>
          </w:p>
          <w:p w14:paraId="2DAE2216"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适用增值税一般计税方法的个体工商户，可自本公告发布之日起，自愿向主管税务机关申请参照企业纳税信用评价指标和评价方式参加评价，并在以后的存续期内适用国家税务总局纳税信用管理相关规定。对于已按照省税务机关公布的纳税信用管理办法参加纳税信用评价的，也可选择沿用原纳税信用级别，符合条件的可申请办理留抵退税。</w:t>
            </w:r>
          </w:p>
          <w:p w14:paraId="0C5E769E" w14:textId="77777777" w:rsidR="000E0C43" w:rsidRDefault="00000000">
            <w:pPr>
              <w:pStyle w:val="2"/>
              <w:spacing w:line="240" w:lineRule="auto"/>
              <w:ind w:leftChars="0" w:left="0" w:firstLineChars="0" w:firstLine="0"/>
            </w:pPr>
            <w:r>
              <w:rPr>
                <w:rFonts w:ascii="仿宋_GB2312" w:eastAsia="仿宋_GB2312" w:hAnsi="仿宋_GB2312" w:cs="仿宋_GB2312" w:hint="eastAsia"/>
              </w:rPr>
              <w:t>3.本公告自2022年4月1日起施行。</w:t>
            </w:r>
          </w:p>
        </w:tc>
      </w:tr>
      <w:tr w:rsidR="000E0C43" w14:paraId="2F5E6DBA" w14:textId="77777777">
        <w:trPr>
          <w:trHeight w:val="645"/>
          <w:jc w:val="center"/>
        </w:trPr>
        <w:tc>
          <w:tcPr>
            <w:tcW w:w="710" w:type="dxa"/>
            <w:vAlign w:val="center"/>
          </w:tcPr>
          <w:p w14:paraId="5D7D4B8F"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7</w:t>
            </w:r>
          </w:p>
        </w:tc>
        <w:tc>
          <w:tcPr>
            <w:tcW w:w="2463" w:type="dxa"/>
            <w:vAlign w:val="center"/>
          </w:tcPr>
          <w:p w14:paraId="2AC899D2"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《国家税务总局关于小型微利企业所得税优惠政策征管问题的公告》（国家税务总局公告2022年第5号）</w:t>
            </w:r>
          </w:p>
        </w:tc>
        <w:tc>
          <w:tcPr>
            <w:tcW w:w="5851" w:type="dxa"/>
            <w:vAlign w:val="center"/>
          </w:tcPr>
          <w:p w14:paraId="6CC1E43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1.符合财政部、税务总局规定的小型微利企业条件的企业（以下简称小型微利企业），按照相关政策规定享受小型微利企业所得税优惠政策。</w:t>
            </w:r>
          </w:p>
          <w:p w14:paraId="655C93B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企业设立不具有法人资格分支机构的，应当汇总计算总机构及其各分支机构的从业人数、资产总额、年度应纳税所得额，依据合计数判断是否符合小型微利企业条件。</w:t>
            </w:r>
          </w:p>
          <w:p w14:paraId="2B9B412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2.小型微利企业无论按查账征收方式或核定征收方式缴纳企业所得税，均可享受小型微利企业所得税优惠政策。</w:t>
            </w:r>
          </w:p>
          <w:p w14:paraId="7E1E2F34"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3.小型微利企业在预缴和汇算清缴企业所得税时，通过填写纳税申报表，即可享受小型微利企业所得税优惠政策。</w:t>
            </w:r>
          </w:p>
          <w:p w14:paraId="6705E22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4.小型微利企业预缴企业所得税时，资产总额、从业人数、年度应纳税所得额指标，暂按当年度截至本期预缴申报所属期末的情况进行判断。</w:t>
            </w:r>
          </w:p>
          <w:p w14:paraId="67C1497B"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14:paraId="7D2CDBAE"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6.企业预缴企业所得税时享受了小型微利企业所得税优惠政策，但在汇算清缴时发现不符合相关政策标准的，应当按照规定补缴企业所得税税款。</w:t>
            </w:r>
          </w:p>
          <w:p w14:paraId="3CF4A6E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7.小型微利企业所得税统一实行按季度预缴。</w:t>
            </w:r>
          </w:p>
          <w:p w14:paraId="10B40680"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按月度预缴企业所得税的企业，在当年度4月、7月、10月预缴申报时，若按相关政策标准判断符合小型微利企业条件的，下一个预缴申报期起调整为按季度预缴申报，一经调整，当年</w:t>
            </w:r>
            <w:r>
              <w:rPr>
                <w:rFonts w:ascii="仿宋_GB2312" w:eastAsia="仿宋_GB2312" w:hAnsi="仿宋_GB2312" w:cs="仿宋_GB2312" w:hint="eastAsia"/>
              </w:rPr>
              <w:lastRenderedPageBreak/>
              <w:t>度内不再变更。</w:t>
            </w:r>
          </w:p>
          <w:p w14:paraId="656A0569"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8.本公告自2022年1月1日起施行。</w:t>
            </w:r>
          </w:p>
        </w:tc>
      </w:tr>
      <w:tr w:rsidR="000E0C43" w14:paraId="7A9DE1E1" w14:textId="77777777">
        <w:trPr>
          <w:trHeight w:val="645"/>
          <w:jc w:val="center"/>
        </w:trPr>
        <w:tc>
          <w:tcPr>
            <w:tcW w:w="710" w:type="dxa"/>
            <w:vAlign w:val="center"/>
          </w:tcPr>
          <w:p w14:paraId="54A45794"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3FC0AEE5"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《中国人民银行关于做好2022年金融支持全面推进乡村振兴重点工作的意见》（银发〔2022〕74号）</w:t>
            </w:r>
          </w:p>
        </w:tc>
        <w:tc>
          <w:tcPr>
            <w:tcW w:w="5851" w:type="dxa"/>
            <w:vAlign w:val="center"/>
          </w:tcPr>
          <w:p w14:paraId="5E0250C5"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 强化对农业农村基础设施建设的金融支持。各金融机构要围绕农业农村基础设施建设、人居环境改造等重点领域，在不新增地方政府隐性债务前提下，根据借款人资信状况和偿债能力、项目投资回报周期等，探索开发合适的金融产品和融资模式，加大对乡村道路建设、供水工程改造、农村电网巩固提升等项目的信贷支持力度，积极投放中长期贷款。</w:t>
            </w:r>
          </w:p>
          <w:p w14:paraId="19E17DA5"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 推进县域基本公共服务与金融服务融合发展。各金融机构要依托线下网点，积极整合普惠金融、便民服务、农资农技等资源，加快涉农场景建设推广，增强网点综合化服务能力，提升缴费、查询、远程服务等便捷性。进一步加强金融与教育、社保、医疗、交通、社会救助等民生系统互联互通，推进县域基本公共服务便利化。</w:t>
            </w:r>
          </w:p>
        </w:tc>
      </w:tr>
      <w:tr w:rsidR="000E0C43" w14:paraId="2BBC8A67" w14:textId="77777777">
        <w:trPr>
          <w:trHeight w:val="645"/>
          <w:jc w:val="center"/>
        </w:trPr>
        <w:tc>
          <w:tcPr>
            <w:tcW w:w="710" w:type="dxa"/>
            <w:vAlign w:val="center"/>
          </w:tcPr>
          <w:p w14:paraId="15EF64C2"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1BF92F3C"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《国家发展改革委办公厅 市场监管总局办公厅关于进一步发挥行业协会商会自律作用坚决杜绝乱收费行为的通知》（发改办体改〔2022〕245号）</w:t>
            </w:r>
          </w:p>
        </w:tc>
        <w:tc>
          <w:tcPr>
            <w:tcW w:w="5851" w:type="dxa"/>
            <w:vAlign w:val="center"/>
          </w:tcPr>
          <w:p w14:paraId="4195D296"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行业协会商会要进一步学深悟透有关规范行业协会商会收费行为的法律法规和政策规定，严格对照执行。有关部门将坚决对以下乱收费行为“零容忍”，依法依规严厉处罚：强制或变相强制入会并收取会费，强制市场主体参加会议、培训、考试、展览、评比评选、出国考察等各类收费活动或接受第三方机构有偿服务，强制市场主体提供赞助、捐赠、订购有关产品或刊物，只收取会费不提供服务或对会费包含的基本服务项目重复收费，利用分支（代表）机构多头重复收取会费，未按规定程序制定或修改会费标准，利用自身法定职责或行政机关影响力、行政机关委托授权事项违规收费，未经批准开展评比达标表彰、职业资格认定并收费，以担任理事、常务理事、负责人为名向会员收取除会费以外的其他费用。</w:t>
            </w:r>
          </w:p>
        </w:tc>
      </w:tr>
      <w:tr w:rsidR="000E0C43" w14:paraId="4308DCCF" w14:textId="77777777">
        <w:trPr>
          <w:trHeight w:val="645"/>
          <w:jc w:val="center"/>
        </w:trPr>
        <w:tc>
          <w:tcPr>
            <w:tcW w:w="710" w:type="dxa"/>
            <w:vAlign w:val="center"/>
          </w:tcPr>
          <w:p w14:paraId="7B1656F3"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10</w:t>
            </w:r>
          </w:p>
        </w:tc>
        <w:tc>
          <w:tcPr>
            <w:tcW w:w="2463" w:type="dxa"/>
            <w:vAlign w:val="center"/>
          </w:tcPr>
          <w:p w14:paraId="231297B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《中国银保监会办公厅关于2022年银行业保险业服务全面推进乡村振兴重点工作的通知》（银保监办发〔2022〕35号）</w:t>
            </w:r>
          </w:p>
        </w:tc>
        <w:tc>
          <w:tcPr>
            <w:tcW w:w="5851" w:type="dxa"/>
            <w:vAlign w:val="center"/>
          </w:tcPr>
          <w:p w14:paraId="1B526567"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探索创新金融支持乡村建设有效方式。</w:t>
            </w:r>
            <w:r>
              <w:rPr>
                <w:rFonts w:ascii="仿宋_GB2312" w:eastAsia="仿宋_GB2312" w:hAnsi="仿宋_GB2312" w:cs="仿宋_GB2312"/>
              </w:rPr>
              <w:t>银行机构要强化乡村建设中长期信贷投入，加大乡村道路交通、物流通信、供水供电、教育卫生、清洁能源、人居环境改造提升等领域金融支持，助力提高农村公共服务供给水平。在依法合规、风险可控前提下，探索创新金融支持乡村建设的有效方式，构建乡村建设领域综合平衡融资模式，破解基础设施建设项目缺乏有效还款来源难题。积极服务新型城镇化建设，创新符合新型城镇化需求的金融产品和融资模式。</w:t>
            </w:r>
          </w:p>
        </w:tc>
      </w:tr>
      <w:tr w:rsidR="000E0C43" w14:paraId="3422D293" w14:textId="77777777">
        <w:trPr>
          <w:trHeight w:val="645"/>
          <w:jc w:val="center"/>
        </w:trPr>
        <w:tc>
          <w:tcPr>
            <w:tcW w:w="710" w:type="dxa"/>
            <w:vAlign w:val="center"/>
          </w:tcPr>
          <w:p w14:paraId="460BDA79"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11</w:t>
            </w:r>
          </w:p>
        </w:tc>
        <w:tc>
          <w:tcPr>
            <w:tcW w:w="2463" w:type="dxa"/>
            <w:vAlign w:val="center"/>
          </w:tcPr>
          <w:p w14:paraId="4FC935AA"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《中国银保监会办公厅关于2022年进一步强化金融支持小微企业发展工作的通知》（银保监</w:t>
            </w:r>
            <w:r>
              <w:rPr>
                <w:rFonts w:ascii="仿宋_GB2312" w:eastAsia="仿宋_GB2312" w:hAnsi="仿宋_GB2312" w:cs="仿宋_GB2312" w:hint="eastAsia"/>
              </w:rPr>
              <w:lastRenderedPageBreak/>
              <w:t>办发〔2022〕37号）</w:t>
            </w:r>
          </w:p>
        </w:tc>
        <w:tc>
          <w:tcPr>
            <w:tcW w:w="5851" w:type="dxa"/>
            <w:vAlign w:val="center"/>
          </w:tcPr>
          <w:p w14:paraId="751C8F33"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lastRenderedPageBreak/>
              <w:t>1</w:t>
            </w:r>
            <w:r>
              <w:rPr>
                <w:rFonts w:ascii="仿宋_GB2312" w:eastAsia="仿宋_GB2312" w:hAnsi="仿宋_GB2312" w:cs="仿宋_GB2312"/>
              </w:rPr>
              <w:t xml:space="preserve">. </w:t>
            </w:r>
            <w:r>
              <w:rPr>
                <w:rFonts w:ascii="仿宋_GB2312" w:eastAsia="仿宋_GB2312" w:hAnsi="仿宋_GB2312" w:cs="仿宋_GB2312" w:hint="eastAsia"/>
              </w:rPr>
              <w:t>工作目标。银行业金融机构总体继续实现单户授信1000万元以下（含）的普惠型小微企业贷款“两增”目标，即此类贷款增速不低于各项贷款增速、有贷款余额的户数不低于年初水平。加大信用贷款投放力度，力争普惠型小微企业贷款余额中信用贷款占比持续提高。努力提升小微企业贷款户中首贷户的</w:t>
            </w:r>
            <w:r>
              <w:rPr>
                <w:rFonts w:ascii="仿宋_GB2312" w:eastAsia="仿宋_GB2312" w:hAnsi="仿宋_GB2312" w:cs="仿宋_GB2312" w:hint="eastAsia"/>
              </w:rPr>
              <w:lastRenderedPageBreak/>
              <w:t>比重，大型银行、股份制银行实现全年新增小型微型企业法人首贷户数量高于上年。在确保信贷投放增量扩面的前提下，力争总体实现2022年银行业新发放普惠型小微企业贷款利率较2021年有所下降。</w:t>
            </w:r>
          </w:p>
          <w:p w14:paraId="63AE8C90"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完善多层次的小微企业信贷供给体系。大型银行、股份制银行要进一步健全普惠金融事业部的专门机制，保持久久为功服务小微企业的战略定力，发挥网点、技术、人才、信息系统等优势，下沉服务重心，更好地服务小微企业，拓展首贷户。地方法人银行要坚守定位，将服务小微企业作为自身改制化险、转型发展的重要战略方向，用好年初出台的普惠小微贷款增量奖励、支小再贷款等货币政策工具，切实加大信贷投放力度，着力提高普惠型小微企业信用贷款占比。开发银行、政策性银行要继续深化完善与商业银行合作的小微企业转贷款业务模式，并根据自身战略定位和业务特点，稳妥探索开展对小微企业的直贷业务。</w:t>
            </w:r>
          </w:p>
          <w:p w14:paraId="3A536607"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 xml:space="preserve">. </w:t>
            </w:r>
            <w:r>
              <w:rPr>
                <w:rFonts w:ascii="仿宋_GB2312" w:eastAsia="仿宋_GB2312" w:hAnsi="仿宋_GB2312" w:cs="仿宋_GB2312" w:hint="eastAsia"/>
              </w:rPr>
              <w:t>进一步增强小微企业贷款可获得性。银行业金融机构要加大信贷产品创新力度，加强对小微企业信用信息的挖掘运用，着重提高信用贷款发放效率。针对小微企业轻资产特点，积极推广存货、应收账款、知识产权等动产和权利质押融资业务，降低对不动产等传统抵押物的过度依赖。深入推进银担合作、银保合作。支持银行业金融机构与国家融资担保基金及其合作担保机构有序开展总对总的“见贷即保”批量担保业务，为小微企业、个体工商户提供信贷支持，合理分担贷款风险。鼓励政府性融资担保机构在同等条件下优先为小微企业和个体工商户首贷户贷款提供担保。鼓励保险机构稳步开展小微企业融资性信保业务，对优质小微企业给予费率优惠。</w:t>
            </w:r>
          </w:p>
          <w:p w14:paraId="2C7DDBBB"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4</w:t>
            </w:r>
            <w:r>
              <w:rPr>
                <w:rFonts w:ascii="仿宋_GB2312" w:eastAsia="仿宋_GB2312" w:hAnsi="仿宋_GB2312" w:cs="仿宋_GB2312"/>
              </w:rPr>
              <w:t xml:space="preserve">. </w:t>
            </w:r>
            <w:r>
              <w:rPr>
                <w:rFonts w:ascii="仿宋_GB2312" w:eastAsia="仿宋_GB2312" w:hAnsi="仿宋_GB2312" w:cs="仿宋_GB2312" w:hint="eastAsia"/>
              </w:rPr>
              <w:t>做好延期还本付息政策接续和贷款期限管理。银行业金融机构要做好延期还本付息政策到期的接续转换。进一步推广“随借随还”模式，加大续贷政策落实力度，主动跟进小微企业融资需求，对符合续贷条件的正常类小微企业贷款积极给予支持。对确有还款意愿和吸纳就业能力、存在临时性经营困难的小微企业，统筹考虑展期、重组等手段，按照市场化原则自主协商贷款还本付息方式。</w:t>
            </w:r>
          </w:p>
          <w:p w14:paraId="73636FD2"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5</w:t>
            </w:r>
            <w:r>
              <w:rPr>
                <w:rFonts w:ascii="仿宋_GB2312" w:eastAsia="仿宋_GB2312" w:hAnsi="仿宋_GB2312" w:cs="仿宋_GB2312"/>
              </w:rPr>
              <w:t xml:space="preserve">. </w:t>
            </w:r>
            <w:r>
              <w:rPr>
                <w:rFonts w:ascii="仿宋_GB2312" w:eastAsia="仿宋_GB2312" w:hAnsi="仿宋_GB2312" w:cs="仿宋_GB2312" w:hint="eastAsia"/>
              </w:rPr>
              <w:t>巩固向小微企业让利成果。银行业金融机构的小微企业贷款利率定价机制应动态反映贷款市场报价利率（LPR）走势，并将货币、税收减免、财政奖补等政策红利向终端利率价格有效传导。银行业金融机构与开发性、政策性银行合作以转贷款资金发放的小微企业贷款，终端平均利率不得高于当地同类机构同类贷款平均水平。</w:t>
            </w:r>
          </w:p>
          <w:p w14:paraId="48C5B1CA"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6</w:t>
            </w:r>
            <w:r>
              <w:rPr>
                <w:rFonts w:ascii="仿宋_GB2312" w:eastAsia="仿宋_GB2312" w:hAnsi="仿宋_GB2312" w:cs="仿宋_GB2312"/>
              </w:rPr>
              <w:t xml:space="preserve">. </w:t>
            </w:r>
            <w:r>
              <w:rPr>
                <w:rFonts w:ascii="仿宋_GB2312" w:eastAsia="仿宋_GB2312" w:hAnsi="仿宋_GB2312" w:cs="仿宋_GB2312" w:hint="eastAsia"/>
              </w:rPr>
              <w:t>持续做好对小微制造业企业的金融服务。银行业金融机构</w:t>
            </w:r>
            <w:r>
              <w:rPr>
                <w:rFonts w:ascii="仿宋_GB2312" w:eastAsia="仿宋_GB2312" w:hAnsi="仿宋_GB2312" w:cs="仿宋_GB2312" w:hint="eastAsia"/>
              </w:rPr>
              <w:lastRenderedPageBreak/>
              <w:t>要重点加大对先进制造业、战略性新兴产业小微企业的中长期信贷投放，积极支持传统产业小微企业在设备更新、技术改造、绿色转型发展等方面的中长期资金需求，助力工业经济平稳增长。银行保险机构要主动建立健全与创新型中小企业、“专精特新”中小企业、“小巨人”企业及主管部门的信息对接机制，精准获客，开发专属金融产品。银行保险机构要规范发展供应链金融，在加强风险防控的基础上，依托核心企业，整合金融产品、客户、渠道等资源，综合运用交易数据、资金流和物流信息，为上下游小微企业提供一揽子金融服务。</w:t>
            </w:r>
          </w:p>
          <w:p w14:paraId="63427ECD"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7</w:t>
            </w:r>
            <w:r>
              <w:rPr>
                <w:rFonts w:ascii="仿宋_GB2312" w:eastAsia="仿宋_GB2312" w:hAnsi="仿宋_GB2312" w:cs="仿宋_GB2312"/>
              </w:rPr>
              <w:t xml:space="preserve">. </w:t>
            </w:r>
            <w:r>
              <w:rPr>
                <w:rFonts w:ascii="仿宋_GB2312" w:eastAsia="仿宋_GB2312" w:hAnsi="仿宋_GB2312" w:cs="仿宋_GB2312" w:hint="eastAsia"/>
              </w:rPr>
              <w:t>强化对小微企业科技创新的金融支撑。银行业金融机构要积极完善科技信贷服务模式，发挥与子公司的协同作用，为小微科创企业提供持续资金支持，在风险可控前提下与外部投资机构探索“贷款+外部直投”等业务新模式，在企业生命周期中前移金融服务。强化科技保险服务，进一步推进首台（套）重大技术装备保险试点和新材料首批次应用保险试点，丰富知识产权保险业务品种。</w:t>
            </w:r>
          </w:p>
          <w:p w14:paraId="0907784F"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8</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银行业金融机构要切实加大对个体工商户的信贷投放，根据个体工商户生产经营特点改进信用评价和授信管理，确保2022年个体工商户贷款余额、户数持续增长。对依照《电子商务法》《无证无照经营查处办法》等法律法规规定无须申领营业执照的个体经营者，应比照个体工商户，在同等条件下给予金融支持。</w:t>
            </w:r>
          </w:p>
          <w:p w14:paraId="7E9F2F82"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9</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着力改善金融资源投放的区域均衡性。大型银行、股份制银行制定普惠型小微企业信贷计划，要向欠发达地区的一级分行压实信贷投放任务，并明确要求各一级分行在向下分解信贷计划时，优先满足辖内相对欠发达地区信贷需求。在内部资金转移定价（FTP）、利润损失补偿、综合绩效考核、营销费用等方面，可适当向相对欠发达地区倾斜。</w:t>
            </w:r>
          </w:p>
          <w:p w14:paraId="3BEE9300"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0.</w:t>
            </w:r>
            <w:r>
              <w:rPr>
                <w:rFonts w:hint="eastAsia"/>
              </w:rPr>
              <w:t xml:space="preserve"> </w:t>
            </w:r>
            <w:r>
              <w:rPr>
                <w:rFonts w:ascii="仿宋_GB2312" w:eastAsia="仿宋_GB2312" w:hAnsi="仿宋_GB2312" w:cs="仿宋_GB2312" w:hint="eastAsia"/>
              </w:rPr>
              <w:t>鼓励银行保险机构在工程建设、招投标等领域为符合条件的小微企业提供保函和保证保险产品，减轻企业保证金占款压力。</w:t>
            </w:r>
          </w:p>
          <w:p w14:paraId="4A8A3BBE" w14:textId="77777777" w:rsidR="000E0C43" w:rsidRDefault="00000000">
            <w:pPr>
              <w:pStyle w:val="2"/>
              <w:spacing w:line="240" w:lineRule="auto"/>
              <w:ind w:leftChars="0" w:left="0" w:firstLineChars="0" w:firstLine="0"/>
            </w:pPr>
            <w:r>
              <w:rPr>
                <w:rFonts w:ascii="仿宋_GB2312" w:eastAsia="仿宋_GB2312" w:hAnsi="仿宋_GB2312" w:cs="仿宋_GB2312" w:hint="eastAsia"/>
              </w:rPr>
              <w:t>1</w:t>
            </w:r>
            <w:r>
              <w:rPr>
                <w:rFonts w:ascii="仿宋_GB2312" w:eastAsia="仿宋_GB2312" w:hAnsi="仿宋_GB2312" w:cs="仿宋_GB2312"/>
              </w:rPr>
              <w:t>1.</w:t>
            </w:r>
            <w:r>
              <w:rPr>
                <w:rFonts w:hint="eastAsia"/>
              </w:rPr>
              <w:t xml:space="preserve"> </w:t>
            </w:r>
            <w:r>
              <w:rPr>
                <w:rFonts w:ascii="仿宋_GB2312" w:eastAsia="仿宋_GB2312" w:hAnsi="仿宋_GB2312" w:cs="仿宋_GB2312" w:hint="eastAsia"/>
              </w:rPr>
              <w:t>严格落实信贷融资收费和服务价格管理规定。严禁银行保险机构违规向小微企业收取服务费用或变相转嫁服务成本。银行保险机构与第三方机构合作开展小微企业金融服务的，要了解第三方机构向小微企业收费情况，评估企业综合融资成本。银行保险机构应当要求第三方机构将其所提供服务的资费标准向小微企业充分告知，并明确约定禁止第三方机构以银行名义向小微企业收取任何费用。要持续评估合作模式，及时终止与服务收费质价不符机构的合作。</w:t>
            </w:r>
          </w:p>
        </w:tc>
      </w:tr>
      <w:tr w:rsidR="000E0C43" w14:paraId="54F01A7C" w14:textId="77777777">
        <w:trPr>
          <w:trHeight w:val="645"/>
          <w:jc w:val="center"/>
        </w:trPr>
        <w:tc>
          <w:tcPr>
            <w:tcW w:w="710" w:type="dxa"/>
            <w:vAlign w:val="center"/>
          </w:tcPr>
          <w:p w14:paraId="36F5101E"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12</w:t>
            </w:r>
          </w:p>
        </w:tc>
        <w:tc>
          <w:tcPr>
            <w:tcW w:w="2463" w:type="dxa"/>
            <w:vAlign w:val="center"/>
          </w:tcPr>
          <w:p w14:paraId="72782A02"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《关于做好2022年服务业小微企业和个体工商户房租减免工作的通知》(国资厅财评〔2022〕29号)</w:t>
            </w:r>
          </w:p>
        </w:tc>
        <w:tc>
          <w:tcPr>
            <w:tcW w:w="5851" w:type="dxa"/>
            <w:vAlign w:val="center"/>
          </w:tcPr>
          <w:p w14:paraId="06F08A23" w14:textId="77777777" w:rsidR="000E0C43"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中央企业要按照271号文件要求，对2022年被列为疫情中高风险地区所在县级行政区域（参照国家行政区划标准）内承租中央企业房屋的服务业小微企业和个体工商户减免当年6个月租金（四季度被列为疫情中高风险地区的，要通过当年退租或下年减免等方式足额减免6个月租金），其他地区减免3个月租金。各中央企业要抓紧研究确定房租减免政策的具体实施细则并抓好落实，尽快提升市场主体获得感。普遍减免3个月租金工作要力争在上半年实际完成主体工作，补充减免3个月租金工作要在列为中高风险地区后2个月内完成。对于转租、分租中央企业房屋的，要持续加大工作力度，推动减租政策有效传导至实际承租人。对于所属股权多元化子企业，要积极沟通协调，争取中小股东理解支持，在规范履行内部决策程序后对租金予以减免。对于所属子企业因落实减租政策导致资金困难的，上级企业或集团公司应给予资金支持。关于服务业行业分类标准，可参考国家统计局《国民经济行业分类》（原则上第三产业都可以视为服务业），优先减免271号文件所涉及行业。关于小微企业界定范围，可参考《关于印发中小企业划型标准规定的通知》（工信部联企业〔2011〕300号）或市场监管总局网站的“小微企业名录查询”模块。</w:t>
            </w:r>
          </w:p>
        </w:tc>
      </w:tr>
      <w:tr w:rsidR="000E0C43" w14:paraId="73DB2CB2" w14:textId="77777777">
        <w:trPr>
          <w:trHeight w:val="645"/>
          <w:jc w:val="center"/>
        </w:trPr>
        <w:tc>
          <w:tcPr>
            <w:tcW w:w="710" w:type="dxa"/>
            <w:vAlign w:val="center"/>
          </w:tcPr>
          <w:p w14:paraId="1A34E29D" w14:textId="77777777" w:rsidR="000E0C43"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13</w:t>
            </w:r>
          </w:p>
        </w:tc>
        <w:tc>
          <w:tcPr>
            <w:tcW w:w="2463" w:type="dxa"/>
            <w:vAlign w:val="center"/>
          </w:tcPr>
          <w:p w14:paraId="79E65329" w14:textId="77777777" w:rsidR="000E0C43" w:rsidRDefault="00000000">
            <w:pPr>
              <w:pStyle w:val="1"/>
              <w:spacing w:line="240" w:lineRule="auto"/>
              <w:rPr>
                <w:rFonts w:ascii="仿宋_GB2312" w:eastAsia="仿宋_GB2312" w:hAnsi="仿宋_GB2312" w:cs="仿宋_GB2312"/>
              </w:rPr>
            </w:pPr>
            <w:r>
              <w:rPr>
                <w:rFonts w:ascii="仿宋_GB2312" w:eastAsia="仿宋_GB2312" w:hAnsi="仿宋_GB2312" w:cs="仿宋_GB2312"/>
                <w:b w:val="0"/>
                <w:kern w:val="2"/>
                <w:sz w:val="21"/>
                <w:szCs w:val="24"/>
              </w:rPr>
              <w:t>《中国人民银行决定于2022年4月25日下调金融机构存款准备金率》</w:t>
            </w:r>
          </w:p>
        </w:tc>
        <w:tc>
          <w:tcPr>
            <w:tcW w:w="5851" w:type="dxa"/>
            <w:vAlign w:val="center"/>
          </w:tcPr>
          <w:p w14:paraId="14113998" w14:textId="77777777" w:rsidR="000E0C43"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为支持实体经济发展，促进综合融资成本稳中有降，中国人民银行决定于2022年4月25日下调金融机构存款准备金率0.25个百分点（不含已执行5%存款准备金率的金融机构）。为加大对小微企业和“三农”的支持力度，对没有跨省经营的城商行和存款准备金率高于5%的农商行，在下调存款准备金率0.25个百分点的基础上，再额外多降0.25个百分点。本次下调后，金融机构加权平均存款准备金率为8.1%。</w:t>
            </w:r>
          </w:p>
        </w:tc>
      </w:tr>
    </w:tbl>
    <w:p w14:paraId="3A4E9682" w14:textId="77777777" w:rsidR="000E0C43" w:rsidRDefault="000E0C43">
      <w:pPr>
        <w:rPr>
          <w:rFonts w:ascii="宋体" w:hAnsi="宋体" w:cs="宋体" w:hint="eastAsia"/>
          <w:sz w:val="28"/>
          <w:szCs w:val="28"/>
        </w:rPr>
      </w:pPr>
    </w:p>
    <w:p w14:paraId="73F0DE27"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br w:type="page"/>
      </w: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7A8771B4" w14:textId="77777777" w:rsidR="000E0C43"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39220A31" w14:textId="77777777" w:rsidR="000E0C43" w:rsidRDefault="00000000">
      <w:pPr>
        <w:adjustRightInd w:val="0"/>
        <w:snapToGrid w:val="0"/>
        <w:spacing w:beforeLines="50" w:before="156" w:afterLines="50" w:after="156" w:line="360" w:lineRule="auto"/>
        <w:jc w:val="center"/>
        <w:outlineLvl w:val="0"/>
        <w:rPr>
          <w:rFonts w:ascii="黑体" w:eastAsia="黑体" w:hAnsi="黑体" w:cs="方正小标宋_GBK" w:hint="eastAsia"/>
          <w:bCs/>
          <w:color w:val="000000"/>
          <w:sz w:val="30"/>
          <w:szCs w:val="44"/>
        </w:rPr>
      </w:pPr>
      <w:r>
        <w:rPr>
          <w:rFonts w:ascii="方正小标宋_GBK" w:eastAsia="方正小标宋_GBK" w:hAnsi="方正小标宋_GBK" w:cs="方正小标宋_GBK" w:hint="eastAsia"/>
          <w:bCs/>
          <w:color w:val="000000"/>
          <w:sz w:val="36"/>
          <w:szCs w:val="44"/>
        </w:rPr>
        <w:t>（1）</w:t>
      </w:r>
    </w:p>
    <w:p w14:paraId="69EDC0C1" w14:textId="77777777" w:rsidR="000E0C43" w:rsidRDefault="00000000">
      <w:pPr>
        <w:spacing w:line="240" w:lineRule="auto"/>
        <w:rPr>
          <w:rFonts w:ascii="黑体" w:eastAsia="黑体" w:hAnsi="黑体" w:cs="方正小标宋_GBK" w:hint="eastAsia"/>
          <w:bCs/>
          <w:color w:val="000000"/>
          <w:sz w:val="30"/>
          <w:szCs w:val="44"/>
          <w:highlight w:val="yellow"/>
        </w:rPr>
      </w:pPr>
      <w:r>
        <w:rPr>
          <w:rFonts w:ascii="黑体" w:eastAsia="黑体" w:hAnsi="黑体" w:cs="方正小标宋_GBK" w:hint="eastAsia"/>
          <w:bCs/>
          <w:color w:val="000000"/>
          <w:sz w:val="30"/>
          <w:szCs w:val="44"/>
        </w:rPr>
        <w:t>财务审计司编发                      截至2</w:t>
      </w:r>
      <w:r>
        <w:rPr>
          <w:rFonts w:ascii="黑体" w:eastAsia="黑体" w:hAnsi="黑体" w:cs="方正小标宋_GBK"/>
          <w:bCs/>
          <w:color w:val="000000"/>
          <w:sz w:val="30"/>
          <w:szCs w:val="44"/>
        </w:rPr>
        <w:t>022</w:t>
      </w:r>
      <w:r>
        <w:rPr>
          <w:rFonts w:ascii="黑体" w:eastAsia="黑体" w:hAnsi="黑体" w:cs="方正小标宋_GBK" w:hint="eastAsia"/>
          <w:bCs/>
          <w:color w:val="000000"/>
          <w:sz w:val="30"/>
          <w:szCs w:val="44"/>
        </w:rPr>
        <w:t>年</w:t>
      </w:r>
      <w:r>
        <w:rPr>
          <w:rFonts w:ascii="黑体" w:eastAsia="黑体" w:hAnsi="黑体" w:cs="方正小标宋_GBK"/>
          <w:bCs/>
          <w:color w:val="000000"/>
          <w:sz w:val="30"/>
          <w:szCs w:val="44"/>
        </w:rPr>
        <w:t>3</w:t>
      </w:r>
      <w:r>
        <w:rPr>
          <w:rFonts w:ascii="黑体" w:eastAsia="黑体" w:hAnsi="黑体" w:cs="方正小标宋_GBK" w:hint="eastAsia"/>
          <w:bCs/>
          <w:color w:val="000000"/>
          <w:sz w:val="30"/>
          <w:szCs w:val="44"/>
        </w:rPr>
        <w:t>月25日</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624"/>
        <w:gridCol w:w="6308"/>
      </w:tblGrid>
      <w:tr w:rsidR="000E0C43" w14:paraId="6BD11299" w14:textId="77777777">
        <w:trPr>
          <w:cantSplit/>
          <w:trHeight w:val="983"/>
          <w:tblHeader/>
          <w:jc w:val="center"/>
        </w:trPr>
        <w:tc>
          <w:tcPr>
            <w:tcW w:w="824" w:type="dxa"/>
            <w:vAlign w:val="center"/>
          </w:tcPr>
          <w:p w14:paraId="6108ACD7"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1624" w:type="dxa"/>
            <w:vAlign w:val="center"/>
          </w:tcPr>
          <w:p w14:paraId="24DB9032"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6308" w:type="dxa"/>
            <w:vAlign w:val="center"/>
          </w:tcPr>
          <w:p w14:paraId="16378AB6"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0E0C43" w14:paraId="5FF3D449" w14:textId="77777777">
        <w:trPr>
          <w:trHeight w:val="983"/>
          <w:jc w:val="center"/>
        </w:trPr>
        <w:tc>
          <w:tcPr>
            <w:tcW w:w="824" w:type="dxa"/>
            <w:vAlign w:val="center"/>
          </w:tcPr>
          <w:p w14:paraId="4EC37769" w14:textId="77777777" w:rsidR="000E0C43" w:rsidRDefault="00000000">
            <w:pPr>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1624" w:type="dxa"/>
            <w:vAlign w:val="center"/>
          </w:tcPr>
          <w:p w14:paraId="3BC8CC7D"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《关于进一步加大增值税期末留抵退税政策实施力度的公告》（</w:t>
            </w:r>
            <w:r>
              <w:rPr>
                <w:rFonts w:ascii="仿宋_GB2312" w:eastAsia="仿宋_GB2312" w:hAnsi="仿宋_GB2312" w:cs="仿宋_GB2312"/>
              </w:rPr>
              <w:t>财政部 税务总局公告2022年第14号</w:t>
            </w:r>
            <w:r>
              <w:rPr>
                <w:rFonts w:ascii="仿宋_GB2312" w:eastAsia="仿宋_GB2312" w:hAnsi="仿宋_GB2312" w:cs="仿宋_GB2312" w:hint="eastAsia"/>
              </w:rPr>
              <w:t>）</w:t>
            </w:r>
          </w:p>
          <w:p w14:paraId="2159ACFB" w14:textId="77777777" w:rsidR="000E0C43" w:rsidRDefault="000E0C43">
            <w:pPr>
              <w:rPr>
                <w:rFonts w:ascii="仿宋_GB2312" w:eastAsia="仿宋_GB2312" w:hAnsi="仿宋_GB2312" w:cs="仿宋_GB2312" w:hint="eastAsia"/>
              </w:rPr>
            </w:pPr>
          </w:p>
        </w:tc>
        <w:tc>
          <w:tcPr>
            <w:tcW w:w="6308" w:type="dxa"/>
            <w:vAlign w:val="center"/>
          </w:tcPr>
          <w:p w14:paraId="084DDD4C"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1.加大小微企业增值税期末留抵退税政策力度，将先进制造业按月全额退还增值税增量留抵税额政策范围扩大至符合条件的小微企业（含个体工商户，下同），并一次性退还小微企业存量留抵税额。 </w:t>
            </w:r>
          </w:p>
          <w:p w14:paraId="2E2F645C"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（1）符合条件的小微企业，可以自2022年4月纳税申报期起向主管税务机关申请退还增量留抵税额。在2022年12月31日前，退税条件按照本公告第三条规定执行。 </w:t>
            </w:r>
          </w:p>
          <w:p w14:paraId="6B29D64A"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（2）符合条件的微型企业，可以自2022年4月纳税申报期起向主管税务机关申请一次性退还存量留抵税额；符合条件的小型企业，可以自2022年5月纳税申报期起向主管税务机关申请一次性退还存量留抵税额。 </w:t>
            </w:r>
          </w:p>
          <w:p w14:paraId="3F0ECFEA"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2.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14:paraId="364B27BD"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（1）符合条件的制造业等行业企业，可以自2022年4月纳税申报期起向主管税务机关申请退还增量留抵税额。 </w:t>
            </w:r>
          </w:p>
          <w:p w14:paraId="7C404E6E"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lastRenderedPageBreak/>
              <w:t>（2）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 </w:t>
            </w:r>
          </w:p>
          <w:p w14:paraId="4A0DCAD2"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3.适用本公告政策的纳税人需同时符合以下条件： </w:t>
            </w:r>
          </w:p>
          <w:p w14:paraId="0E2AB3AF"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（1）纳税信用等级为A级或者B级； </w:t>
            </w:r>
          </w:p>
          <w:p w14:paraId="173BE870"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（2）申请退税前36个月未发生骗取留抵退税、骗取出口退税或虚开增值税专用发票情形； </w:t>
            </w:r>
          </w:p>
          <w:p w14:paraId="7050DC70"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（3）申请退税前36个月未因偷税被税务机关处罚两次及以上； </w:t>
            </w:r>
          </w:p>
          <w:p w14:paraId="6925A707"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（4）2019年4月1日起未享受即征即退、先征后返（退）政策。 </w:t>
            </w:r>
          </w:p>
          <w:p w14:paraId="64859893"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4.本公告所称增量留抵税额，区分以下情形确定： </w:t>
            </w:r>
          </w:p>
          <w:p w14:paraId="743B21DB"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（1）纳税人获得一次性存量留抵退税前，增量留抵税额为当期期末留抵税额与2019年3月31日相比新增加的留抵税额。 </w:t>
            </w:r>
          </w:p>
          <w:p w14:paraId="1B8EC253"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（2）纳税人获得一次性存量留抵退税后，增量留抵税额为当期期末留抵税额。 </w:t>
            </w:r>
          </w:p>
          <w:p w14:paraId="4EC1B60E"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5.本公告所称存量留抵税额，区分以下情形确定： </w:t>
            </w:r>
          </w:p>
          <w:p w14:paraId="787210FF"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 </w:t>
            </w:r>
          </w:p>
          <w:p w14:paraId="4B0305A4"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（2）纳税人获得一次性存量留抵退税后，存量留抵税额为零。 </w:t>
            </w:r>
          </w:p>
          <w:p w14:paraId="4DFC39EC"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6.本公告所称中型企业、小型企业和微型企业，按照《中小企业划型标准规定》（工信部联企业〔2011〕300号）和《金融业企业划型标准规定》（银发〔2015〕309号）中的营业收入指标、资产总额指标确定。</w:t>
            </w:r>
          </w:p>
          <w:p w14:paraId="6046E84D"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 xml:space="preserve">　　对于工信部联企业〔2011〕300号和银发〔2015〕309号文件所列行业以外的纳税人，以及工信部联企业〔2011〕300号文件所列</w:t>
            </w:r>
            <w:r>
              <w:rPr>
                <w:rFonts w:ascii="仿宋_GB2312" w:eastAsia="仿宋_GB2312" w:hAnsi="仿宋_GB2312" w:cs="仿宋_GB2312" w:hint="eastAsia"/>
              </w:rPr>
              <w:lastRenderedPageBreak/>
              <w:t>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 </w:t>
            </w:r>
          </w:p>
          <w:p w14:paraId="1B4ABC73"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 xml:space="preserve">　　本公告所称大型企业，是指除上述中型企业、小型企业和微型企业外的其他企业。 </w:t>
            </w:r>
          </w:p>
          <w:p w14:paraId="1D2C3F87"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7.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14:paraId="458DD6EA"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8.适用本公告政策的纳税人，按照以下公式计算允许退还的留抵税额： </w:t>
            </w:r>
          </w:p>
          <w:p w14:paraId="6D7AA3AD"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允许退还的增量留抵税额=增量留抵税额×进项构成比例×100% </w:t>
            </w:r>
          </w:p>
          <w:p w14:paraId="14E6076E"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允许退还的存量留抵税额=存量留抵税额×进项构成比例×100% </w:t>
            </w:r>
          </w:p>
          <w:p w14:paraId="57B7C9DF"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14:paraId="40C851B8"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9.本公告自2022年4月1日施行。</w:t>
            </w:r>
          </w:p>
        </w:tc>
      </w:tr>
      <w:tr w:rsidR="000E0C43" w14:paraId="3B35674C" w14:textId="77777777">
        <w:trPr>
          <w:trHeight w:val="983"/>
          <w:jc w:val="center"/>
        </w:trPr>
        <w:tc>
          <w:tcPr>
            <w:tcW w:w="824" w:type="dxa"/>
            <w:vAlign w:val="center"/>
          </w:tcPr>
          <w:p w14:paraId="2823E98F" w14:textId="77777777" w:rsidR="000E0C43" w:rsidRDefault="00000000">
            <w:pPr>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1624" w:type="dxa"/>
            <w:vAlign w:val="center"/>
          </w:tcPr>
          <w:p w14:paraId="04C3E227"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《关于下达2022年支持小微企业留抵退税有关专项资金预算的通知》</w:t>
            </w:r>
          </w:p>
          <w:p w14:paraId="69C7A56B"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（财预〔2022〕</w:t>
            </w:r>
            <w:r>
              <w:rPr>
                <w:rFonts w:ascii="仿宋_GB2312" w:eastAsia="仿宋_GB2312" w:hAnsi="仿宋_GB2312" w:cs="仿宋_GB2312" w:hint="eastAsia"/>
              </w:rPr>
              <w:lastRenderedPageBreak/>
              <w:t>34号）</w:t>
            </w:r>
          </w:p>
        </w:tc>
        <w:tc>
          <w:tcPr>
            <w:tcW w:w="6308" w:type="dxa"/>
            <w:vAlign w:val="center"/>
          </w:tcPr>
          <w:p w14:paraId="2B21DD01"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lastRenderedPageBreak/>
              <w:t>1.为支持地方落实好退税减税政策，中央财政安排专项资金用于弥补地方政策性减收，缓解财政收支矛盾，促进县区财政平稳运行。现下达2022年支持小微企业留抵退税有关专项资金预算指标（资金额度、科目、项目代码详见附件），用于支持小微企业留抵退税。具体包括新出台小微企业留抵退税和原有政策实施的小微企业制度性留抵退税。年终根据地方实际留抵退税需要进行清算。其他新出台留抵退税政策专项资金和其他退税减税降费专项资金另行下</w:t>
            </w:r>
            <w:r>
              <w:rPr>
                <w:rFonts w:ascii="仿宋_GB2312" w:eastAsia="仿宋_GB2312" w:hAnsi="仿宋_GB2312" w:cs="仿宋_GB2312" w:hint="eastAsia"/>
              </w:rPr>
              <w:lastRenderedPageBreak/>
              <w:t>达。 </w:t>
            </w:r>
          </w:p>
          <w:p w14:paraId="4D282EC1"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2.该项补助纳入直达资金范围，省市县均可留用，标识为“01中央直达资金”，该标识贯穿资金分配、拨付、使用等整个环节，且保持不变。</w:t>
            </w:r>
          </w:p>
          <w:p w14:paraId="19966F38" w14:textId="77777777" w:rsidR="000E0C43" w:rsidRDefault="00000000">
            <w:pPr>
              <w:rPr>
                <w:rFonts w:ascii="仿宋_GB2312" w:eastAsia="仿宋_GB2312" w:hAnsi="仿宋_GB2312" w:cs="仿宋_GB2312" w:hint="eastAsia"/>
              </w:rPr>
            </w:pPr>
            <w:r>
              <w:rPr>
                <w:rFonts w:ascii="仿宋_GB2312" w:eastAsia="仿宋_GB2312" w:hAnsi="仿宋_GB2312" w:cs="仿宋_GB2312" w:hint="eastAsia"/>
              </w:rPr>
              <w:t>3.在下达直达资金时，应单独下达预算指标文件，并保持中央财政直达资金标识不变，同时在指标管理系统中及时登录有关指标和直达资金标识，导入直达资金监控系统，确保数据真实、账目清晰、流向明确。将中央财政直达资金分解落实到基层财政部门时，对于资金来源既包含中央财政直达资金又包含其他资金的，应在预算指标文件、指标管理系统中按资金明细来源分别列示，在指标系统中分别登录，并将中央财政直达资金部分导入直达资金监控系统。</w:t>
            </w:r>
          </w:p>
        </w:tc>
      </w:tr>
      <w:tr w:rsidR="000E0C43" w14:paraId="77DA778A" w14:textId="77777777">
        <w:trPr>
          <w:trHeight w:val="983"/>
          <w:jc w:val="center"/>
        </w:trPr>
        <w:tc>
          <w:tcPr>
            <w:tcW w:w="824" w:type="dxa"/>
            <w:vAlign w:val="center"/>
          </w:tcPr>
          <w:p w14:paraId="0AC8B20B"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3</w:t>
            </w:r>
          </w:p>
        </w:tc>
        <w:tc>
          <w:tcPr>
            <w:tcW w:w="1624" w:type="dxa"/>
            <w:vAlign w:val="center"/>
          </w:tcPr>
          <w:p w14:paraId="506304E5"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税务总局关于进一步实施小微企业所得税优惠政策的公告》（财政部 税务总局公告2022年第13号）</w:t>
            </w:r>
          </w:p>
        </w:tc>
        <w:tc>
          <w:tcPr>
            <w:tcW w:w="6308" w:type="dxa"/>
            <w:vAlign w:val="center"/>
          </w:tcPr>
          <w:p w14:paraId="01BFA82D"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1.对小型微利企业年应纳税所得额超过100万元但不超过300万元的部分，减按25%计入应纳税所得额，按20%的税率缴纳企业所得税。</w:t>
            </w:r>
          </w:p>
          <w:p w14:paraId="30A377CD"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2.本公告所称小型微利企业，是指从事国家非限制和禁止行业，且同时符合年度应纳税所得额不超过300万元、从业人数不超过300人、资产总额不超过5000万元等三个条件的企业。</w:t>
            </w:r>
          </w:p>
          <w:p w14:paraId="0A37C8D2"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从业人数，包括与企业建立劳动关系的职工人数和企业接受的劳务派遣用工人数。所称从业人数和资产总额指标，应按企业全年的季度平均值确定。年度中间开业或者终止经营活动的，以其实际经营期作为一个纳税年度确定上述相关指标。</w:t>
            </w:r>
          </w:p>
          <w:p w14:paraId="191FE680"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3.本公告执行期限为2022年1月1日至2024年12月31日。</w:t>
            </w:r>
          </w:p>
        </w:tc>
      </w:tr>
      <w:tr w:rsidR="000E0C43" w14:paraId="00EAA49C" w14:textId="77777777">
        <w:trPr>
          <w:trHeight w:val="983"/>
          <w:jc w:val="center"/>
        </w:trPr>
        <w:tc>
          <w:tcPr>
            <w:tcW w:w="824" w:type="dxa"/>
            <w:vAlign w:val="center"/>
          </w:tcPr>
          <w:p w14:paraId="1328EE6F"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4</w:t>
            </w:r>
          </w:p>
        </w:tc>
        <w:tc>
          <w:tcPr>
            <w:tcW w:w="1624" w:type="dxa"/>
            <w:vAlign w:val="center"/>
          </w:tcPr>
          <w:p w14:paraId="244FD132"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《国家税务总局关于进一步实施小微企业“六税两费”减免政策有关征管问题的公告》（国家税务总局公告2022年第3号）</w:t>
            </w:r>
          </w:p>
        </w:tc>
        <w:tc>
          <w:tcPr>
            <w:tcW w:w="6308" w:type="dxa"/>
            <w:vAlign w:val="center"/>
          </w:tcPr>
          <w:p w14:paraId="25193FD6"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1.关于小型微利企业“六税两费”减免政策的适用。</w:t>
            </w:r>
          </w:p>
          <w:p w14:paraId="54B2B1F5"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14:paraId="6661ED34"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（2）登记为增值税一般纳税人的新设立企业，从事国家非限制和禁止行业，且同时符合申报期上月末从业人数不超过300人、资产</w:t>
            </w:r>
            <w:r>
              <w:rPr>
                <w:rFonts w:ascii="仿宋_GB2312" w:eastAsia="仿宋_GB2312" w:hAnsi="仿宋" w:hint="eastAsia"/>
                <w:bCs/>
                <w:color w:val="000000"/>
                <w:szCs w:val="21"/>
              </w:rPr>
              <w:lastRenderedPageBreak/>
              <w:t>总额不超过5000万元两项条件的，按规定办理首次汇算清缴申报前，可按照小型微利企业申报享受“六税两费”减免优惠。</w:t>
            </w:r>
          </w:p>
          <w:p w14:paraId="55D5BEA1"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14:paraId="03FEFF0F"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按规定办理首次汇算清缴后确定不属于小型微利企业的一般纳税人，自办理汇算清缴的次月1日至次年6月30日，不得再申报享受“六税两费”减免优惠；按次申报的，自首次办理汇算清缴确定不属于小型微利企业之日起至次年6月30日，不得再申报享受“六税两费”减免优惠。</w:t>
            </w:r>
          </w:p>
          <w:p w14:paraId="688B8A62"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新设立企业按规定办理首次汇算清缴后，按规定申报当月及之前的“六税两费”的，依据首次汇算清缴结果确定是否可申报享受减免优惠。</w:t>
            </w:r>
          </w:p>
          <w:p w14:paraId="4C48CAAF"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新设立企业按规定办理首次汇算清缴申报前，已按规定申报缴纳“六税两费”的，不再根据首次汇算清缴结果进行更正。</w:t>
            </w:r>
          </w:p>
          <w:p w14:paraId="1F9489CC"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登记为增值税一般纳税人的小型微利企业、新设立企业，逾期办理或更正汇算清缴申报的，应当依据逾期办理或更正申报的结果，按照本条第（一）项、第（二）项规定的“六税两费”减免税期间申报享受减免优惠，并应当对“六税两费”申报进行相应更正。</w:t>
            </w:r>
          </w:p>
          <w:p w14:paraId="20771201"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 关于增值税小规模纳税人转为一般纳税人时“六税两费”减免政策的适用。增值税小规模纳税人按规定登记为一般纳税人的，自一般纳税人生效之日起不再按照增值税小规模纳税人适用“六税两费”减免政策。增值税年应税销售额超过小规模纳税人标准应当登记为一般纳税人而未登记，经税务机关通知，逾期仍不办理登记的，自逾期次月起不再按照增值税小规模纳税人申报享受“六税两费”减免优惠。上述纳税人如果符合本公告第一条规定的小型微利企业和新设立企业的情形，或登记为个体工商户，仍可申报享受“六税两费”减免优惠。</w:t>
            </w:r>
          </w:p>
          <w:p w14:paraId="12FA815D"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3.关于纳税人未及时申报享受“六税两费”减免优惠的处理方式。纳税人符合条件但未及时申报享受“六税两费”减免优惠的，可依法申请抵减以后纳税期的应纳税费款或者申请退还。</w:t>
            </w:r>
          </w:p>
          <w:p w14:paraId="2F418DD3"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4.本公告执行期限为2022年1月1日至2024年12月31日。</w:t>
            </w:r>
          </w:p>
        </w:tc>
      </w:tr>
      <w:tr w:rsidR="000E0C43" w14:paraId="58159201" w14:textId="77777777">
        <w:trPr>
          <w:trHeight w:val="983"/>
          <w:jc w:val="center"/>
        </w:trPr>
        <w:tc>
          <w:tcPr>
            <w:tcW w:w="824" w:type="dxa"/>
            <w:vAlign w:val="center"/>
          </w:tcPr>
          <w:p w14:paraId="44B996B0"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5</w:t>
            </w:r>
          </w:p>
        </w:tc>
        <w:tc>
          <w:tcPr>
            <w:tcW w:w="1624" w:type="dxa"/>
            <w:vAlign w:val="center"/>
          </w:tcPr>
          <w:p w14:paraId="1ED6C99D" w14:textId="77777777" w:rsidR="000E0C43" w:rsidRDefault="00000000">
            <w:pPr>
              <w:pStyle w:val="a4"/>
              <w:spacing w:line="240" w:lineRule="auto"/>
              <w:ind w:leftChars="0" w:left="0"/>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《财政部 税务总局关于促进服务业领域困难行业纾困发展有关增值税政策的公告》（财政部 税务总局公告2022年第 11号）</w:t>
            </w:r>
          </w:p>
        </w:tc>
        <w:tc>
          <w:tcPr>
            <w:tcW w:w="6308" w:type="dxa"/>
            <w:vAlign w:val="center"/>
          </w:tcPr>
          <w:p w14:paraId="31014BA7"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 xml:space="preserve">《财政部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 </w:t>
            </w:r>
          </w:p>
          <w:p w14:paraId="19C00150"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ascii="仿宋_GB2312" w:eastAsia="仿宋_GB2312" w:hAnsi="仿宋" w:hint="eastAsia"/>
                <w:bCs/>
                <w:color w:val="000000"/>
                <w:szCs w:val="21"/>
              </w:rPr>
              <w:t xml:space="preserve">自2022年1月1日至2022年12月31日，航空和铁路运输企业分支机构暂停预缴增值税。2022年2月纳税申报期至文件发布之日已预缴的增值税予以退还。 </w:t>
            </w:r>
          </w:p>
          <w:p w14:paraId="75FF2404"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tc>
      </w:tr>
      <w:tr w:rsidR="000E0C43" w14:paraId="44DF83DF" w14:textId="77777777">
        <w:trPr>
          <w:trHeight w:val="983"/>
          <w:jc w:val="center"/>
        </w:trPr>
        <w:tc>
          <w:tcPr>
            <w:tcW w:w="824" w:type="dxa"/>
            <w:vAlign w:val="center"/>
          </w:tcPr>
          <w:p w14:paraId="4E8F2793"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6</w:t>
            </w:r>
          </w:p>
        </w:tc>
        <w:tc>
          <w:tcPr>
            <w:tcW w:w="1624" w:type="dxa"/>
            <w:vAlign w:val="center"/>
          </w:tcPr>
          <w:p w14:paraId="64EE0BDD"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税务总局关于中小微企业设备器具所得税税前扣除有关政策的公告》（财政部 税务总局公告2022年第12号）</w:t>
            </w:r>
          </w:p>
        </w:tc>
        <w:tc>
          <w:tcPr>
            <w:tcW w:w="6308" w:type="dxa"/>
            <w:vAlign w:val="center"/>
          </w:tcPr>
          <w:p w14:paraId="1B4A18D8"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 xml:space="preserve">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14:paraId="04A7DE1B"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企业选择适用上述政策当年不足扣除形成的亏损，可在以后5个纳税年度结转弥补，享受其他延长亏损结转年限政策的企业可按现行规定执行。</w:t>
            </w:r>
          </w:p>
          <w:p w14:paraId="370057CC"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 xml:space="preserve">2.中小微企业可按季（月）在预缴申报时享受上述政策。本公告发布前企业在2022年已购置的设备、器具，可在本公告发布后的预缴申报、年度汇算清缴时享受。 </w:t>
            </w:r>
          </w:p>
          <w:p w14:paraId="23350A79"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3.中小微企业可根据自身生产经营核算需要自行选择享受上述政策，当年度未选择享受的，以后年度不得再变更享受。</w:t>
            </w:r>
          </w:p>
        </w:tc>
      </w:tr>
      <w:tr w:rsidR="000E0C43" w14:paraId="46CF7BBA" w14:textId="77777777">
        <w:trPr>
          <w:trHeight w:val="983"/>
          <w:jc w:val="center"/>
        </w:trPr>
        <w:tc>
          <w:tcPr>
            <w:tcW w:w="824" w:type="dxa"/>
            <w:vAlign w:val="center"/>
          </w:tcPr>
          <w:p w14:paraId="4DD2D987"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7</w:t>
            </w:r>
          </w:p>
        </w:tc>
        <w:tc>
          <w:tcPr>
            <w:tcW w:w="1624" w:type="dxa"/>
            <w:vAlign w:val="center"/>
          </w:tcPr>
          <w:p w14:paraId="2CEFEFE1"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税务总局关于进一步实施小微企业“六税两费”减免政策的公告》（财</w:t>
            </w:r>
            <w:r>
              <w:rPr>
                <w:rFonts w:ascii="仿宋_GB2312" w:eastAsia="仿宋_GB2312" w:hAnsi="仿宋" w:hint="eastAsia"/>
                <w:bCs/>
                <w:color w:val="000000"/>
                <w:szCs w:val="21"/>
              </w:rPr>
              <w:lastRenderedPageBreak/>
              <w:t>政部 税务总局公告2022年第 10 号）</w:t>
            </w:r>
          </w:p>
        </w:tc>
        <w:tc>
          <w:tcPr>
            <w:tcW w:w="6308" w:type="dxa"/>
            <w:vAlign w:val="center"/>
          </w:tcPr>
          <w:p w14:paraId="0BD24A6E"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w:t>
            </w:r>
            <w:r>
              <w:rPr>
                <w:rFonts w:ascii="仿宋_GB2312" w:eastAsia="仿宋_GB2312" w:hAnsi="仿宋"/>
                <w:bCs/>
                <w:color w:val="000000"/>
                <w:szCs w:val="21"/>
              </w:rPr>
              <w:t>.</w:t>
            </w:r>
            <w:r>
              <w:rPr>
                <w:rFonts w:ascii="仿宋_GB2312" w:eastAsia="仿宋_GB2312" w:hAnsi="仿宋" w:hint="eastAsia"/>
                <w:bCs/>
                <w:color w:val="000000"/>
                <w:szCs w:val="21"/>
              </w:rPr>
              <w:t xml:space="preserve">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14:paraId="1D7E2093"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增值税小规模纳税人、小型微利企业和个体工商户已依法享受资</w:t>
            </w:r>
            <w:r>
              <w:rPr>
                <w:rFonts w:ascii="仿宋_GB2312" w:eastAsia="仿宋_GB2312" w:hAnsi="仿宋" w:hint="eastAsia"/>
                <w:bCs/>
                <w:color w:val="000000"/>
                <w:szCs w:val="21"/>
              </w:rPr>
              <w:lastRenderedPageBreak/>
              <w:t>源税、城市维护建设税、房产税、城镇土地使用税、印花税、耕地占用税、教育费附加、地方教育附加其他优惠政策的，可叠加享受本公告第一条规定的优惠政策。</w:t>
            </w:r>
          </w:p>
          <w:p w14:paraId="0AB46D3D" w14:textId="77777777" w:rsidR="000E0C43" w:rsidRDefault="00000000">
            <w:pPr>
              <w:pStyle w:val="2"/>
              <w:ind w:leftChars="0" w:left="0" w:firstLineChars="0" w:firstLine="0"/>
              <w:jc w:val="left"/>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本公告执行期限为2022年1月1日至2024年12月31日。</w:t>
            </w:r>
          </w:p>
        </w:tc>
      </w:tr>
      <w:tr w:rsidR="000E0C43" w14:paraId="7E46B065" w14:textId="77777777">
        <w:trPr>
          <w:trHeight w:val="540"/>
          <w:jc w:val="center"/>
        </w:trPr>
        <w:tc>
          <w:tcPr>
            <w:tcW w:w="824" w:type="dxa"/>
            <w:vAlign w:val="center"/>
          </w:tcPr>
          <w:p w14:paraId="20CA5BC0"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lastRenderedPageBreak/>
              <w:t>8</w:t>
            </w:r>
          </w:p>
        </w:tc>
        <w:tc>
          <w:tcPr>
            <w:tcW w:w="1624" w:type="dxa"/>
            <w:vAlign w:val="center"/>
          </w:tcPr>
          <w:p w14:paraId="0E2E8BAD" w14:textId="77777777" w:rsidR="000E0C43"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《国家发展改革委等12部门关于印发促进工业经济平稳增长的若干政策的通知》（发改产业〔2022〕273号）</w:t>
            </w:r>
          </w:p>
        </w:tc>
        <w:tc>
          <w:tcPr>
            <w:tcW w:w="6308" w:type="dxa"/>
            <w:vAlign w:val="center"/>
          </w:tcPr>
          <w:p w14:paraId="2AB124CB"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 xml:space="preserve"> 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14:paraId="68DD5B62"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 xml:space="preserve"> 扩大地方“六税两费”减免政策适用主体范围，加大小型微利企业所得税减免力度。</w:t>
            </w:r>
          </w:p>
          <w:p w14:paraId="0F079E10"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降低企业社保负担，</w:t>
            </w:r>
            <w:r>
              <w:rPr>
                <w:rFonts w:ascii="仿宋_GB2312" w:eastAsia="仿宋_GB2312" w:hAnsi="仿宋"/>
                <w:bCs/>
                <w:color w:val="000000"/>
                <w:szCs w:val="21"/>
              </w:rPr>
              <w:t>2022</w:t>
            </w:r>
            <w:r>
              <w:rPr>
                <w:rFonts w:ascii="仿宋_GB2312" w:eastAsia="仿宋_GB2312" w:hAnsi="仿宋" w:hint="eastAsia"/>
                <w:bCs/>
                <w:color w:val="000000"/>
                <w:szCs w:val="21"/>
              </w:rPr>
              <w:t>年延续实施阶段性降低失业保险、工伤保险费率政策。</w:t>
            </w:r>
          </w:p>
          <w:p w14:paraId="32478F06"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4</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2022年人民银行对符合条件的地方法人银行，按普惠小微贷款余额增量的1%提供激励资金；符合条件的地方法人银行发放普惠小微信用贷款，可向人民银行申请再贷款优惠资金支持。</w:t>
            </w:r>
          </w:p>
        </w:tc>
      </w:tr>
      <w:tr w:rsidR="000E0C43" w14:paraId="25DE75E7" w14:textId="77777777">
        <w:trPr>
          <w:trHeight w:val="540"/>
          <w:jc w:val="center"/>
        </w:trPr>
        <w:tc>
          <w:tcPr>
            <w:tcW w:w="824" w:type="dxa"/>
            <w:vAlign w:val="center"/>
          </w:tcPr>
          <w:p w14:paraId="78E9FD03"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9</w:t>
            </w:r>
          </w:p>
        </w:tc>
        <w:tc>
          <w:tcPr>
            <w:tcW w:w="1624" w:type="dxa"/>
            <w:vAlign w:val="center"/>
          </w:tcPr>
          <w:p w14:paraId="439C52B4"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工业和信息化部 科技部 发展改革委关于2022年新能源汽车推广应用财政补贴政策的通知》（财建〔2021〕466号）</w:t>
            </w:r>
          </w:p>
        </w:tc>
        <w:tc>
          <w:tcPr>
            <w:tcW w:w="6308" w:type="dxa"/>
            <w:vAlign w:val="center"/>
          </w:tcPr>
          <w:p w14:paraId="5F1D8B8C"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t>1.</w:t>
            </w:r>
            <w:r>
              <w:rPr>
                <w:rFonts w:ascii="仿宋_GB2312" w:eastAsia="仿宋_GB2312" w:hAnsi="仿宋" w:hint="eastAsia"/>
                <w:bCs/>
                <w:color w:val="000000"/>
                <w:szCs w:val="21"/>
              </w:rPr>
              <w:t>2022年，新能源汽车补贴标准在2021年基础上退坡30%；城市公交、道路客运、出租（含网约车）、环卫、城市物流配送、邮政快递、民航机场以及党政机关公务领域符合要求的车辆，补贴标准在2021年基础上退坡20%。</w:t>
            </w:r>
          </w:p>
          <w:p w14:paraId="0B7F50A1"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本通知从2022年1月1日起实施。</w:t>
            </w:r>
          </w:p>
          <w:p w14:paraId="2E44F101"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w:t>
            </w:r>
            <w:r>
              <w:rPr>
                <w:rFonts w:ascii="仿宋_GB2312" w:eastAsia="仿宋_GB2312" w:hAnsi="仿宋"/>
                <w:bCs/>
                <w:color w:val="000000"/>
                <w:szCs w:val="21"/>
              </w:rPr>
              <w:t xml:space="preserve"> </w:t>
            </w:r>
            <w:r>
              <w:rPr>
                <w:rFonts w:ascii="仿宋_GB2312" w:eastAsia="仿宋_GB2312" w:hAnsi="仿宋" w:hint="eastAsia"/>
                <w:bCs/>
                <w:color w:val="000000"/>
                <w:szCs w:val="21"/>
              </w:rPr>
              <w:t>本通知明确的2022年新能源汽车购置补贴政策于2022年12月31日终止，2022年12月31日之后上牌的车辆不再给予补贴。</w:t>
            </w:r>
          </w:p>
        </w:tc>
      </w:tr>
      <w:tr w:rsidR="000E0C43" w14:paraId="505E4714" w14:textId="77777777">
        <w:trPr>
          <w:trHeight w:val="540"/>
          <w:jc w:val="center"/>
        </w:trPr>
        <w:tc>
          <w:tcPr>
            <w:tcW w:w="824" w:type="dxa"/>
            <w:vAlign w:val="center"/>
          </w:tcPr>
          <w:p w14:paraId="625DDDC8" w14:textId="77777777" w:rsidR="000E0C43" w:rsidRDefault="00000000">
            <w:pPr>
              <w:spacing w:line="240" w:lineRule="auto"/>
              <w:jc w:val="center"/>
              <w:rPr>
                <w:rFonts w:ascii="仿宋_GB2312" w:eastAsia="仿宋_GB2312" w:hAnsi="仿宋" w:hint="eastAsia"/>
                <w:bCs/>
                <w:color w:val="000000"/>
                <w:szCs w:val="21"/>
              </w:rPr>
            </w:pPr>
            <w:bookmarkStart w:id="0" w:name="_Hlk97189579"/>
            <w:r>
              <w:rPr>
                <w:rFonts w:ascii="仿宋_GB2312" w:eastAsia="仿宋_GB2312" w:hAnsi="仿宋" w:hint="eastAsia"/>
                <w:bCs/>
                <w:color w:val="000000"/>
                <w:szCs w:val="21"/>
              </w:rPr>
              <w:t>10</w:t>
            </w:r>
          </w:p>
        </w:tc>
        <w:tc>
          <w:tcPr>
            <w:tcW w:w="1624" w:type="dxa"/>
            <w:vAlign w:val="center"/>
          </w:tcPr>
          <w:p w14:paraId="46122AB5"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 财政部关于延续实施制造业中小微企业延缓缴纳部分税费有关事项的公告 》（国家税务总局 财</w:t>
            </w:r>
            <w:r>
              <w:rPr>
                <w:rFonts w:ascii="仿宋_GB2312" w:eastAsia="仿宋_GB2312" w:hAnsi="仿宋" w:hint="eastAsia"/>
                <w:bCs/>
                <w:color w:val="000000"/>
                <w:szCs w:val="21"/>
              </w:rPr>
              <w:lastRenderedPageBreak/>
              <w:t>政部公告2022年第2号）</w:t>
            </w:r>
          </w:p>
        </w:tc>
        <w:tc>
          <w:tcPr>
            <w:tcW w:w="6308" w:type="dxa"/>
            <w:vAlign w:val="center"/>
          </w:tcPr>
          <w:p w14:paraId="41FD2E8E"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w:t>
            </w:r>
            <w:r>
              <w:rPr>
                <w:rFonts w:hint="eastAsia"/>
              </w:rPr>
              <w:t xml:space="preserve"> </w:t>
            </w:r>
            <w:r>
              <w:rPr>
                <w:rFonts w:ascii="仿宋_GB2312" w:eastAsia="仿宋_GB2312" w:hAnsi="仿宋" w:hint="eastAsia"/>
                <w:bCs/>
                <w:color w:val="000000"/>
                <w:szCs w:val="21"/>
              </w:rPr>
              <w:t>继续延缓缴纳2021年第四季度部分税费。《国家税务总局</w:t>
            </w:r>
            <w:r>
              <w:rPr>
                <w:rFonts w:ascii="仿宋_GB2312" w:eastAsia="仿宋_GB2312" w:hAnsi="仿宋"/>
                <w:bCs/>
                <w:color w:val="000000"/>
                <w:szCs w:val="21"/>
              </w:rPr>
              <w:t> </w:t>
            </w:r>
            <w:r>
              <w:rPr>
                <w:rFonts w:ascii="仿宋_GB2312" w:eastAsia="仿宋_GB2312" w:hAnsi="仿宋" w:hint="eastAsia"/>
                <w:bCs/>
                <w:color w:val="000000"/>
                <w:szCs w:val="21"/>
              </w:rPr>
              <w:t>财政部关于制造业中小微企业延缓缴纳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年第四季度部分税费有关事项的公告》（</w:t>
            </w:r>
            <w:r>
              <w:rPr>
                <w:rFonts w:ascii="仿宋_GB2312" w:eastAsia="仿宋_GB2312" w:hAnsi="仿宋"/>
                <w:bCs/>
                <w:color w:val="000000"/>
                <w:szCs w:val="21"/>
              </w:rPr>
              <w:t>2021</w:t>
            </w:r>
            <w:r>
              <w:rPr>
                <w:rFonts w:ascii="仿宋_GB2312" w:eastAsia="仿宋_GB2312" w:hAnsi="仿宋" w:hint="eastAsia"/>
                <w:bCs/>
                <w:color w:val="000000"/>
                <w:szCs w:val="21"/>
              </w:rPr>
              <w:t>年第</w:t>
            </w:r>
            <w:r>
              <w:rPr>
                <w:rFonts w:ascii="仿宋_GB2312" w:eastAsia="仿宋_GB2312" w:hAnsi="仿宋"/>
                <w:bCs/>
                <w:color w:val="000000"/>
                <w:szCs w:val="21"/>
              </w:rPr>
              <w:t>30</w:t>
            </w:r>
            <w:r>
              <w:rPr>
                <w:rFonts w:ascii="仿宋_GB2312" w:eastAsia="仿宋_GB2312" w:hAnsi="仿宋" w:hint="eastAsia"/>
                <w:bCs/>
                <w:color w:val="000000"/>
                <w:szCs w:val="21"/>
              </w:rPr>
              <w:t>号）规定的制造业中小微企业延缓缴纳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年第四季度部分税费政策，缓缴期限继续延长</w:t>
            </w:r>
            <w:r>
              <w:rPr>
                <w:rFonts w:ascii="仿宋_GB2312" w:eastAsia="仿宋_GB2312" w:hAnsi="仿宋"/>
                <w:bCs/>
                <w:color w:val="000000"/>
                <w:szCs w:val="21"/>
              </w:rPr>
              <w:t>6</w:t>
            </w:r>
            <w:r>
              <w:rPr>
                <w:rFonts w:ascii="仿宋_GB2312" w:eastAsia="仿宋_GB2312" w:hAnsi="仿宋" w:hint="eastAsia"/>
                <w:bCs/>
                <w:color w:val="000000"/>
                <w:szCs w:val="21"/>
              </w:rPr>
              <w:t>个月。上述企业2021年第四季度延缓缴纳的税费在2022年1月1日后本公告施行前已缴纳入库的，可自愿选择申请办理退税（费）并享受延续缓缴政策。</w:t>
            </w:r>
          </w:p>
          <w:p w14:paraId="28EFDE65"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2. 延缓缴纳2022年第一季度、第二季度部分税费。</w:t>
            </w:r>
          </w:p>
          <w:p w14:paraId="1533963F"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1）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14:paraId="7717A249"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w:t>
            </w:r>
            <w:r>
              <w:rPr>
                <w:rFonts w:ascii="仿宋_GB2312" w:eastAsia="仿宋_GB2312" w:hAnsi="仿宋"/>
                <w:bCs/>
                <w:color w:val="000000"/>
                <w:szCs w:val="21"/>
              </w:rPr>
              <w:t>2</w:t>
            </w:r>
            <w:r>
              <w:rPr>
                <w:rFonts w:ascii="仿宋_GB2312" w:eastAsia="仿宋_GB2312" w:hAnsi="仿宋" w:hint="eastAsia"/>
                <w:bCs/>
                <w:color w:val="000000"/>
                <w:szCs w:val="21"/>
              </w:rPr>
              <w:t>）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14:paraId="60B9BB96" w14:textId="77777777" w:rsidR="000E0C43" w:rsidRDefault="00000000">
            <w:pPr>
              <w:pStyle w:val="af"/>
              <w:spacing w:before="0" w:beforeAutospacing="0" w:after="0" w:afterAutospacing="0"/>
            </w:pPr>
            <w:r>
              <w:rPr>
                <w:rFonts w:ascii="仿宋_GB2312" w:eastAsia="仿宋_GB2312" w:hAnsi="仿宋" w:hint="eastAsia"/>
                <w:bCs/>
                <w:color w:val="000000"/>
                <w:sz w:val="21"/>
                <w:szCs w:val="21"/>
              </w:rPr>
              <w:t>（</w:t>
            </w:r>
            <w:r>
              <w:rPr>
                <w:rFonts w:ascii="仿宋_GB2312" w:eastAsia="仿宋_GB2312" w:hAnsi="仿宋"/>
                <w:bCs/>
                <w:color w:val="000000"/>
                <w:sz w:val="21"/>
                <w:szCs w:val="21"/>
              </w:rPr>
              <w:t>3</w:t>
            </w:r>
            <w:r>
              <w:rPr>
                <w:rFonts w:ascii="仿宋_GB2312" w:eastAsia="仿宋_GB2312" w:hAnsi="仿宋" w:hint="eastAsia"/>
                <w:bCs/>
                <w:color w:val="000000"/>
                <w:sz w:val="21"/>
                <w:szCs w:val="21"/>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对于在本公告施行前已缴纳入库的所属期为2022年1月的上述税费，企业可自愿选择申请办理退税（费）并享受缓缴政策。</w:t>
            </w:r>
          </w:p>
        </w:tc>
      </w:tr>
      <w:bookmarkEnd w:id="0"/>
      <w:tr w:rsidR="000E0C43" w14:paraId="02EA8AB2" w14:textId="77777777">
        <w:trPr>
          <w:trHeight w:val="540"/>
          <w:jc w:val="center"/>
        </w:trPr>
        <w:tc>
          <w:tcPr>
            <w:tcW w:w="824" w:type="dxa"/>
            <w:vAlign w:val="center"/>
          </w:tcPr>
          <w:p w14:paraId="4BD99F16"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11</w:t>
            </w:r>
          </w:p>
        </w:tc>
        <w:tc>
          <w:tcPr>
            <w:tcW w:w="1624" w:type="dxa"/>
            <w:vAlign w:val="center"/>
          </w:tcPr>
          <w:p w14:paraId="76B8DA24"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税务总局关于延长部分税收优惠政策执行期限的公告》（财政部 税务总局公告2022年第 4 号）</w:t>
            </w:r>
          </w:p>
        </w:tc>
        <w:tc>
          <w:tcPr>
            <w:tcW w:w="6308" w:type="dxa"/>
            <w:vAlign w:val="center"/>
          </w:tcPr>
          <w:p w14:paraId="2C959E66" w14:textId="336460B4"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 科技部 教育部关于科技企业孵化器 大学科技园和众创空间税收政策的通知》（财税〔2018〕120号）、《财政部 税务总局关于继续对城市公交站场 道路客运站场 城市轨道交通系统减免城镇土地使用税优惠政策的通知》（财税〔2019〕11号）、《财政部 税务总局关于继续实行农产品批发市场 农贸市场房产税 城镇土地使用税优惠政策的通知》（财税〔2019〕12号）、《财政部 税务总局关于高校学生公寓房产税 印花税政策的通知》（财税〔2019〕14号）、《财政部 税务总局 退役军人</w:t>
            </w:r>
            <w:r w:rsidR="00F73A90">
              <w:rPr>
                <w:rFonts w:ascii="仿宋_GB2312" w:eastAsia="仿宋_GB2312" w:hAnsi="仿宋" w:hint="eastAsia"/>
                <w:bCs/>
                <w:color w:val="000000"/>
                <w:szCs w:val="21"/>
              </w:rPr>
              <w:t>事务</w:t>
            </w:r>
            <w:r>
              <w:rPr>
                <w:rFonts w:ascii="仿宋_GB2312" w:eastAsia="仿宋_GB2312" w:hAnsi="仿宋" w:hint="eastAsia"/>
                <w:bCs/>
                <w:color w:val="000000"/>
                <w:szCs w:val="21"/>
              </w:rPr>
              <w:t>部关于进一步扶持自主就业退役士兵创业就业有关税收政策的通知》（财税〔2019〕21号）、《财政部 税务总局 国家发展改革委 生态环境部关于从事污染防治的第三方企业所得税政策问题的公告》（财政部 税务总局 国家发展改革委 生态环境部公告2019年第60号）、《财政部 税务总局关于支持新型冠状病毒感染的肺炎疫情防控有关个人所得税政策的公告》（财政部 税务总局公告2020年第10号）中规定的税收优惠政策，执行期限延长至2023年12月31日。</w:t>
            </w:r>
          </w:p>
        </w:tc>
      </w:tr>
      <w:tr w:rsidR="000E0C43" w14:paraId="05B21F5A" w14:textId="77777777">
        <w:trPr>
          <w:trHeight w:val="540"/>
          <w:jc w:val="center"/>
        </w:trPr>
        <w:tc>
          <w:tcPr>
            <w:tcW w:w="824" w:type="dxa"/>
            <w:vAlign w:val="center"/>
          </w:tcPr>
          <w:p w14:paraId="7AD787C2"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12</w:t>
            </w:r>
          </w:p>
        </w:tc>
        <w:tc>
          <w:tcPr>
            <w:tcW w:w="1624" w:type="dxa"/>
            <w:vAlign w:val="center"/>
          </w:tcPr>
          <w:p w14:paraId="3980070E"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交通运输部关于调整农村客运、出租车油价补</w:t>
            </w:r>
            <w:r>
              <w:rPr>
                <w:rFonts w:ascii="仿宋_GB2312" w:eastAsia="仿宋_GB2312" w:hAnsi="仿宋" w:hint="eastAsia"/>
                <w:bCs/>
                <w:color w:val="000000"/>
                <w:szCs w:val="21"/>
              </w:rPr>
              <w:lastRenderedPageBreak/>
              <w:t>贴政策的通知》（财建〔2022〕1号）</w:t>
            </w:r>
          </w:p>
        </w:tc>
        <w:tc>
          <w:tcPr>
            <w:tcW w:w="6308" w:type="dxa"/>
            <w:vAlign w:val="center"/>
          </w:tcPr>
          <w:p w14:paraId="7F9B6BF0"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十四五”期间各省城市交通发展奖励资金涨价补贴中的30%由各地用于支持出租车加快电动化，70%由各地统筹用于支持城市交通领域新能源汽车运营。同时，各省从当地城市交通发展奖励资金中，给予本省国家公交都市建设示范城市每城市每年500万元专项</w:t>
            </w:r>
            <w:r>
              <w:rPr>
                <w:rFonts w:ascii="仿宋_GB2312" w:eastAsia="仿宋_GB2312" w:hAnsi="仿宋" w:hint="eastAsia"/>
                <w:bCs/>
                <w:color w:val="000000"/>
                <w:szCs w:val="21"/>
              </w:rPr>
              <w:lastRenderedPageBreak/>
              <w:t>奖励资金，给予本省绿色货运配送示范城市每城市每年300万元专项奖励资金，用于支持示范创建工作。</w:t>
            </w:r>
          </w:p>
          <w:p w14:paraId="0888DDD0" w14:textId="77777777" w:rsidR="000E0C43"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 xml:space="preserve">2. </w:t>
            </w:r>
            <w:r>
              <w:rPr>
                <w:rFonts w:ascii="仿宋_GB2312" w:eastAsia="仿宋_GB2312" w:hAnsi="仿宋"/>
                <w:bCs/>
                <w:color w:val="000000"/>
                <w:szCs w:val="21"/>
              </w:rPr>
              <w:t>2</w:t>
            </w:r>
            <w:r>
              <w:rPr>
                <w:rFonts w:ascii="仿宋_GB2312" w:eastAsia="仿宋_GB2312" w:hAnsi="仿宋" w:hint="eastAsia"/>
                <w:bCs/>
                <w:color w:val="000000"/>
                <w:szCs w:val="21"/>
              </w:rPr>
              <w:t>020年农村客运、出租车油价补贴政策延用2015-2019年的补贴政策，其中涨价补贴以2014年实际执行数作为基数，由地方统筹部分不低于60%，用于公共交通发展、新能源出租车和农村客运补贴、水路客运行业结构调整等。</w:t>
            </w:r>
          </w:p>
        </w:tc>
      </w:tr>
      <w:tr w:rsidR="000E0C43" w14:paraId="67CE3138" w14:textId="77777777">
        <w:trPr>
          <w:trHeight w:val="540"/>
          <w:jc w:val="center"/>
        </w:trPr>
        <w:tc>
          <w:tcPr>
            <w:tcW w:w="824" w:type="dxa"/>
            <w:vAlign w:val="center"/>
          </w:tcPr>
          <w:p w14:paraId="1D69684F"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bCs/>
                <w:color w:val="000000"/>
                <w:szCs w:val="21"/>
              </w:rPr>
              <w:lastRenderedPageBreak/>
              <w:t>1</w:t>
            </w:r>
            <w:r>
              <w:rPr>
                <w:rFonts w:ascii="仿宋_GB2312" w:eastAsia="仿宋_GB2312" w:hAnsi="仿宋" w:hint="eastAsia"/>
                <w:bCs/>
                <w:color w:val="000000"/>
                <w:szCs w:val="21"/>
              </w:rPr>
              <w:t>3</w:t>
            </w:r>
          </w:p>
        </w:tc>
        <w:tc>
          <w:tcPr>
            <w:tcW w:w="1624" w:type="dxa"/>
            <w:vAlign w:val="center"/>
          </w:tcPr>
          <w:p w14:paraId="6FD36368" w14:textId="77777777" w:rsidR="000E0C43"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税务总局关于基础设施领域不动产投资信托基金（REITs）试点税收政策的公告》（财政部 税务总局公告2022年第 3 号）</w:t>
            </w:r>
          </w:p>
        </w:tc>
        <w:tc>
          <w:tcPr>
            <w:tcW w:w="6308" w:type="dxa"/>
            <w:vAlign w:val="center"/>
          </w:tcPr>
          <w:p w14:paraId="1B997C47"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hint="eastAsia"/>
              </w:rPr>
              <w:t xml:space="preserve"> </w:t>
            </w:r>
            <w:r>
              <w:rPr>
                <w:rFonts w:ascii="仿宋_GB2312" w:eastAsia="仿宋_GB2312" w:hAnsi="仿宋" w:hint="eastAsia"/>
                <w:bCs/>
                <w:color w:val="000000"/>
                <w:szCs w:val="21"/>
              </w:rPr>
              <w:t xml:space="preserve">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 </w:t>
            </w:r>
          </w:p>
          <w:p w14:paraId="6A416E0E" w14:textId="77777777" w:rsidR="000E0C43"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原始权益人通过二级市场认购（增持）该基础设施REITs份额，按照先进先出原则认定优先处置战略配售份额。</w:t>
            </w:r>
          </w:p>
          <w:p w14:paraId="6B280D1D" w14:textId="77777777" w:rsidR="000E0C43" w:rsidRDefault="00000000">
            <w:pPr>
              <w:pStyle w:val="2"/>
              <w:spacing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 xml:space="preserve">. 本公告适用范围为证监会、发展改革委根据有关规定组织开展的基础设施REITs试点项目。 </w:t>
            </w:r>
          </w:p>
          <w:p w14:paraId="7A8BFF4D" w14:textId="77777777" w:rsidR="000E0C43" w:rsidRDefault="00000000">
            <w:pPr>
              <w:pStyle w:val="2"/>
              <w:spacing w:line="240" w:lineRule="auto"/>
              <w:ind w:leftChars="0" w:left="0" w:firstLineChars="0" w:firstLine="0"/>
            </w:pPr>
            <w:r>
              <w:rPr>
                <w:rFonts w:ascii="仿宋_GB2312" w:eastAsia="仿宋_GB2312" w:hAnsi="仿宋" w:hint="eastAsia"/>
                <w:bCs/>
                <w:color w:val="000000"/>
                <w:szCs w:val="21"/>
              </w:rPr>
              <w:t>4.本公告自2021年1月1日起实施。</w:t>
            </w:r>
          </w:p>
        </w:tc>
      </w:tr>
    </w:tbl>
    <w:p w14:paraId="6C43221C" w14:textId="77777777" w:rsidR="000E0C43" w:rsidRDefault="000E0C43"/>
    <w:p w14:paraId="6680742C" w14:textId="77777777" w:rsidR="000E0C43" w:rsidRDefault="000E0C43">
      <w:pPr>
        <w:pStyle w:val="af"/>
        <w:shd w:val="clear" w:color="auto" w:fill="FFFFFF"/>
        <w:spacing w:before="0" w:beforeAutospacing="0" w:after="0" w:afterAutospacing="0"/>
        <w:ind w:firstLine="480"/>
        <w:jc w:val="right"/>
        <w:rPr>
          <w:color w:val="333333"/>
        </w:rPr>
      </w:pPr>
    </w:p>
    <w:sectPr w:rsidR="000E0C4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CFBEE" w14:textId="77777777" w:rsidR="004A391E" w:rsidRDefault="004A391E">
      <w:pPr>
        <w:spacing w:after="0" w:line="240" w:lineRule="auto"/>
      </w:pPr>
      <w:r>
        <w:separator/>
      </w:r>
    </w:p>
  </w:endnote>
  <w:endnote w:type="continuationSeparator" w:id="0">
    <w:p w14:paraId="33717035" w14:textId="77777777" w:rsidR="004A391E" w:rsidRDefault="004A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B13A" w14:textId="77777777" w:rsidR="000E0C43" w:rsidRDefault="00000000">
    <w:pPr>
      <w:pStyle w:val="ab"/>
    </w:pPr>
    <w:r>
      <w:rPr>
        <w:noProof/>
      </w:rPr>
      <mc:AlternateContent>
        <mc:Choice Requires="wps">
          <w:drawing>
            <wp:anchor distT="0" distB="0" distL="114300" distR="114300" simplePos="0" relativeHeight="251659264" behindDoc="0" locked="0" layoutInCell="1" allowOverlap="1" wp14:anchorId="700C7ADF" wp14:editId="29D2B8AF">
              <wp:simplePos x="0" y="0"/>
              <wp:positionH relativeFrom="margin">
                <wp:align>center</wp:align>
              </wp:positionH>
              <wp:positionV relativeFrom="paragraph">
                <wp:posOffset>0</wp:posOffset>
              </wp:positionV>
              <wp:extent cx="58420" cy="254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4000"/>
                      </a:xfrm>
                      <a:prstGeom prst="rect">
                        <a:avLst/>
                      </a:prstGeom>
                      <a:noFill/>
                      <a:ln>
                        <a:noFill/>
                      </a:ln>
                    </wps:spPr>
                    <wps:txbx>
                      <w:txbxContent>
                        <w:p w14:paraId="1403D098" w14:textId="77777777" w:rsidR="000E0C43"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00C7ADF" id="_x0000_t202" coordsize="21600,21600" o:spt="202" path="m,l,21600r21600,l21600,xe">
              <v:stroke joinstyle="miter"/>
              <v:path gradientshapeok="t" o:connecttype="rect"/>
            </v:shapetype>
            <v:shape id="文本框 1" o:spid="_x0000_s1026" type="#_x0000_t202" style="position:absolute;margin-left:0;margin-top:0;width:4.6pt;height:20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" filled="f" stroked="f">
              <v:textbox style="mso-fit-shape-to-text:t" inset="0,0,0,0">
                <w:txbxContent>
                  <w:p w14:paraId="1403D098" w14:textId="77777777" w:rsidR="000E0C43"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97F82" w14:textId="77777777" w:rsidR="004A391E" w:rsidRDefault="004A391E">
      <w:pPr>
        <w:spacing w:after="0" w:line="240" w:lineRule="auto"/>
      </w:pPr>
      <w:r>
        <w:separator/>
      </w:r>
    </w:p>
  </w:footnote>
  <w:footnote w:type="continuationSeparator" w:id="0">
    <w:p w14:paraId="07A98E56" w14:textId="77777777" w:rsidR="004A391E" w:rsidRDefault="004A3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lZDJiM2FiZmY4YjE2NzIzOWM2OThlZmZhMWZjOWMifQ=="/>
  </w:docVars>
  <w:rsids>
    <w:rsidRoot w:val="00172A27"/>
    <w:rsid w:val="00022A2B"/>
    <w:rsid w:val="00025449"/>
    <w:rsid w:val="000E0C43"/>
    <w:rsid w:val="00164495"/>
    <w:rsid w:val="00172A27"/>
    <w:rsid w:val="002A5B75"/>
    <w:rsid w:val="004A391E"/>
    <w:rsid w:val="00524B54"/>
    <w:rsid w:val="00546307"/>
    <w:rsid w:val="0062630B"/>
    <w:rsid w:val="006941C1"/>
    <w:rsid w:val="00757E09"/>
    <w:rsid w:val="008A3380"/>
    <w:rsid w:val="008E2AF0"/>
    <w:rsid w:val="00A65038"/>
    <w:rsid w:val="00AA2A83"/>
    <w:rsid w:val="00AF4F7E"/>
    <w:rsid w:val="00AF7FE8"/>
    <w:rsid w:val="00BC0877"/>
    <w:rsid w:val="00EA1101"/>
    <w:rsid w:val="00F73A90"/>
    <w:rsid w:val="01211DA4"/>
    <w:rsid w:val="045715B8"/>
    <w:rsid w:val="049F129E"/>
    <w:rsid w:val="06872FD5"/>
    <w:rsid w:val="06EE2FEE"/>
    <w:rsid w:val="075431E3"/>
    <w:rsid w:val="0AA3355A"/>
    <w:rsid w:val="0BE34A16"/>
    <w:rsid w:val="104C1835"/>
    <w:rsid w:val="10772522"/>
    <w:rsid w:val="10886B42"/>
    <w:rsid w:val="10A811D1"/>
    <w:rsid w:val="111A13FF"/>
    <w:rsid w:val="11FE75E0"/>
    <w:rsid w:val="13832D81"/>
    <w:rsid w:val="13952F00"/>
    <w:rsid w:val="15FA0142"/>
    <w:rsid w:val="167A309C"/>
    <w:rsid w:val="187D1E81"/>
    <w:rsid w:val="19233C7A"/>
    <w:rsid w:val="1A3146DE"/>
    <w:rsid w:val="1BC33133"/>
    <w:rsid w:val="1D1469AE"/>
    <w:rsid w:val="1F985EDE"/>
    <w:rsid w:val="20A446A9"/>
    <w:rsid w:val="20B81B4B"/>
    <w:rsid w:val="21A844E8"/>
    <w:rsid w:val="22673666"/>
    <w:rsid w:val="23515DF1"/>
    <w:rsid w:val="23957287"/>
    <w:rsid w:val="253B55A4"/>
    <w:rsid w:val="268F3E7A"/>
    <w:rsid w:val="26B30226"/>
    <w:rsid w:val="295020B2"/>
    <w:rsid w:val="2A486B1D"/>
    <w:rsid w:val="2B2533EF"/>
    <w:rsid w:val="2D222A55"/>
    <w:rsid w:val="2D480265"/>
    <w:rsid w:val="2F2A34DD"/>
    <w:rsid w:val="2F4715B0"/>
    <w:rsid w:val="2F963013"/>
    <w:rsid w:val="300703F1"/>
    <w:rsid w:val="30AC16F3"/>
    <w:rsid w:val="32A03AAE"/>
    <w:rsid w:val="32D671EB"/>
    <w:rsid w:val="33B5651A"/>
    <w:rsid w:val="340E5403"/>
    <w:rsid w:val="340F0A54"/>
    <w:rsid w:val="34CE6EE5"/>
    <w:rsid w:val="368377DD"/>
    <w:rsid w:val="38C60702"/>
    <w:rsid w:val="395B1104"/>
    <w:rsid w:val="39B576CA"/>
    <w:rsid w:val="3A8B49B3"/>
    <w:rsid w:val="3CDC1D33"/>
    <w:rsid w:val="3ED2511B"/>
    <w:rsid w:val="3FDA0447"/>
    <w:rsid w:val="40852857"/>
    <w:rsid w:val="418B073D"/>
    <w:rsid w:val="42520354"/>
    <w:rsid w:val="43AC2EA4"/>
    <w:rsid w:val="449D459A"/>
    <w:rsid w:val="4510266E"/>
    <w:rsid w:val="454D6CF4"/>
    <w:rsid w:val="459E364D"/>
    <w:rsid w:val="46333408"/>
    <w:rsid w:val="466B5A57"/>
    <w:rsid w:val="47BC567F"/>
    <w:rsid w:val="47F832A3"/>
    <w:rsid w:val="48050DD4"/>
    <w:rsid w:val="48B86E44"/>
    <w:rsid w:val="48C22822"/>
    <w:rsid w:val="4C4579F1"/>
    <w:rsid w:val="4F5F701C"/>
    <w:rsid w:val="51BA575D"/>
    <w:rsid w:val="524C1E08"/>
    <w:rsid w:val="53B20651"/>
    <w:rsid w:val="53C64B77"/>
    <w:rsid w:val="5451614C"/>
    <w:rsid w:val="545C7FCE"/>
    <w:rsid w:val="551B434A"/>
    <w:rsid w:val="5543596A"/>
    <w:rsid w:val="568B061B"/>
    <w:rsid w:val="57355B8E"/>
    <w:rsid w:val="5A1129DB"/>
    <w:rsid w:val="5C2B2F22"/>
    <w:rsid w:val="5CCE304F"/>
    <w:rsid w:val="61430390"/>
    <w:rsid w:val="624769C3"/>
    <w:rsid w:val="6260099C"/>
    <w:rsid w:val="640D3093"/>
    <w:rsid w:val="64443E55"/>
    <w:rsid w:val="6513433C"/>
    <w:rsid w:val="65257F68"/>
    <w:rsid w:val="67A81366"/>
    <w:rsid w:val="67AE0710"/>
    <w:rsid w:val="683A6946"/>
    <w:rsid w:val="6B2667E8"/>
    <w:rsid w:val="6B514671"/>
    <w:rsid w:val="6F50704C"/>
    <w:rsid w:val="6FAD3568"/>
    <w:rsid w:val="716D6F1F"/>
    <w:rsid w:val="71845B89"/>
    <w:rsid w:val="71915413"/>
    <w:rsid w:val="727650AC"/>
    <w:rsid w:val="72D6044B"/>
    <w:rsid w:val="72E30742"/>
    <w:rsid w:val="73FC46A6"/>
    <w:rsid w:val="78655D29"/>
    <w:rsid w:val="7883171E"/>
    <w:rsid w:val="798265FB"/>
    <w:rsid w:val="79F24465"/>
    <w:rsid w:val="7C814761"/>
    <w:rsid w:val="7D626B22"/>
    <w:rsid w:val="7E44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4D815"/>
  <w15:docId w15:val="{B31DA3A4-144F-4301-84BD-5D5CF536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400" w:lineRule="exact"/>
      <w:jc w:val="both"/>
    </w:pPr>
    <w:rPr>
      <w:rFonts w:ascii="Calibri" w:hAnsi="Calibri"/>
      <w:kern w:val="2"/>
      <w:sz w:val="21"/>
      <w:szCs w:val="24"/>
    </w:rPr>
  </w:style>
  <w:style w:type="paragraph" w:styleId="1">
    <w:name w:val="heading 1"/>
    <w:basedOn w:val="a"/>
    <w:next w:val="a"/>
    <w:link w:val="10"/>
    <w:qFormat/>
    <w:pPr>
      <w:spacing w:before="100" w:beforeAutospacing="1" w:after="100" w:afterAutospacing="1" w:line="360" w:lineRule="auto"/>
      <w:jc w:val="left"/>
      <w:outlineLvl w:val="0"/>
    </w:pPr>
    <w:rPr>
      <w:rFonts w:ascii="宋体" w:hAnsi="宋体" w:hint="eastAsia"/>
      <w:b/>
      <w:kern w:val="44"/>
      <w:sz w:val="48"/>
      <w:szCs w:val="48"/>
    </w:rPr>
  </w:style>
  <w:style w:type="paragraph" w:styleId="20">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semiHidden/>
    <w:unhideWhenUsed/>
    <w:qFormat/>
    <w:pPr>
      <w:keepNext/>
      <w:keepLines/>
      <w:overflowPunct w:val="0"/>
      <w:topLinePunct/>
      <w:spacing w:before="260" w:after="260" w:line="416" w:lineRule="auto"/>
      <w:outlineLvl w:val="2"/>
    </w:pPr>
    <w:rPr>
      <w:rFonts w:ascii="Times New Roman" w:eastAsia="方正仿宋_GBK" w:hAnsi="Times New Roman"/>
      <w:b/>
      <w:bCs/>
      <w:sz w:val="32"/>
      <w:szCs w:val="32"/>
    </w:rPr>
  </w:style>
  <w:style w:type="paragraph" w:styleId="5">
    <w:name w:val="heading 5"/>
    <w:basedOn w:val="a"/>
    <w:next w:val="a0"/>
    <w:link w:val="50"/>
    <w:qFormat/>
    <w:pPr>
      <w:keepNext/>
      <w:keepLines/>
      <w:widowControl/>
      <w:overflowPunct w:val="0"/>
      <w:topLinePunct/>
      <w:spacing w:before="280" w:after="290" w:line="376" w:lineRule="auto"/>
      <w:ind w:left="1008" w:hanging="1008"/>
      <w:outlineLvl w:val="4"/>
    </w:pPr>
    <w:rPr>
      <w:rFonts w:ascii="Times New Roman" w:eastAsia="方正仿宋_GBK"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
    <w:uiPriority w:val="99"/>
    <w:unhideWhenUsed/>
    <w:qFormat/>
    <w:pPr>
      <w:ind w:firstLineChars="200" w:firstLine="420"/>
    </w:pPr>
  </w:style>
  <w:style w:type="paragraph" w:styleId="a4">
    <w:name w:val="Body Text Indent"/>
    <w:basedOn w:val="a"/>
    <w:link w:val="a5"/>
    <w:uiPriority w:val="99"/>
    <w:semiHidden/>
    <w:unhideWhenUsed/>
    <w:qFormat/>
    <w:pPr>
      <w:spacing w:after="120"/>
      <w:ind w:leftChars="200" w:left="420"/>
    </w:pPr>
  </w:style>
  <w:style w:type="paragraph" w:styleId="a0">
    <w:name w:val="Normal Indent"/>
    <w:basedOn w:val="a"/>
    <w:next w:val="a"/>
    <w:qFormat/>
    <w:pPr>
      <w:widowControl/>
      <w:overflowPunct w:val="0"/>
      <w:topLinePunct/>
      <w:spacing w:line="240" w:lineRule="auto"/>
      <w:ind w:firstLineChars="200" w:firstLine="420"/>
    </w:pPr>
    <w:rPr>
      <w:rFonts w:ascii="Times New Roman" w:eastAsia="方正仿宋_GBK" w:hAnsi="Times New Roman"/>
      <w:sz w:val="20"/>
      <w:szCs w:val="20"/>
    </w:rPr>
  </w:style>
  <w:style w:type="paragraph" w:styleId="a6">
    <w:name w:val="annotation text"/>
    <w:basedOn w:val="a"/>
    <w:uiPriority w:val="99"/>
    <w:semiHidden/>
    <w:unhideWhenUsed/>
    <w:qFormat/>
    <w:pPr>
      <w:jc w:val="left"/>
    </w:pPr>
  </w:style>
  <w:style w:type="paragraph" w:styleId="a7">
    <w:name w:val="Body Text"/>
    <w:basedOn w:val="a"/>
    <w:link w:val="a8"/>
    <w:uiPriority w:val="99"/>
    <w:semiHidden/>
    <w:unhideWhenUsed/>
    <w:qFormat/>
    <w:pPr>
      <w:spacing w:after="120"/>
    </w:p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nhideWhenUsed/>
    <w:qFormat/>
    <w:pPr>
      <w:tabs>
        <w:tab w:val="center" w:pos="4153"/>
        <w:tab w:val="right" w:pos="8306"/>
      </w:tabs>
      <w:overflowPunct w:val="0"/>
      <w:topLinePunct/>
      <w:snapToGrid w:val="0"/>
      <w:spacing w:line="240" w:lineRule="auto"/>
      <w:jc w:val="left"/>
    </w:pPr>
    <w:rPr>
      <w:rFonts w:ascii="Times New Roman" w:eastAsia="方正仿宋_GBK" w:hAnsi="Times New Roman"/>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overflowPunct w:val="0"/>
      <w:topLinePunct/>
      <w:snapToGrid w:val="0"/>
      <w:spacing w:line="240" w:lineRule="auto"/>
      <w:jc w:val="center"/>
    </w:pPr>
    <w:rPr>
      <w:rFonts w:ascii="Times New Roman" w:eastAsia="方正仿宋_GBK" w:hAnsi="Times New Roman"/>
      <w:sz w:val="18"/>
      <w:szCs w:val="18"/>
    </w:rPr>
  </w:style>
  <w:style w:type="paragraph" w:styleId="af">
    <w:name w:val="Normal (Web)"/>
    <w:basedOn w:val="a"/>
    <w:uiPriority w:val="99"/>
    <w:qFormat/>
    <w:pPr>
      <w:spacing w:before="100" w:beforeAutospacing="1" w:after="100" w:afterAutospacing="1"/>
    </w:pPr>
    <w:rPr>
      <w:sz w:val="24"/>
    </w:rPr>
  </w:style>
  <w:style w:type="character" w:styleId="af0">
    <w:name w:val="Strong"/>
    <w:basedOn w:val="a1"/>
    <w:qFormat/>
    <w:rPr>
      <w:b/>
    </w:rPr>
  </w:style>
  <w:style w:type="character" w:styleId="af1">
    <w:name w:val="FollowedHyperlink"/>
    <w:basedOn w:val="a1"/>
    <w:uiPriority w:val="99"/>
    <w:semiHidden/>
    <w:unhideWhenUsed/>
    <w:qFormat/>
    <w:rPr>
      <w:color w:val="333333"/>
      <w:u w:val="none"/>
    </w:rPr>
  </w:style>
  <w:style w:type="character" w:styleId="af2">
    <w:name w:val="Hyperlink"/>
    <w:basedOn w:val="a1"/>
    <w:uiPriority w:val="99"/>
    <w:semiHidden/>
    <w:unhideWhenUsed/>
    <w:qFormat/>
    <w:rPr>
      <w:color w:val="333333"/>
      <w:u w:val="none"/>
    </w:rPr>
  </w:style>
  <w:style w:type="character" w:styleId="af3">
    <w:name w:val="annotation reference"/>
    <w:basedOn w:val="a1"/>
    <w:uiPriority w:val="99"/>
    <w:semiHidden/>
    <w:unhideWhenUsed/>
    <w:qFormat/>
    <w:rPr>
      <w:sz w:val="21"/>
      <w:szCs w:val="21"/>
    </w:rPr>
  </w:style>
  <w:style w:type="character" w:customStyle="1" w:styleId="30">
    <w:name w:val="标题 3 字符"/>
    <w:basedOn w:val="a1"/>
    <w:link w:val="3"/>
    <w:semiHidden/>
    <w:qFormat/>
    <w:rPr>
      <w:rFonts w:eastAsia="方正仿宋_GBK"/>
      <w:b/>
      <w:bCs/>
      <w:kern w:val="2"/>
      <w:sz w:val="32"/>
      <w:szCs w:val="32"/>
    </w:rPr>
  </w:style>
  <w:style w:type="character" w:customStyle="1" w:styleId="50">
    <w:name w:val="标题 5 字符"/>
    <w:basedOn w:val="a1"/>
    <w:link w:val="5"/>
    <w:qFormat/>
    <w:rPr>
      <w:rFonts w:eastAsia="方正仿宋_GBK"/>
      <w:b/>
      <w:bCs/>
      <w:kern w:val="2"/>
      <w:sz w:val="28"/>
      <w:szCs w:val="28"/>
    </w:rPr>
  </w:style>
  <w:style w:type="character" w:customStyle="1" w:styleId="ae">
    <w:name w:val="页眉 字符"/>
    <w:basedOn w:val="a1"/>
    <w:link w:val="ad"/>
    <w:uiPriority w:val="99"/>
    <w:qFormat/>
    <w:rPr>
      <w:rFonts w:eastAsia="方正仿宋_GBK"/>
      <w:kern w:val="2"/>
      <w:sz w:val="18"/>
      <w:szCs w:val="18"/>
    </w:rPr>
  </w:style>
  <w:style w:type="character" w:customStyle="1" w:styleId="ac">
    <w:name w:val="页脚 字符"/>
    <w:basedOn w:val="a1"/>
    <w:link w:val="ab"/>
    <w:uiPriority w:val="99"/>
    <w:qFormat/>
    <w:rPr>
      <w:rFonts w:eastAsia="方正仿宋_GBK"/>
      <w:kern w:val="2"/>
      <w:sz w:val="18"/>
      <w:szCs w:val="18"/>
    </w:rPr>
  </w:style>
  <w:style w:type="character" w:customStyle="1" w:styleId="10">
    <w:name w:val="标题 1 字符"/>
    <w:basedOn w:val="a1"/>
    <w:link w:val="1"/>
    <w:qFormat/>
    <w:rPr>
      <w:rFonts w:ascii="宋体" w:hAnsi="宋体"/>
      <w:b/>
      <w:kern w:val="44"/>
      <w:sz w:val="48"/>
      <w:szCs w:val="48"/>
    </w:rPr>
  </w:style>
  <w:style w:type="character" w:customStyle="1" w:styleId="a5">
    <w:name w:val="正文文本缩进 字符"/>
    <w:basedOn w:val="a1"/>
    <w:link w:val="a4"/>
    <w:uiPriority w:val="99"/>
    <w:semiHidden/>
    <w:qFormat/>
    <w:rPr>
      <w:rFonts w:ascii="Calibri" w:hAnsi="Calibri"/>
      <w:kern w:val="2"/>
      <w:sz w:val="21"/>
      <w:szCs w:val="24"/>
    </w:rPr>
  </w:style>
  <w:style w:type="character" w:customStyle="1" w:styleId="21">
    <w:name w:val="正文文本首行缩进 2 字符"/>
    <w:basedOn w:val="a5"/>
    <w:link w:val="2"/>
    <w:uiPriority w:val="99"/>
    <w:qFormat/>
    <w:rPr>
      <w:rFonts w:ascii="Calibri" w:hAnsi="Calibri"/>
      <w:kern w:val="2"/>
      <w:sz w:val="21"/>
      <w:szCs w:val="24"/>
    </w:rPr>
  </w:style>
  <w:style w:type="character" w:customStyle="1" w:styleId="a8">
    <w:name w:val="正文文本 字符"/>
    <w:basedOn w:val="a1"/>
    <w:link w:val="a7"/>
    <w:uiPriority w:val="99"/>
    <w:semiHidden/>
    <w:qFormat/>
    <w:rPr>
      <w:rFonts w:ascii="Calibri" w:hAnsi="Calibri"/>
      <w:kern w:val="2"/>
      <w:sz w:val="21"/>
      <w:szCs w:val="24"/>
    </w:rPr>
  </w:style>
  <w:style w:type="character" w:customStyle="1" w:styleId="aa">
    <w:name w:val="日期 字符"/>
    <w:basedOn w:val="a1"/>
    <w:link w:val="a9"/>
    <w:uiPriority w:val="99"/>
    <w:semiHidden/>
    <w:qFormat/>
    <w:rPr>
      <w:rFonts w:ascii="Calibri" w:hAnsi="Calibri"/>
      <w:kern w:val="2"/>
      <w:sz w:val="21"/>
      <w:szCs w:val="24"/>
    </w:rPr>
  </w:style>
  <w:style w:type="character" w:customStyle="1" w:styleId="hao1">
    <w:name w:val="hao1"/>
    <w:basedOn w:val="a1"/>
    <w:qFormat/>
    <w:rPr>
      <w:b/>
      <w:bCs/>
    </w:rPr>
  </w:style>
  <w:style w:type="character" w:customStyle="1" w:styleId="wz">
    <w:name w:val="wz"/>
    <w:basedOn w:val="a1"/>
    <w:qFormat/>
    <w:rPr>
      <w:vanish/>
      <w:color w:val="808080"/>
    </w:rPr>
  </w:style>
  <w:style w:type="character" w:customStyle="1" w:styleId="hao12">
    <w:name w:val="hao12"/>
    <w:basedOn w:val="a1"/>
    <w:qFormat/>
    <w:rPr>
      <w:b/>
      <w:bCs/>
    </w:rPr>
  </w:style>
  <w:style w:type="paragraph" w:styleId="af4">
    <w:name w:val="List Paragraph"/>
    <w:basedOn w:val="a"/>
    <w:uiPriority w:val="99"/>
    <w:qFormat/>
    <w:pPr>
      <w:ind w:firstLineChars="200" w:firstLine="420"/>
    </w:pPr>
  </w:style>
  <w:style w:type="character" w:customStyle="1" w:styleId="on">
    <w:name w:val="on"/>
    <w:basedOn w:val="a1"/>
    <w:qFormat/>
    <w:rPr>
      <w:color w:val="333333"/>
    </w:rPr>
  </w:style>
  <w:style w:type="character" w:customStyle="1" w:styleId="gwdsnopic">
    <w:name w:val="gwds_nopic"/>
    <w:basedOn w:val="a1"/>
    <w:qFormat/>
  </w:style>
  <w:style w:type="character" w:customStyle="1" w:styleId="gwdsnopic1">
    <w:name w:val="gwds_nopic1"/>
    <w:basedOn w:val="a1"/>
    <w:qFormat/>
  </w:style>
  <w:style w:type="character" w:customStyle="1" w:styleId="gwdsnopic2">
    <w:name w:val="gwds_nopic2"/>
    <w:basedOn w:val="a1"/>
    <w:qFormat/>
  </w:style>
  <w:style w:type="character" w:customStyle="1" w:styleId="font">
    <w:name w:val="font"/>
    <w:basedOn w:val="a1"/>
    <w:qFormat/>
  </w:style>
  <w:style w:type="character" w:customStyle="1" w:styleId="font1">
    <w:name w:val="font1"/>
    <w:basedOn w:val="a1"/>
    <w:qFormat/>
  </w:style>
  <w:style w:type="character" w:customStyle="1" w:styleId="loan">
    <w:name w:val="loan"/>
    <w:basedOn w:val="a1"/>
    <w:qFormat/>
  </w:style>
  <w:style w:type="character" w:customStyle="1" w:styleId="laypagecurr">
    <w:name w:val="laypage_curr"/>
    <w:basedOn w:val="a1"/>
    <w:qFormat/>
    <w:rPr>
      <w:color w:val="FFFDF4"/>
      <w:shd w:val="clear" w:color="auto" w:fill="0B67A6"/>
    </w:rPr>
  </w:style>
  <w:style w:type="character" w:customStyle="1" w:styleId="hover13">
    <w:name w:val="hover13"/>
    <w:basedOn w:val="a1"/>
    <w:qFormat/>
    <w:rPr>
      <w:color w:val="015293"/>
    </w:rPr>
  </w:style>
  <w:style w:type="character" w:customStyle="1" w:styleId="hover12">
    <w:name w:val="hover12"/>
    <w:basedOn w:val="a1"/>
    <w:qFormat/>
    <w:rPr>
      <w:color w:val="0152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5717</Words>
  <Characters>32593</Characters>
  <Application>Microsoft Office Word</Application>
  <DocSecurity>0</DocSecurity>
  <Lines>271</Lines>
  <Paragraphs>76</Paragraphs>
  <ScaleCrop>false</ScaleCrop>
  <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Ruihua Li</dc:creator>
  <cp:lastModifiedBy>surface</cp:lastModifiedBy>
  <cp:revision>6</cp:revision>
  <dcterms:created xsi:type="dcterms:W3CDTF">2022-04-27T01:14:00Z</dcterms:created>
  <dcterms:modified xsi:type="dcterms:W3CDTF">2025-05-29T02:53:00Z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A96342FA63E640658F6BBFFFFEAD4517</vt:lpwstr>
  </property>
</Properties>
</file>