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3" w:rsidRDefault="009E2B42">
      <w:pPr>
        <w:spacing w:beforeLines="50" w:before="143" w:line="594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E05E53" w:rsidRDefault="009E2B42">
      <w:pPr>
        <w:spacing w:beforeLines="50" w:before="143" w:line="594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《国际道路货物运输车辆选型技术要求》等</w:t>
      </w:r>
      <w:r>
        <w:rPr>
          <w:rFonts w:ascii="方正小标宋简体" w:eastAsia="方正小标宋简体" w:hint="eastAsia"/>
          <w:sz w:val="32"/>
          <w:szCs w:val="32"/>
        </w:rPr>
        <w:t>7</w:t>
      </w:r>
      <w:r>
        <w:rPr>
          <w:rFonts w:ascii="方正小标宋简体" w:eastAsia="方正小标宋简体" w:hint="eastAsia"/>
          <w:sz w:val="32"/>
          <w:szCs w:val="32"/>
        </w:rPr>
        <w:t>项行业标准外文版汇总表</w:t>
      </w:r>
    </w:p>
    <w:p w:rsidR="00E05E53" w:rsidRDefault="00E05E53">
      <w:pPr>
        <w:tabs>
          <w:tab w:val="center" w:pos="7357"/>
          <w:tab w:val="left" w:pos="10705"/>
        </w:tabs>
        <w:jc w:val="left"/>
        <w:rPr>
          <w:rFonts w:ascii="方正小标宋简体" w:eastAsia="方正小标宋简体"/>
          <w:sz w:val="44"/>
          <w:szCs w:val="44"/>
        </w:rPr>
      </w:pPr>
    </w:p>
    <w:tbl>
      <w:tblPr>
        <w:tblW w:w="13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68"/>
        <w:gridCol w:w="4037"/>
        <w:gridCol w:w="6204"/>
        <w:gridCol w:w="730"/>
      </w:tblGrid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Cs w:val="21"/>
              </w:rPr>
              <w:t>行业标准外文名称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Cs w:val="21"/>
              </w:rPr>
              <w:t>语种</w:t>
            </w:r>
          </w:p>
        </w:tc>
      </w:tr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JT/T 1208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2018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国际道路货物运输车辆选型技术要求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Technical requirements for international road goods transportation vehicles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英文</w:t>
            </w:r>
          </w:p>
        </w:tc>
      </w:tr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JT/T 632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2018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汽车故障电脑诊断仪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Automotive diagnostic scan tool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英文</w:t>
            </w:r>
          </w:p>
        </w:tc>
      </w:tr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JT/T 1062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宋体" w:cs="Times New Roman"/>
                <w:kern w:val="0"/>
                <w:szCs w:val="21"/>
              </w:rPr>
              <w:t>桥梁减隔震</w:t>
            </w:r>
            <w:proofErr w:type="gramEnd"/>
            <w:r>
              <w:rPr>
                <w:rFonts w:ascii="Times New Roman" w:hAnsi="宋体" w:cs="Times New Roman"/>
                <w:kern w:val="0"/>
                <w:szCs w:val="21"/>
              </w:rPr>
              <w:t>装置通用技术条件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General technical requirements of seismic isolation devices for bridges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英文</w:t>
            </w:r>
          </w:p>
        </w:tc>
      </w:tr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JT/T 327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公路桥梁伸缩装置通用技术条件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General technical requirements of expansion and contraction installation for highway bridge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英文</w:t>
            </w:r>
          </w:p>
        </w:tc>
      </w:tr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JT/T 1037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公路桥梁结构安全监测系统技术规程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Technical specification for structural safety monitoring systems of highway bridges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英文</w:t>
            </w:r>
          </w:p>
        </w:tc>
      </w:tr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JT/T 1035.1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道路逆反射材料用玻璃珠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宋体" w:cs="Times New Roman"/>
                <w:kern w:val="0"/>
                <w:szCs w:val="21"/>
              </w:rPr>
              <w:t>部分：通则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Glass beads for road retroreflective materials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Part 1: General rules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英文</w:t>
            </w:r>
          </w:p>
        </w:tc>
      </w:tr>
      <w:tr w:rsidR="00E05E53">
        <w:tblPrEx>
          <w:tblCellMar>
            <w:top w:w="0" w:type="dxa"/>
            <w:bottom w:w="0" w:type="dxa"/>
          </w:tblCellMar>
        </w:tblPrEx>
        <w:trPr>
          <w:cantSplit/>
          <w:trHeight w:val="585"/>
          <w:tblHeader/>
          <w:jc w:val="center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JT/T 1032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雾天公路行车安全诱导装置</w:t>
            </w:r>
          </w:p>
        </w:tc>
        <w:tc>
          <w:tcPr>
            <w:tcW w:w="6204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Guiding device for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highway traffic safety in fog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05E53" w:rsidRDefault="009E2B4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英文</w:t>
            </w:r>
          </w:p>
        </w:tc>
      </w:tr>
    </w:tbl>
    <w:p w:rsidR="00E05E53" w:rsidRDefault="00E05E53"/>
    <w:sectPr w:rsidR="00E05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4" w:right="1474" w:bottom="1361" w:left="1474" w:header="851" w:footer="1191" w:gutter="0"/>
      <w:cols w:space="72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42" w:rsidRDefault="009E2B42">
      <w:r>
        <w:separator/>
      </w:r>
    </w:p>
  </w:endnote>
  <w:endnote w:type="continuationSeparator" w:id="0">
    <w:p w:rsidR="009E2B42" w:rsidRDefault="009E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Default="009E2B42">
    <w:pPr>
      <w:pStyle w:val="a6"/>
      <w:ind w:leftChars="150" w:left="31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2.8pt;margin-top:0;width:2in;height:2in;z-index:2;mso-wrap-style:none;mso-position-horizontal:outside;mso-position-horizontal-relative:margin" o:preferrelative="t" filled="f" stroked="f">
          <v:textbox style="mso-fit-shape-to-text:t" inset="0,0,0,0">
            <w:txbxContent>
              <w:p w:rsidR="00E05E53" w:rsidRDefault="009E2B42">
                <w:pPr>
                  <w:pStyle w:val="a6"/>
                  <w:ind w:leftChars="150" w:left="315" w:rightChars="150" w:right="315"/>
                  <w:rPr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B7DAD" w:rsidRPr="00AB7DAD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Default="009E2B42">
    <w:pPr>
      <w:pStyle w:val="a6"/>
      <w:ind w:leftChars="150" w:left="315" w:rightChars="150" w:right="31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2.8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E05E53" w:rsidRDefault="009E2B42">
                <w:pPr>
                  <w:pStyle w:val="a6"/>
                  <w:ind w:leftChars="150" w:left="315" w:rightChars="150" w:right="315"/>
                  <w:jc w:val="right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B7DAD" w:rsidRPr="00AB7DAD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Default="009E2B4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8pt;margin-top:0;width:2in;height:2in;z-index:3;mso-wrap-style:none;mso-position-horizontal:outside;mso-position-horizontal-relative:margin" o:preferrelative="t" filled="f" stroked="f">
          <v:textbox style="mso-fit-shape-to-text:t" inset="0,0,0,0">
            <w:txbxContent>
              <w:p w:rsidR="00E05E53" w:rsidRDefault="009E2B42">
                <w:pPr>
                  <w:pStyle w:val="a6"/>
                  <w:ind w:leftChars="150" w:left="315" w:rightChars="150" w:right="31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B7DAD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42" w:rsidRDefault="009E2B42">
      <w:r>
        <w:separator/>
      </w:r>
    </w:p>
  </w:footnote>
  <w:footnote w:type="continuationSeparator" w:id="0">
    <w:p w:rsidR="009E2B42" w:rsidRDefault="009E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Default="00E05E53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Default="00E05E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Default="00E05E53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420"/>
  <w:evenAndOddHeaders/>
  <w:drawingGridHorizontalSpacing w:val="104"/>
  <w:drawingGridVerticalSpacing w:val="144"/>
  <w:displayHorizontalDrawingGridEvery w:val="2"/>
  <w:displayVerticalDrawingGridEvery w:val="2"/>
  <w:characterSpacingControl w:val="compressPunctuation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E53"/>
    <w:rsid w:val="00677DFE"/>
    <w:rsid w:val="009E2B42"/>
    <w:rsid w:val="00AB7DAD"/>
    <w:rsid w:val="00E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BEB4F33-BBF2-4471-AF9D-63EA6F2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594" w:lineRule="exact"/>
      <w:ind w:firstLineChars="200" w:firstLine="200"/>
    </w:pPr>
    <w:rPr>
      <w:rFonts w:ascii="宋体" w:hAnsi="Courier New" w:cs="仿宋_GB2312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semiHidden/>
    <w:unhideWhenUsed/>
  </w:style>
  <w:style w:type="character" w:styleId="a9">
    <w:name w:val="FollowedHyperlink"/>
    <w:uiPriority w:val="99"/>
    <w:semiHidden/>
    <w:unhideWhenUsed/>
    <w:qFormat/>
    <w:rPr>
      <w:color w:val="993366"/>
      <w:u w:val="single"/>
    </w:rPr>
  </w:style>
  <w:style w:type="character" w:styleId="aa">
    <w:name w:val="Hyperlink"/>
    <w:uiPriority w:val="99"/>
    <w:semiHidden/>
    <w:unhideWhenUsed/>
    <w:qFormat/>
    <w:rPr>
      <w:color w:val="0066CC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xl87">
    <w:name w:val="xl8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character" w:customStyle="1" w:styleId="Char0">
    <w:name w:val="批注框文本 Char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Lenovo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2020年第  号</dc:title>
  <dc:creator>langlf</dc:creator>
  <cp:lastModifiedBy>USER</cp:lastModifiedBy>
  <cp:revision>3</cp:revision>
  <cp:lastPrinted>2020-04-03T06:13:00Z</cp:lastPrinted>
  <dcterms:created xsi:type="dcterms:W3CDTF">2020-07-09T02:30:00Z</dcterms:created>
  <dcterms:modified xsi:type="dcterms:W3CDTF">2020-07-09T02:31:00Z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