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sz w:val="36"/>
          <w:szCs w:val="36"/>
        </w:rPr>
      </w:pPr>
      <w:bookmarkStart w:id="0" w:name="_GoBack"/>
      <w:bookmarkEnd w:id="0"/>
      <w:r>
        <w:rPr>
          <w:rFonts w:ascii="方正小标宋简体" w:eastAsia="方正小标宋简体"/>
          <w:sz w:val="36"/>
          <w:szCs w:val="36"/>
        </w:rPr>
        <w:t>2022年交通运输标准化计划项目（第一批）（征求意见稿）</w:t>
      </w:r>
    </w:p>
    <w:p>
      <w:pPr>
        <w:widowControl/>
        <w:ind w:firstLine="642" w:firstLineChars="200"/>
        <w:jc w:val="left"/>
        <w:rPr>
          <w:rFonts w:ascii="楷体" w:hAnsi="楷体" w:eastAsia="楷体"/>
          <w:b/>
          <w:bCs/>
          <w:sz w:val="32"/>
          <w:szCs w:val="32"/>
        </w:rPr>
      </w:pPr>
      <w:r>
        <w:rPr>
          <w:rFonts w:hint="eastAsia" w:ascii="楷体" w:hAnsi="楷体" w:eastAsia="楷体"/>
          <w:b/>
          <w:bCs/>
          <w:sz w:val="32"/>
          <w:szCs w:val="32"/>
        </w:rPr>
        <w:t>（一）行业标准</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682"/>
        <w:gridCol w:w="2242"/>
        <w:gridCol w:w="4242"/>
        <w:gridCol w:w="826"/>
        <w:gridCol w:w="1307"/>
        <w:gridCol w:w="896"/>
        <w:gridCol w:w="899"/>
        <w:gridCol w:w="899"/>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blHeader/>
        </w:trPr>
        <w:tc>
          <w:tcPr>
            <w:tcW w:w="254" w:type="pct"/>
            <w:shd w:val="clear" w:color="auto" w:fill="auto"/>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811" w:type="pct"/>
            <w:shd w:val="clear" w:color="auto" w:fill="auto"/>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52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范围和主要技术内容</w:t>
            </w:r>
          </w:p>
        </w:tc>
        <w:tc>
          <w:tcPr>
            <w:tcW w:w="30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制修订</w:t>
            </w:r>
          </w:p>
        </w:tc>
        <w:tc>
          <w:tcPr>
            <w:tcW w:w="38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代替标准</w:t>
            </w:r>
          </w:p>
        </w:tc>
        <w:tc>
          <w:tcPr>
            <w:tcW w:w="330"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完成周期(月)</w:t>
            </w:r>
          </w:p>
        </w:tc>
        <w:tc>
          <w:tcPr>
            <w:tcW w:w="331"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指导</w:t>
            </w:r>
            <w:r>
              <w:rPr>
                <w:rFonts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司局</w:t>
            </w:r>
          </w:p>
        </w:tc>
        <w:tc>
          <w:tcPr>
            <w:tcW w:w="331"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技术归口单位</w:t>
            </w:r>
          </w:p>
        </w:tc>
        <w:tc>
          <w:tcPr>
            <w:tcW w:w="728"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主要起草单位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70"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综合客运枢纽设计规范</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拟规定综合客运枢纽的基本规定、总体设计、一体化设计、分类型枢纽设计、服务设施、信息化系统等内容。</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适用于新建、扩建和改建的综合客运枢纽设计。</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综合规划司、科技司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综合运输标委会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中南建筑设计院股份有限公司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600"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空陆联运货物交接区设施设备配置要求</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拟规定空陆联运货物交接区的构成、基本要求、设施配置和设备配置要求。</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适用于新建空陆联运货物交接区的规划、建设、运营和管理，改扩建空陆联运货物交接区参照使用。</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科技司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综合运输标委会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东方航空物流股份有限公司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交通运输行业政府网站建设规范</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现行标准规定了交通运输行业政府网站定位、规划、内容、功能、设计、技术要求、保障体系等内容。</w:t>
            </w:r>
          </w:p>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适用于各级交通运输主管部门及依法行使交通运输行政管理职权的机构的政府网站。</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主要修订内容：</w:t>
            </w:r>
            <w:r>
              <w:rPr>
                <w:rFonts w:ascii="宋体" w:hAnsi="宋体" w:eastAsia="宋体" w:cs="Arial"/>
                <w:kern w:val="0"/>
                <w:sz w:val="24"/>
                <w:szCs w:val="24"/>
              </w:rPr>
              <w:t>1）修订政府网站定位、内容、功能、设计、技术要求；2）删除政府网站规划、保障体系；3）增加政府网站建设管理原则、运维管理、安全管理。</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修订</w:t>
            </w:r>
          </w:p>
        </w:tc>
        <w:tc>
          <w:tcPr>
            <w:tcW w:w="38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907—2014</w:t>
            </w: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科技司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信息通导标委会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交通运输部科学研究院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公路管理电子证照 第1部分：超限运输车辆通行证</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拟规定超限运输车辆通行证文件要求、外观样式及信息内容。</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适用于超限运输车辆通行证电子证照的生成、数据处理、交换与共享。</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公路局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信息通导标委会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交通运输部规划研究院、中国交通通信信息中心、重庆市公路事务中心、四川省交通运输厅、山东省交通运输厅、江西省智慧交通运输事务中心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公路管理电子证照 第2部分：公路养护作业单位资质证书</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拟规定公路养护作业单位资质证书电子证照文件要求、外观样式、信息内容及编号规则。</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适用于全国公路养护作业单位资质证书电子证照的生成、数据处理、交换与共享。</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公路局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信息通导标委会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交通运输部公路科学研究所、中国交通通信信息中心、中公高科养护科技股份有限公司、北京市交通委员会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水路运输电子证照 第8部分：国内船舶管理业务经营许可证</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拟规定国内船舶管理业务经营许可证电子证照文件要求、外观样式及信息内容。</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适用于国内船舶管理业务经营许可证电子证照的生成、数据处理、交换与共享。</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水运局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信息通导标委会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中国交通通信信息中心、北京国交信通科技发展有限公司、交通运输部科学研究院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水路运输电子证照 第9部分：船舶营业运输证注销登记证明书</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拟规定船舶营业运输证注销登记证明书电子证照文件要求、外观样式及信息内容。</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适用于船舶营业运输证注销登记证明书电子证照的生成、数据处理、交换与共享。</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水运局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信息通导标委会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中国交通通信信息中心、北京国交信通科技发展有限公司、交通运输部科学研究院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水路运输电子证照 第10部分：港口经营许可证及港口危险货物作业附证</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拟规定港口经营许可证及港口危险货物作业附证电子证照文件要求、外观样式及信息内容。</w:t>
            </w:r>
          </w:p>
          <w:p>
            <w:pPr>
              <w:widowControl/>
              <w:spacing w:line="360" w:lineRule="exact"/>
              <w:jc w:val="left"/>
              <w:rPr>
                <w:rFonts w:ascii="宋体" w:hAnsi="宋体" w:eastAsia="宋体" w:cs="宋体"/>
                <w:color w:val="000000"/>
                <w:kern w:val="0"/>
                <w:sz w:val="24"/>
                <w:szCs w:val="24"/>
              </w:rPr>
            </w:pPr>
            <w:r>
              <w:rPr>
                <w:rFonts w:ascii="宋体" w:hAnsi="宋体" w:eastAsia="宋体" w:cs="Arial"/>
                <w:kern w:val="0"/>
                <w:sz w:val="24"/>
                <w:szCs w:val="24"/>
              </w:rPr>
              <w:t>适用于港口经营许可证及港口危险货物作业附证电子证照的生成、数据处理、交换与共享。</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水运局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信息通导标委会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中国交通通信信息中心、北京国交信通科技发展有限公司、交通运输部科学研究院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水路运输电子证照 第11部分：港口设施保安符合证书</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拟规定港口设施保安符合证书电子证照文件要求、外观样式及信息内容。</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适用于港口设施保安符合证书电子证照的生成、数据处理、交换与共享。</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水运局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信息通导标委会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中国交通通信信息中心、北京国交信通科技发展有限公司、交通运输部科学研究院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水路运输电子证照 第12部分：危险化学品水路运输从业资格证书</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拟规定危险化学品水路运输从业资格证书（危险化学品港口经营人的装卸管理人员）电子证照的文件要求、外观样式及信息内容。</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适用于危险化学品水路运输从业资格证书电子证照的生成、数据处理、交换与共享。</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水运局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信息通导标委会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中国交通通信信息中心、北京国交信通科技发展有限公司、交通运输部科学研究院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内河船舶导航雷达 第1部分：性能要求</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现行标准的本部分规定了内河船舶导航雷达整体性能、分机性能、操作和控制、接口功能等要求。</w:t>
            </w:r>
          </w:p>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适用于航行在内河干流内的客船（客货船）、货船、油船、拖船、航道工作船等各类船舶所配备的雷达。</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主要修订内容：1）修订测距精度具体数值、雷达平均无故障工作间的具体数值、显示屏的类型等内容；2）增加雷达独立天线独立开关、显示器的显示方式以及相关接口功能等内容。</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修订</w:t>
            </w:r>
          </w:p>
        </w:tc>
        <w:tc>
          <w:tcPr>
            <w:tcW w:w="38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681.1—2007</w:t>
            </w: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海事局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信息通导标委会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中国交通通信信息中心、武汉理工大学、集美大学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内河船舶导航雷达 第2部分：实船性能试验方法</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现行标准的本部分规定了内河船舶导航雷达实船（或趸船）使用性能试验方法和数据处理规则。</w:t>
            </w:r>
          </w:p>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适用于内河船舶雷达（包括新安装和大修后的雷达）使用性能的检测。</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主要修订内容：</w:t>
            </w:r>
            <w:r>
              <w:rPr>
                <w:rFonts w:ascii="宋体" w:hAnsi="宋体" w:eastAsia="宋体" w:cs="Arial"/>
                <w:kern w:val="0"/>
                <w:sz w:val="24"/>
                <w:szCs w:val="24"/>
              </w:rPr>
              <w:t>1）修订并完善试验仪器设备中测量工具的规定；2）修订并完善雷达反射器的规定；3）增加测量精度中测试目标的种类；4）修订距离分辨力试验时测量量程的置值；5）修订“雷达荧光屏”的类型。</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修订</w:t>
            </w:r>
          </w:p>
        </w:tc>
        <w:tc>
          <w:tcPr>
            <w:tcW w:w="38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681.2—2007</w:t>
            </w: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海事局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信息通导标委会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中国交通通信信息中心、武汉理工大学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20"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预约型农村客运服务规范</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拟规定预约型农村客运服务客运车辆、驾驶员服务、经营者服务、安全管理与服务投诉等要求。</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适用于预约型农村客运服务。</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18</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运输服务司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道路运输标委会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交通运输部科学研究院、江苏纬信工程咨询有限公司、贵州通村村科技发展有限公司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道路货物运输网络平台服务规范</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拟规定道路货物运输网络平台的平台功能、实际承运人审核、服务流程及要求、安全管理、应急与处置、网络安全与信息管理、风险管理与隐患排查、安全事故事件投诉处理、服务评价指标等。</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适用于道路货物运输网络平台的经营服务。</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lang w:val="en"/>
              </w:rPr>
            </w:pPr>
          </w:p>
        </w:tc>
        <w:tc>
          <w:tcPr>
            <w:tcW w:w="330" w:type="pct"/>
            <w:vAlign w:val="center"/>
          </w:tcPr>
          <w:p>
            <w:pPr>
              <w:widowControl/>
              <w:spacing w:line="360" w:lineRule="exact"/>
              <w:jc w:val="center"/>
              <w:rPr>
                <w:rFonts w:ascii="宋体" w:hAnsi="宋体" w:eastAsia="宋体" w:cs="宋体"/>
                <w:color w:val="000000"/>
                <w:kern w:val="0"/>
                <w:sz w:val="24"/>
                <w:szCs w:val="24"/>
                <w:lang w:val="en"/>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运输服务司</w:t>
            </w:r>
          </w:p>
        </w:tc>
        <w:tc>
          <w:tcPr>
            <w:tcW w:w="331" w:type="pct"/>
            <w:vAlign w:val="center"/>
          </w:tcPr>
          <w:p>
            <w:pPr>
              <w:widowControl/>
              <w:spacing w:line="360" w:lineRule="exact"/>
              <w:jc w:val="center"/>
              <w:rPr>
                <w:rFonts w:ascii="宋体" w:hAnsi="宋体" w:eastAsia="宋体" w:cs="宋体"/>
                <w:color w:val="000000"/>
                <w:kern w:val="0"/>
                <w:sz w:val="24"/>
                <w:szCs w:val="24"/>
                <w:lang w:val="en"/>
              </w:rPr>
            </w:pPr>
            <w:r>
              <w:rPr>
                <w:rFonts w:hint="eastAsia" w:ascii="宋体" w:hAnsi="宋体" w:eastAsia="宋体" w:cs="Arial"/>
                <w:kern w:val="0"/>
                <w:sz w:val="24"/>
                <w:szCs w:val="24"/>
              </w:rPr>
              <w:t>道路运输标委会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交通运输部科学研究院、洛阳市道路运输服务中心、河南省运输事业发展中心、天津市交通运输综合行政执法总队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教练车智能辅助教学系统技术条件</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拟规定教练车智能辅助教学系统的基本要求、功能要求、性能要求、试验方法、安装要求、检验规则及包装、运输和储存。</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适用于教练车智能辅助教学系统的研制、验收与交付，以及用户的选型采购。</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18</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运输服务司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道路运输标委会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60"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危险货物道路运输安全事故应急预案编制要求</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现行标准规定了危险货物道路运输企业运输事故应急预案的编制步骤、预案内容以及文本格式与要求。</w:t>
            </w:r>
          </w:p>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适用于指导危险货物运输企业编制危险货物运输过程中的事故应急预案。</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主要修订内容：修改危险货物道路运输企业危险货物道路运输安全事故应急预案的编制程序、体系构成和综合应急预案、专项预案和现场处置方案等。</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修订</w:t>
            </w:r>
          </w:p>
        </w:tc>
        <w:tc>
          <w:tcPr>
            <w:tcW w:w="38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911—2014</w:t>
            </w: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运输服务司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道路运输标委会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北京交通大学、天津市交通运输综合行政执法总队、林德（中国）投资有限公司、天津港琪物流有限公司、人民交通出版社股份有限公司、交通运输部公路科学研究所、吉林化工学院、中国铁道科学研究院集团有限公司、新奥能源物流有限公司、中国石油运输有限公司北京华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城市轨道交通运营设备维修与更新技术规范 第5部分：通信</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拟规定城市轨道交通运营通信设备的维修、更新改造和设备评估要求。</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适用于地铁和轻轨等城市轨道交通通信设备的维修与更新工作，单轨、有轨电车、磁浮等通信设备可参照使用。</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运输服务司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城市客运标委会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广州地铁集团有限公司、交通运输部科学研究院、上海申通地铁集团有限公司、北京市地铁运营有限公司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城市轨道交通运营设备维修与更新技术规范 第6部分：站台门</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拟规定城市轨道交通站台门系统设备维修与更新的技术要求和一般管理要求。</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适用于地铁、轻轨、有轨电车线路车站站台门系统设备的维修保养与更新改造。</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运输服务司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城市客运标委会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上海申通地铁集团有限公司、交通运输部科学研究院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城市公共汽电车运营安全管理规范</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现行标准规定了城市公共汽电车运营安全管理的总体要求、基本内容、驾乘人员行车安全管理、车辆安全管理、线路场站安全管理及突发事件应急处置。</w:t>
            </w:r>
          </w:p>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适用于城市公共汽电车运营安全管理工作。</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主要修订内容：</w:t>
            </w:r>
            <w:r>
              <w:rPr>
                <w:rFonts w:ascii="宋体" w:hAnsi="宋体" w:eastAsia="宋体" w:cs="Arial"/>
                <w:kern w:val="0"/>
                <w:sz w:val="24"/>
                <w:szCs w:val="24"/>
              </w:rPr>
              <w:t>1）增加安全责任体系；2）修订并完善相关人员安全管理要求；3）修订并完善运营车辆安全性能等要求；4）增加纯电动公共汽车充电站设计等要求；5）增加车辆涉水后检测要求；6）修订线路场站内设施要求；7）修订线路场站安全停车场管理要求；8）增加充电站值班管理制度等要求；9）增加风险分级管控要求、隐患排查治理要求；10）修订突发事件应急管理要求。</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修订</w:t>
            </w:r>
          </w:p>
        </w:tc>
        <w:tc>
          <w:tcPr>
            <w:tcW w:w="38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1156—2017</w:t>
            </w: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运输服务司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城市客运标委会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北京航空航天大学、交通运输部科学研究院、济南市城市交通研究中心有限公司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车轮定位仪</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现行标准规定了前轮定位仪的术语和定义、技术要求、试验方法、检验规则、标志与使用说明书、包装、运输和贮存。</w:t>
            </w:r>
          </w:p>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适用于检测汽车前轮定位的仪器。</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主要修订内容：拟增加产品检测范围，增加车桥、非转向轮等的检测要求。</w:t>
            </w:r>
            <w:r>
              <w:rPr>
                <w:rFonts w:ascii="宋体" w:hAnsi="宋体" w:eastAsia="宋体" w:cs="Arial"/>
                <w:kern w:val="0"/>
                <w:sz w:val="24"/>
                <w:szCs w:val="24"/>
              </w:rPr>
              <w:t>1）修订并完善测试环境及设备的要求；2）增加总前束、最大转向角、转向角差、车桥偏斜、多桥不平行度、车桥偏置、推力角、非转向车轮外倾角等的测试技术要求。</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修订</w:t>
            </w:r>
          </w:p>
        </w:tc>
        <w:tc>
          <w:tcPr>
            <w:tcW w:w="38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504—2004</w:t>
            </w:r>
          </w:p>
        </w:tc>
        <w:tc>
          <w:tcPr>
            <w:tcW w:w="330" w:type="pct"/>
            <w:shd w:val="clear" w:color="auto" w:fill="auto"/>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运输服务司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汽车维修标委会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吉林大学、深圳市东智科技发展有限公司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40"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汽车维修工时定额核定方法</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拟规定汽车维修工时定额的核定原则、构成及核定方法等内容。</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适用于汽车维修行业、企业和管理部门编制汽车维修工时定额以及整车维修企业和发动机、自动变速器、轮胎、汽车玻璃等专项维修业户对机电维修、钣金和涂装作业工作量的核算。</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运输服务司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汽车维修标委会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中国汽车维修行业协会、《汽车维护与修理》杂志社、交通运输部公路科学研究所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汽车车身涂装作业安全及环境保护要求</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拟规定汽车车身涂装修复的作业人员、作业场所、作业过程等的安全、环境保护以及职业健康的要求。</w:t>
            </w:r>
          </w:p>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适用于具备从事汽车车身涂装修复作业的一类、二类汽车维修企业和单独从事汽车车身涂装修复的经营者。</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不适用于油罐车、化学品运输车等危险品运输车辆的车身修复涂装。</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lang w:val="en"/>
              </w:rPr>
            </w:pPr>
          </w:p>
        </w:tc>
        <w:tc>
          <w:tcPr>
            <w:tcW w:w="330" w:type="pct"/>
            <w:vAlign w:val="center"/>
          </w:tcPr>
          <w:p>
            <w:pPr>
              <w:widowControl/>
              <w:spacing w:line="360" w:lineRule="exact"/>
              <w:jc w:val="center"/>
              <w:rPr>
                <w:rFonts w:ascii="宋体" w:hAnsi="宋体" w:eastAsia="宋体" w:cs="宋体"/>
                <w:color w:val="000000"/>
                <w:kern w:val="0"/>
                <w:sz w:val="24"/>
                <w:szCs w:val="24"/>
                <w:lang w:val="en"/>
              </w:rPr>
            </w:pPr>
            <w:r>
              <w:rPr>
                <w:rFonts w:ascii="宋体" w:hAnsi="宋体" w:eastAsia="宋体" w:cs="Arial"/>
                <w:kern w:val="0"/>
                <w:sz w:val="24"/>
                <w:szCs w:val="24"/>
              </w:rPr>
              <w:t>18</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运输服务司</w:t>
            </w:r>
          </w:p>
        </w:tc>
        <w:tc>
          <w:tcPr>
            <w:tcW w:w="331" w:type="pct"/>
            <w:vAlign w:val="center"/>
          </w:tcPr>
          <w:p>
            <w:pPr>
              <w:widowControl/>
              <w:spacing w:line="360" w:lineRule="exact"/>
              <w:jc w:val="center"/>
              <w:rPr>
                <w:rFonts w:ascii="宋体" w:hAnsi="宋体" w:eastAsia="宋体" w:cs="宋体"/>
                <w:color w:val="000000"/>
                <w:kern w:val="0"/>
                <w:sz w:val="24"/>
                <w:szCs w:val="24"/>
                <w:lang w:val="en"/>
              </w:rPr>
            </w:pPr>
            <w:r>
              <w:rPr>
                <w:rFonts w:hint="eastAsia" w:ascii="宋体" w:hAnsi="宋体" w:eastAsia="宋体" w:cs="Arial"/>
                <w:kern w:val="0"/>
                <w:sz w:val="24"/>
                <w:szCs w:val="24"/>
              </w:rPr>
              <w:t>汽车维修标委会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徐州市汽车学会、交通运输部公路科学研究所、徐州市交通运输局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客车用半导体式低压配电设备技术条件</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拟规定客车用基于半导体技术的低压电源配电设备的功能要求、技术要求和试验方法。</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适用于客车用基于半导体技术的低压电源配电设备。其他车用基于半导体技术的低压电力分配设备及电源控制设备参照使用。</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运输服务司</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客车分委会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郑州森鹏电子技术有限公司、中国公路车辆机械有限公司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路面加热型密封胶</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现行标准规定了路面加热型密封胶的分类、技术要求、试验方法、检验规则及标志、包装、运输和储存。</w:t>
            </w:r>
          </w:p>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适用于沥青路面裂缝修补和水泥路面填缝用的加热型改性沥青封缝材料。</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主要修订内容：</w:t>
            </w:r>
            <w:r>
              <w:rPr>
                <w:rFonts w:ascii="宋体" w:hAnsi="宋体" w:eastAsia="宋体" w:cs="Arial"/>
                <w:kern w:val="0"/>
                <w:sz w:val="24"/>
                <w:szCs w:val="24"/>
              </w:rPr>
              <w:t>1）增加黏度指标技术要求及试验方法；2）增加灰分指标技术要求及试验方法；3）增加老化指标技术要求及试验方法。</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修订</w:t>
            </w:r>
          </w:p>
        </w:tc>
        <w:tc>
          <w:tcPr>
            <w:tcW w:w="38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740—2015</w:t>
            </w: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公路局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交通工程标委会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公路LED照明灯具 第2部分：公路隧道LED照明灯具</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现行标准规定了公路隧道</w:t>
            </w:r>
            <w:r>
              <w:rPr>
                <w:rFonts w:ascii="宋体" w:hAnsi="宋体" w:eastAsia="宋体" w:cs="Arial"/>
                <w:kern w:val="0"/>
                <w:sz w:val="24"/>
                <w:szCs w:val="24"/>
              </w:rPr>
              <w:t>LED照明灯具的组成、分类与型号、技术要求、试验方法、检验规则以及标志、包装、运输和储存</w:t>
            </w:r>
            <w:r>
              <w:rPr>
                <w:rFonts w:hint="eastAsia" w:ascii="宋体" w:hAnsi="宋体" w:eastAsia="宋体" w:cs="Arial"/>
                <w:kern w:val="0"/>
                <w:sz w:val="24"/>
                <w:szCs w:val="24"/>
              </w:rPr>
              <w:t>。</w:t>
            </w:r>
          </w:p>
          <w:p>
            <w:pPr>
              <w:widowControl/>
              <w:spacing w:line="360" w:lineRule="exact"/>
              <w:jc w:val="left"/>
              <w:rPr>
                <w:rFonts w:ascii="宋体" w:hAnsi="宋体" w:eastAsia="宋体" w:cs="Arial"/>
                <w:kern w:val="0"/>
                <w:sz w:val="24"/>
                <w:szCs w:val="24"/>
              </w:rPr>
            </w:pPr>
            <w:r>
              <w:rPr>
                <w:rFonts w:ascii="宋体" w:hAnsi="宋体" w:eastAsia="宋体" w:cs="Arial"/>
                <w:kern w:val="0"/>
                <w:sz w:val="24"/>
                <w:szCs w:val="24"/>
              </w:rPr>
              <w:t>适用于公路隧道LED照明灯具，其他隧道照明灯具可参照使用。</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主要修订内容：</w:t>
            </w:r>
            <w:r>
              <w:rPr>
                <w:rFonts w:ascii="宋体" w:hAnsi="宋体" w:eastAsia="宋体" w:cs="Arial"/>
                <w:kern w:val="0"/>
                <w:sz w:val="24"/>
                <w:szCs w:val="24"/>
              </w:rPr>
              <w:t>1）修订灯具初始光效、显色指数、功率因数等指标的技术要求；2）修订允许的灯具相关色温范围，并增加色温可调的LED照明灯具的分类和技术要求；3）修订灯具耐久性要求，提高对光通量维持率、开关试验等技术指标要求；4）修订并完善电磁兼容性、环境适应性等技术要求的试验方法；5）删除试验开始前的老炼试验要求，在保证结果可靠性的前提下提高测试效率。</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修订</w:t>
            </w:r>
          </w:p>
        </w:tc>
        <w:tc>
          <w:tcPr>
            <w:tcW w:w="38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939.2—2014</w:t>
            </w: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公路局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交通工程标委会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中路高科交通检测检验认证有限公司、交通运输部公路科学研究所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悬索桥索鞍索夹</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现行标准规定了悬索桥索鞍、索夹产品的分类、型号、结构及成形方式、技术要求、试验方法、检验规则、标志、包装、运输与储存等。</w:t>
            </w:r>
          </w:p>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适用于悬索桥全铸式、铸焊式索鞍和全铸式索夹，其它形式的索鞍、索夹可参照使用。</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主要修订内容：</w:t>
            </w:r>
            <w:r>
              <w:rPr>
                <w:rFonts w:ascii="宋体" w:hAnsi="宋体" w:eastAsia="宋体" w:cs="Arial"/>
                <w:kern w:val="0"/>
                <w:sz w:val="24"/>
                <w:szCs w:val="24"/>
              </w:rPr>
              <w:t>1）更新引用的标准、规范；2）增加索鞍的结构形式附图、索鞍的材料牌号和拉杆达克罗防护处理的要求；3）调整拉杆的磁粉探伤、渗透探伤的引用标准；4）修改索鞍铸钢件与钢板的焊缝超声波探伤的引用标准；5）删除偏摆试验中规避试验的条款。</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修订</w:t>
            </w:r>
          </w:p>
        </w:tc>
        <w:tc>
          <w:tcPr>
            <w:tcW w:w="38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903—2014</w:t>
            </w: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公路局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交通工程标委会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中交公路规划设计院有限公司、武汉船用机械有限责任公司、德阳天元重工股份有限公司、武汉国检检测技术有限公司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公路隧道火灾报警系统技术条件</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现行标准规定了公路隧道火灾报警系统的设备配置、技术要求和试验方法。</w:t>
            </w:r>
          </w:p>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适用于公路隧道火灾报警系统。</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主要修订内容：</w:t>
            </w:r>
            <w:r>
              <w:rPr>
                <w:rFonts w:ascii="宋体" w:hAnsi="宋体" w:eastAsia="宋体" w:cs="Arial"/>
                <w:kern w:val="0"/>
                <w:sz w:val="24"/>
                <w:szCs w:val="24"/>
              </w:rPr>
              <w:t>1）增加火灾水平探测距离的定义及其技术要求；2）增加火灾报警系统产品分类、系统组件要求；3）增加移动火源报警技术要求及试验要求；4）修订系统功能要求，增加点型火焰探测器系统、图像型火灾探测器系统、线型感温火灾探测器系统功能要求；5）修订系统软件要求。</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修订</w:t>
            </w:r>
          </w:p>
        </w:tc>
        <w:tc>
          <w:tcPr>
            <w:tcW w:w="38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610—2004</w:t>
            </w: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公路局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交通工程标委会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招商局重庆交通科研设计院有限公司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40"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散粮港口作业减损技术要求</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拟规定散粮港口作业减损的一般要求、装卸作业技术要求及仓储作业技术要求。</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适用于为散粮运输提供装卸、仓储作业的港口码头。</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水运局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港口标委会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广州港集团有限公司、交通运输部水运科学研究所、辽宁港口集团有限公司、连云港港口控股集团有限公司、广州港研究院有限公司、中央储备粮广东新沙港直属库有限公司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基于区块链的港航集装箱信息交换平台及接口技术要求</w:t>
            </w:r>
          </w:p>
        </w:tc>
        <w:tc>
          <w:tcPr>
            <w:tcW w:w="152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拟规定区块链港航信息交换平台的总体要求、技术要求和接口描述等。</w:t>
            </w:r>
          </w:p>
          <w:p>
            <w:pPr>
              <w:widowControl/>
              <w:spacing w:line="360" w:lineRule="exact"/>
              <w:jc w:val="left"/>
              <w:rPr>
                <w:rFonts w:ascii="宋体" w:hAnsi="宋体" w:eastAsia="宋体" w:cs="Arial"/>
                <w:kern w:val="0"/>
                <w:sz w:val="24"/>
                <w:szCs w:val="24"/>
              </w:rPr>
            </w:pPr>
            <w:r>
              <w:rPr>
                <w:rFonts w:hint="eastAsia" w:ascii="宋体" w:hAnsi="宋体" w:eastAsia="宋体" w:cs="宋体"/>
                <w:color w:val="000000"/>
                <w:kern w:val="0"/>
                <w:sz w:val="24"/>
                <w:szCs w:val="24"/>
              </w:rPr>
              <w:t>适用于基于区块链的港航集装箱信息交换平台及接口的设计和应用</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Arial"/>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水运局</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港口标委会</w:t>
            </w:r>
          </w:p>
        </w:tc>
        <w:tc>
          <w:tcPr>
            <w:tcW w:w="728"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中远海运集装箱运输有限公司、交通运输部水运科学研究所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区块链电子提单数据交互及业务流程</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拟规定区块链电子提单数据交互的总体要求、业务流程和数据交互要求等。</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适用于区块链电子提单应用。</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水运局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内河船标委会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中远海运集装箱运输有限公司、交通运输部水运科学研究所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海上风电安装船安全作业要求</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拟规定海上风电安装船施工过程的一般安全要求，吊装作业、人员转移、升降作业、坐底作业、半潜作业、定位作业、拖航作业、和应急处置等安全作业要求。</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适用于从事海上风电安装船作业或管理的单位及人员。</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海事局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航海安全标委会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交通运输部水运科学研究所、江苏龙源振华海洋工程有限公司、中海石油环保服务（天津）有限公司、武汉欣海远航科技研发有限公司、广州精铟海洋技术服务有限公司、上海能源科技发展有限公司、山东海洋能源有限公司、江苏海事局、中国船级社海洋工程技术中心、武汉理工大学、集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船舶固定式二氧化碳灭火系统操作规程</w:t>
            </w:r>
          </w:p>
        </w:tc>
        <w:tc>
          <w:tcPr>
            <w:tcW w:w="1525" w:type="pct"/>
            <w:vAlign w:val="center"/>
          </w:tcPr>
          <w:p>
            <w:pPr>
              <w:widowControl/>
              <w:spacing w:line="360" w:lineRule="exact"/>
              <w:jc w:val="left"/>
              <w:rPr>
                <w:rFonts w:ascii="宋体" w:hAnsi="宋体" w:eastAsia="宋体" w:cs="Arial"/>
                <w:kern w:val="0"/>
                <w:sz w:val="24"/>
                <w:szCs w:val="24"/>
              </w:rPr>
            </w:pPr>
            <w:r>
              <w:rPr>
                <w:rFonts w:ascii="宋体" w:hAnsi="宋体" w:eastAsia="宋体" w:cs="Arial"/>
                <w:kern w:val="0"/>
                <w:sz w:val="24"/>
                <w:szCs w:val="24"/>
              </w:rPr>
              <w:t>拟规定船舶海船固定式二氧化碳灭火系统日常管理和使用过程中的操作规程，包括一般要求、灭火剂注入其保护舱室时间要求、机器处所灭火操作、货舱灭火操作的一般要求、车辆舱和滚装货舱灭火的特殊要求、检查时意外释放应急、系统设备的日常检查维护、培训与演习。</w:t>
            </w:r>
          </w:p>
          <w:p>
            <w:pPr>
              <w:widowControl/>
              <w:spacing w:line="360" w:lineRule="exact"/>
              <w:jc w:val="left"/>
              <w:rPr>
                <w:rFonts w:ascii="宋体" w:hAnsi="宋体" w:eastAsia="宋体" w:cs="宋体"/>
                <w:color w:val="000000"/>
                <w:kern w:val="0"/>
                <w:sz w:val="24"/>
                <w:szCs w:val="24"/>
              </w:rPr>
            </w:pPr>
            <w:r>
              <w:rPr>
                <w:rFonts w:ascii="宋体" w:hAnsi="宋体" w:eastAsia="宋体" w:cs="Arial"/>
                <w:kern w:val="0"/>
                <w:sz w:val="24"/>
                <w:szCs w:val="24"/>
              </w:rPr>
              <w:t>适用于配有固定式二氧化碳灭火系统的中国籍海船。</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海事局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航海安全标委会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大连海事大学、山东海事局、中国船级社实业公司、青岛海事局、中国船级社青岛分社、青岛荣航船舶服务有限公司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海上无线电气象传真图及数据格式规范</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拟规定海上无线电气象传真业务的内容、海上无线电气象传真图规范及其代码说明等技术要求。</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适用于制作海上无线电气象传真图、海上无线电气象传真播发。</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lang w:val="en"/>
              </w:rPr>
            </w:pPr>
          </w:p>
        </w:tc>
        <w:tc>
          <w:tcPr>
            <w:tcW w:w="330" w:type="pct"/>
            <w:vAlign w:val="center"/>
          </w:tcPr>
          <w:p>
            <w:pPr>
              <w:widowControl/>
              <w:spacing w:line="360" w:lineRule="exact"/>
              <w:jc w:val="center"/>
              <w:rPr>
                <w:rFonts w:ascii="宋体" w:hAnsi="宋体" w:eastAsia="宋体" w:cs="宋体"/>
                <w:color w:val="000000"/>
                <w:kern w:val="0"/>
                <w:sz w:val="24"/>
                <w:szCs w:val="24"/>
                <w:lang w:val="en"/>
              </w:rPr>
            </w:pPr>
            <w:r>
              <w:rPr>
                <w:rFonts w:ascii="宋体" w:hAnsi="宋体" w:eastAsia="宋体" w:cs="Arial"/>
                <w:kern w:val="0"/>
                <w:sz w:val="24"/>
                <w:szCs w:val="24"/>
              </w:rPr>
              <w:t>18</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海事局</w:t>
            </w:r>
          </w:p>
        </w:tc>
        <w:tc>
          <w:tcPr>
            <w:tcW w:w="331" w:type="pct"/>
            <w:vAlign w:val="center"/>
          </w:tcPr>
          <w:p>
            <w:pPr>
              <w:widowControl/>
              <w:spacing w:line="360" w:lineRule="exact"/>
              <w:jc w:val="center"/>
              <w:rPr>
                <w:rFonts w:ascii="宋体" w:hAnsi="宋体" w:eastAsia="宋体" w:cs="宋体"/>
                <w:color w:val="000000"/>
                <w:kern w:val="0"/>
                <w:sz w:val="24"/>
                <w:szCs w:val="24"/>
                <w:lang w:val="en"/>
              </w:rPr>
            </w:pPr>
            <w:r>
              <w:rPr>
                <w:rFonts w:hint="eastAsia" w:ascii="宋体" w:hAnsi="宋体" w:eastAsia="宋体" w:cs="Arial"/>
                <w:kern w:val="0"/>
                <w:sz w:val="24"/>
                <w:szCs w:val="24"/>
              </w:rPr>
              <w:t>航测标委会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交通运输部南海航海保障中心、北京金交信息通信导航设计院、大连海事大学、交通运输部东海航海保障中心、广东省气象台</w:t>
            </w:r>
            <w:r>
              <w:rPr>
                <w:rFonts w:ascii="宋体" w:hAnsi="宋体" w:eastAsia="宋体" w:cs="Arial"/>
                <w:kern w:val="0"/>
                <w:sz w:val="24"/>
                <w:szCs w:val="24"/>
              </w:rPr>
              <w:t>(南海海洋气象预报中心) 、上海海洋中心气象台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奈伏泰斯系统播发格式规范</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拟规定奈伏泰斯</w:t>
            </w:r>
            <w:r>
              <w:rPr>
                <w:rFonts w:ascii="宋体" w:hAnsi="宋体" w:eastAsia="宋体" w:cs="Arial"/>
                <w:kern w:val="0"/>
                <w:sz w:val="24"/>
                <w:szCs w:val="24"/>
              </w:rPr>
              <w:t>电报电文报头格式，奈伏泰斯信号技术格式，中文</w:t>
            </w:r>
            <w:r>
              <w:rPr>
                <w:rFonts w:hint="eastAsia" w:ascii="宋体" w:hAnsi="宋体" w:eastAsia="宋体" w:cs="Arial"/>
                <w:kern w:val="0"/>
                <w:sz w:val="24"/>
                <w:szCs w:val="24"/>
              </w:rPr>
              <w:t>奈伏泰斯</w:t>
            </w:r>
            <w:r>
              <w:rPr>
                <w:rFonts w:ascii="宋体" w:hAnsi="宋体" w:eastAsia="宋体" w:cs="Arial"/>
                <w:kern w:val="0"/>
                <w:sz w:val="24"/>
                <w:szCs w:val="24"/>
              </w:rPr>
              <w:t>电报电文类别标识码，建立中英文</w:t>
            </w:r>
            <w:r>
              <w:rPr>
                <w:rFonts w:hint="eastAsia" w:ascii="宋体" w:hAnsi="宋体" w:eastAsia="宋体" w:cs="Arial"/>
                <w:kern w:val="0"/>
                <w:sz w:val="24"/>
                <w:szCs w:val="24"/>
              </w:rPr>
              <w:t>奈伏泰斯</w:t>
            </w:r>
            <w:r>
              <w:rPr>
                <w:rFonts w:ascii="宋体" w:hAnsi="宋体" w:eastAsia="宋体" w:cs="Arial"/>
                <w:kern w:val="0"/>
                <w:sz w:val="24"/>
                <w:szCs w:val="24"/>
              </w:rPr>
              <w:t>电报电文格式代码说明表</w:t>
            </w:r>
            <w:r>
              <w:rPr>
                <w:rFonts w:hint="eastAsia" w:ascii="宋体" w:hAnsi="宋体" w:eastAsia="宋体" w:cs="Arial"/>
                <w:kern w:val="0"/>
                <w:sz w:val="24"/>
                <w:szCs w:val="24"/>
              </w:rPr>
              <w:t>。</w:t>
            </w:r>
          </w:p>
          <w:p>
            <w:pPr>
              <w:widowControl/>
              <w:spacing w:line="360" w:lineRule="exact"/>
              <w:jc w:val="left"/>
              <w:rPr>
                <w:rFonts w:ascii="宋体" w:hAnsi="宋体" w:eastAsia="宋体" w:cs="宋体"/>
                <w:color w:val="000000"/>
                <w:kern w:val="0"/>
                <w:sz w:val="24"/>
                <w:szCs w:val="24"/>
              </w:rPr>
            </w:pPr>
            <w:r>
              <w:rPr>
                <w:rFonts w:ascii="宋体" w:hAnsi="宋体" w:eastAsia="宋体" w:cs="Arial"/>
                <w:kern w:val="0"/>
                <w:sz w:val="24"/>
                <w:szCs w:val="24"/>
              </w:rPr>
              <w:t>适用于我国</w:t>
            </w:r>
            <w:r>
              <w:rPr>
                <w:rFonts w:hint="eastAsia" w:ascii="宋体" w:hAnsi="宋体" w:eastAsia="宋体" w:cs="Arial"/>
                <w:kern w:val="0"/>
                <w:sz w:val="24"/>
                <w:szCs w:val="24"/>
              </w:rPr>
              <w:t>奈伏泰斯</w:t>
            </w:r>
            <w:r>
              <w:rPr>
                <w:rFonts w:ascii="宋体" w:hAnsi="宋体" w:eastAsia="宋体" w:cs="Arial"/>
                <w:kern w:val="0"/>
                <w:sz w:val="24"/>
                <w:szCs w:val="24"/>
              </w:rPr>
              <w:t>电报播发台编制</w:t>
            </w:r>
            <w:r>
              <w:rPr>
                <w:rFonts w:hint="eastAsia" w:ascii="宋体" w:hAnsi="宋体" w:eastAsia="宋体" w:cs="Arial"/>
                <w:kern w:val="0"/>
                <w:sz w:val="24"/>
                <w:szCs w:val="24"/>
              </w:rPr>
              <w:t>奈伏泰斯</w:t>
            </w:r>
            <w:r>
              <w:rPr>
                <w:rFonts w:ascii="宋体" w:hAnsi="宋体" w:eastAsia="宋体" w:cs="Arial"/>
                <w:kern w:val="0"/>
                <w:sz w:val="24"/>
                <w:szCs w:val="24"/>
              </w:rPr>
              <w:t>电报电文，播发海上安全信息。</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18</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海事局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航测标委会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交通运输部南海航海保障中心、北京金交信息通信导航设计院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val="en"/>
              </w:rPr>
              <w:t>航标用雷达应答器</w:t>
            </w:r>
            <w:r>
              <w:rPr>
                <w:rFonts w:hint="eastAsia" w:ascii="宋体" w:hAnsi="宋体" w:eastAsia="宋体" w:cs="宋体"/>
                <w:color w:val="000000"/>
                <w:kern w:val="0"/>
                <w:sz w:val="24"/>
                <w:szCs w:val="24"/>
              </w:rPr>
              <w:t>技术条件</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w:t>
            </w:r>
            <w:r>
              <w:rPr>
                <w:rFonts w:hint="eastAsia" w:ascii="宋体" w:hAnsi="宋体" w:eastAsia="宋体" w:cs="宋体"/>
                <w:color w:val="000000"/>
                <w:kern w:val="0"/>
                <w:sz w:val="24"/>
                <w:szCs w:val="24"/>
                <w:lang w:val="en"/>
              </w:rPr>
              <w:t>航标用雷达应答器的</w:t>
            </w:r>
            <w:r>
              <w:rPr>
                <w:rFonts w:hint="eastAsia" w:ascii="宋体" w:hAnsi="宋体" w:eastAsia="宋体" w:cs="Arial"/>
                <w:kern w:val="0"/>
                <w:sz w:val="24"/>
                <w:szCs w:val="24"/>
              </w:rPr>
              <w:t>技术要求、试验方法和检验规则等。</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适用于在中国沿海、内河及湖泊可航行水域和相关陆域所设置的</w:t>
            </w:r>
            <w:r>
              <w:rPr>
                <w:rFonts w:hint="eastAsia" w:ascii="宋体" w:hAnsi="宋体" w:eastAsia="宋体" w:cs="宋体"/>
                <w:color w:val="000000"/>
                <w:kern w:val="0"/>
                <w:sz w:val="24"/>
                <w:szCs w:val="24"/>
                <w:lang w:val="en"/>
              </w:rPr>
              <w:t>航标用雷达应答器</w:t>
            </w:r>
            <w:r>
              <w:rPr>
                <w:rFonts w:hint="eastAsia" w:ascii="宋体" w:hAnsi="宋体" w:eastAsia="宋体" w:cs="Arial"/>
                <w:kern w:val="0"/>
                <w:sz w:val="24"/>
                <w:szCs w:val="24"/>
              </w:rPr>
              <w:t>产品的设计、生产和验收。</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lang w:val="en"/>
              </w:rPr>
            </w:pPr>
          </w:p>
        </w:tc>
        <w:tc>
          <w:tcPr>
            <w:tcW w:w="330" w:type="pct"/>
            <w:vAlign w:val="center"/>
          </w:tcPr>
          <w:p>
            <w:pPr>
              <w:widowControl/>
              <w:spacing w:line="360" w:lineRule="exact"/>
              <w:jc w:val="center"/>
              <w:rPr>
                <w:rFonts w:ascii="宋体" w:hAnsi="宋体" w:eastAsia="宋体" w:cs="宋体"/>
                <w:color w:val="000000"/>
                <w:kern w:val="0"/>
                <w:sz w:val="24"/>
                <w:szCs w:val="24"/>
                <w:lang w:val="en"/>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海事局</w:t>
            </w:r>
          </w:p>
        </w:tc>
        <w:tc>
          <w:tcPr>
            <w:tcW w:w="331" w:type="pct"/>
            <w:vAlign w:val="center"/>
          </w:tcPr>
          <w:p>
            <w:pPr>
              <w:widowControl/>
              <w:spacing w:line="360" w:lineRule="exact"/>
              <w:jc w:val="center"/>
              <w:rPr>
                <w:rFonts w:ascii="宋体" w:hAnsi="宋体" w:eastAsia="宋体" w:cs="宋体"/>
                <w:color w:val="000000"/>
                <w:kern w:val="0"/>
                <w:sz w:val="24"/>
                <w:szCs w:val="24"/>
                <w:lang w:val="en"/>
              </w:rPr>
            </w:pPr>
            <w:r>
              <w:rPr>
                <w:rFonts w:hint="eastAsia" w:ascii="宋体" w:hAnsi="宋体" w:eastAsia="宋体" w:cs="Arial"/>
                <w:kern w:val="0"/>
                <w:sz w:val="24"/>
                <w:szCs w:val="24"/>
              </w:rPr>
              <w:t>航测标委会</w:t>
            </w:r>
          </w:p>
        </w:tc>
        <w:tc>
          <w:tcPr>
            <w:tcW w:w="728" w:type="pct"/>
            <w:vAlign w:val="center"/>
          </w:tcPr>
          <w:p>
            <w:pPr>
              <w:widowControl/>
              <w:spacing w:line="360" w:lineRule="exact"/>
              <w:jc w:val="left"/>
              <w:rPr>
                <w:rFonts w:ascii="宋体" w:hAnsi="宋体" w:eastAsia="宋体" w:cs="宋体"/>
                <w:color w:val="000000"/>
                <w:kern w:val="0"/>
                <w:sz w:val="24"/>
                <w:szCs w:val="24"/>
                <w:lang w:val="en"/>
              </w:rPr>
            </w:pPr>
            <w:r>
              <w:rPr>
                <w:rFonts w:hint="eastAsia" w:ascii="宋体" w:hAnsi="宋体" w:eastAsia="宋体" w:cs="Arial"/>
                <w:kern w:val="0"/>
                <w:sz w:val="24"/>
                <w:szCs w:val="24"/>
              </w:rPr>
              <w:t>交通运输部东海航海保障中心、上海嗒嘀导航技术有限公司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内河航行参考图编绘规范</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拟规定全国内河、用于辅助船舶航行的纸质航行参考图编制标准。</w:t>
            </w:r>
          </w:p>
          <w:p>
            <w:pPr>
              <w:widowControl/>
              <w:spacing w:line="360" w:lineRule="exact"/>
              <w:jc w:val="left"/>
              <w:rPr>
                <w:rFonts w:ascii="宋体" w:hAnsi="宋体" w:eastAsia="宋体" w:cs="宋体"/>
                <w:color w:val="000000"/>
                <w:kern w:val="0"/>
                <w:sz w:val="24"/>
                <w:szCs w:val="24"/>
              </w:rPr>
            </w:pPr>
            <w:r>
              <w:rPr>
                <w:rFonts w:ascii="宋体" w:hAnsi="宋体" w:eastAsia="宋体" w:cs="Arial"/>
                <w:kern w:val="0"/>
                <w:sz w:val="24"/>
                <w:szCs w:val="24"/>
              </w:rPr>
              <w:t>适用于全国12.77万公里内河通航航道公开出版发行的各种比例尺航行参考图编制。</w:t>
            </w:r>
          </w:p>
        </w:tc>
        <w:tc>
          <w:tcPr>
            <w:tcW w:w="305"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海事局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航测标委会</w:t>
            </w:r>
          </w:p>
        </w:tc>
        <w:tc>
          <w:tcPr>
            <w:tcW w:w="728"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长江航道局、长江航道测量中心、长江南京航道局、长江武汉航道局、长江重庆航道局、长江上海航道处、广东省航道事务中心、江苏省交通运输厅港航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40"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潜水作业现场安全监管要求</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拟规定监管机构与监管人员基本条件、监管人员知识与技能要求、监管工作要求。</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适用于潜水作业现场的安全监督与管理。</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救捞局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救捞标委会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深圳市杉叶实业有限公司、深圳市天利潜水工程技术服务有限公司、中国海洋石油集团有限公司、交通运输部上海打捞局、广州潜水学校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直升机救生员搜救作业手势信号要求</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拟规定直升机执行搜救任务时直升机救生员使用的专业手势信号。</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适用于中华人民共和国交通运输部主管各救助飞行队，涉及直升机救援的机构参照使用。</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制定</w:t>
            </w:r>
          </w:p>
        </w:tc>
        <w:tc>
          <w:tcPr>
            <w:tcW w:w="385" w:type="pct"/>
            <w:vAlign w:val="center"/>
          </w:tcPr>
          <w:p>
            <w:pPr>
              <w:widowControl/>
              <w:spacing w:line="360" w:lineRule="exact"/>
              <w:jc w:val="left"/>
              <w:rPr>
                <w:rFonts w:ascii="宋体" w:hAnsi="宋体" w:eastAsia="宋体" w:cs="宋体"/>
                <w:color w:val="000000"/>
                <w:kern w:val="0"/>
                <w:sz w:val="24"/>
                <w:szCs w:val="24"/>
              </w:rPr>
            </w:pP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救捞局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救捞标委会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交通运输部水运科学研究所、交通运输部北海第一救助飞行队、交通运输部北海救助局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54" w:type="pct"/>
            <w:shd w:val="clear" w:color="auto" w:fill="auto"/>
            <w:vAlign w:val="center"/>
          </w:tcPr>
          <w:p>
            <w:pPr>
              <w:pStyle w:val="30"/>
              <w:widowControl/>
              <w:numPr>
                <w:ilvl w:val="0"/>
                <w:numId w:val="1"/>
              </w:numPr>
              <w:spacing w:line="360" w:lineRule="exact"/>
              <w:ind w:firstLineChars="0"/>
              <w:jc w:val="center"/>
              <w:rPr>
                <w:rFonts w:ascii="宋体" w:hAnsi="宋体" w:eastAsia="宋体" w:cs="宋体"/>
                <w:color w:val="000000"/>
                <w:kern w:val="0"/>
                <w:sz w:val="24"/>
                <w:szCs w:val="24"/>
              </w:rPr>
            </w:pPr>
          </w:p>
        </w:tc>
        <w:tc>
          <w:tcPr>
            <w:tcW w:w="811"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遥控无人潜水器协同潜水作业要求</w:t>
            </w:r>
          </w:p>
        </w:tc>
        <w:tc>
          <w:tcPr>
            <w:tcW w:w="1525"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现行标准规定了无人遥控潜水器（ROV）协同潜水作业的环境条件、人员要求、设备要求、作业要求和安全要求。</w:t>
            </w:r>
          </w:p>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适用于ROV协同潜水作业。</w:t>
            </w:r>
          </w:p>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主要修订内容：增加部分术语和定义；更改人员要求中现场负责人的要求；增加人员要求中权限与职责的要求；增加设备要求中ROV系统、潜水系统、通信系统、ROV绝缘和漏电保护性能和监控记录的要求；增加协同空气潜水作业时ROV及其中继站位置和监控的要求；增加协同饱和潜水作业时ROV及其中继站位置和监控的要求；增加风险评估、交叉作业管理应急反应程序要求。</w:t>
            </w:r>
          </w:p>
        </w:tc>
        <w:tc>
          <w:tcPr>
            <w:tcW w:w="305" w:type="pct"/>
            <w:vAlign w:val="center"/>
          </w:tcPr>
          <w:p>
            <w:pPr>
              <w:widowControl/>
              <w:spacing w:line="360" w:lineRule="exact"/>
              <w:jc w:val="center"/>
              <w:rPr>
                <w:rFonts w:ascii="宋体" w:hAnsi="宋体" w:eastAsia="宋体" w:cs="宋体"/>
                <w:kern w:val="0"/>
                <w:sz w:val="24"/>
                <w:szCs w:val="24"/>
              </w:rPr>
            </w:pPr>
            <w:r>
              <w:rPr>
                <w:rFonts w:hint="eastAsia" w:ascii="宋体" w:hAnsi="宋体" w:eastAsia="宋体" w:cs="宋体"/>
                <w:color w:val="000000"/>
                <w:kern w:val="0"/>
                <w:sz w:val="24"/>
                <w:szCs w:val="24"/>
              </w:rPr>
              <w:t>修订</w:t>
            </w:r>
          </w:p>
        </w:tc>
        <w:tc>
          <w:tcPr>
            <w:tcW w:w="385"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746—2009</w:t>
            </w:r>
          </w:p>
        </w:tc>
        <w:tc>
          <w:tcPr>
            <w:tcW w:w="330" w:type="pct"/>
            <w:vAlign w:val="center"/>
          </w:tcPr>
          <w:p>
            <w:pPr>
              <w:widowControl/>
              <w:spacing w:line="360" w:lineRule="exact"/>
              <w:jc w:val="center"/>
              <w:rPr>
                <w:rFonts w:ascii="宋体" w:hAnsi="宋体" w:eastAsia="宋体" w:cs="宋体"/>
                <w:color w:val="000000"/>
                <w:kern w:val="0"/>
                <w:sz w:val="24"/>
                <w:szCs w:val="24"/>
              </w:rPr>
            </w:pPr>
            <w:r>
              <w:rPr>
                <w:rFonts w:ascii="宋体" w:hAnsi="宋体" w:eastAsia="宋体" w:cs="Arial"/>
                <w:kern w:val="0"/>
                <w:sz w:val="24"/>
                <w:szCs w:val="24"/>
              </w:rPr>
              <w:t>12</w:t>
            </w:r>
          </w:p>
        </w:tc>
        <w:tc>
          <w:tcPr>
            <w:tcW w:w="331"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救捞局</w:t>
            </w:r>
          </w:p>
        </w:tc>
        <w:tc>
          <w:tcPr>
            <w:tcW w:w="331"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Arial"/>
                <w:kern w:val="0"/>
                <w:sz w:val="24"/>
                <w:szCs w:val="24"/>
              </w:rPr>
              <w:t>救捞标委会</w:t>
            </w:r>
          </w:p>
        </w:tc>
        <w:tc>
          <w:tcPr>
            <w:tcW w:w="728"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Arial"/>
                <w:kern w:val="0"/>
                <w:sz w:val="24"/>
                <w:szCs w:val="24"/>
              </w:rPr>
              <w:t>深圳市杉叶实业有限公司、交通运输部上海打捞局</w:t>
            </w:r>
          </w:p>
        </w:tc>
      </w:tr>
    </w:tbl>
    <w:p>
      <w:pPr>
        <w:widowControl/>
        <w:jc w:val="left"/>
        <w:rPr>
          <w:rFonts w:ascii="仿宋_GB2312" w:eastAsia="仿宋_GB2312"/>
          <w:b/>
          <w:bCs/>
          <w:sz w:val="30"/>
          <w:szCs w:val="30"/>
        </w:rPr>
      </w:pPr>
      <w:r>
        <w:rPr>
          <w:rFonts w:ascii="仿宋_GB2312" w:eastAsia="仿宋_GB2312"/>
          <w:b/>
          <w:bCs/>
          <w:sz w:val="30"/>
          <w:szCs w:val="30"/>
        </w:rPr>
        <w:br w:type="page"/>
      </w:r>
    </w:p>
    <w:p>
      <w:pPr>
        <w:widowControl/>
        <w:ind w:firstLine="642" w:firstLineChars="200"/>
        <w:jc w:val="left"/>
        <w:rPr>
          <w:rFonts w:ascii="楷体" w:hAnsi="楷体" w:eastAsia="楷体"/>
          <w:b/>
          <w:bCs/>
          <w:sz w:val="32"/>
          <w:szCs w:val="32"/>
        </w:rPr>
      </w:pPr>
      <w:r>
        <w:rPr>
          <w:rFonts w:hint="eastAsia" w:ascii="楷体" w:hAnsi="楷体" w:eastAsia="楷体"/>
          <w:b/>
          <w:bCs/>
          <w:sz w:val="32"/>
          <w:szCs w:val="32"/>
        </w:rPr>
        <w:t>（二）行业标准外文版</w:t>
      </w:r>
    </w:p>
    <w:tbl>
      <w:tblPr>
        <w:tblStyle w:val="8"/>
        <w:tblW w:w="5019" w:type="pc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37"/>
        <w:gridCol w:w="1972"/>
        <w:gridCol w:w="3690"/>
        <w:gridCol w:w="753"/>
        <w:gridCol w:w="1580"/>
        <w:gridCol w:w="1406"/>
        <w:gridCol w:w="1113"/>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2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701" w:type="pct"/>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标准编号</w:t>
            </w:r>
          </w:p>
        </w:tc>
        <w:tc>
          <w:tcPr>
            <w:tcW w:w="131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标准名称</w:t>
            </w:r>
          </w:p>
        </w:tc>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语种</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完成周期（月）</w:t>
            </w:r>
          </w:p>
        </w:tc>
        <w:tc>
          <w:tcPr>
            <w:tcW w:w="500" w:type="pct"/>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指导司局</w:t>
            </w:r>
          </w:p>
        </w:tc>
        <w:tc>
          <w:tcPr>
            <w:tcW w:w="396" w:type="pct"/>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技术归口单位</w:t>
            </w:r>
          </w:p>
        </w:tc>
        <w:tc>
          <w:tcPr>
            <w:tcW w:w="1034" w:type="pct"/>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翻译主要承担单位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26" w:type="pct"/>
            <w:shd w:val="clear" w:color="auto" w:fill="auto"/>
            <w:vAlign w:val="center"/>
          </w:tcPr>
          <w:p>
            <w:pPr>
              <w:pStyle w:val="30"/>
              <w:widowControl/>
              <w:numPr>
                <w:ilvl w:val="0"/>
                <w:numId w:val="2"/>
              </w:numPr>
              <w:spacing w:line="360" w:lineRule="exact"/>
              <w:ind w:firstLineChars="0"/>
              <w:jc w:val="center"/>
              <w:rPr>
                <w:rFonts w:ascii="宋体" w:hAnsi="宋体" w:eastAsia="宋体" w:cs="宋体"/>
                <w:color w:val="000000"/>
                <w:kern w:val="0"/>
                <w:sz w:val="24"/>
                <w:szCs w:val="24"/>
              </w:rPr>
            </w:pPr>
          </w:p>
        </w:tc>
        <w:tc>
          <w:tcPr>
            <w:tcW w:w="701"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1211.1—2018</w:t>
            </w:r>
          </w:p>
        </w:tc>
        <w:tc>
          <w:tcPr>
            <w:tcW w:w="1312"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公路工程水泥混凝土用快速修补材料 第1部分：水泥基修补材料</w:t>
            </w:r>
          </w:p>
        </w:tc>
        <w:tc>
          <w:tcPr>
            <w:tcW w:w="268" w:type="pct"/>
            <w:shd w:val="clear" w:color="auto" w:fill="auto"/>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英文</w:t>
            </w:r>
          </w:p>
        </w:tc>
        <w:tc>
          <w:tcPr>
            <w:tcW w:w="562" w:type="pct"/>
            <w:shd w:val="clear" w:color="auto" w:fill="auto"/>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w:t>
            </w:r>
          </w:p>
        </w:tc>
        <w:tc>
          <w:tcPr>
            <w:tcW w:w="500"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公路局</w:t>
            </w:r>
          </w:p>
        </w:tc>
        <w:tc>
          <w:tcPr>
            <w:tcW w:w="396"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交通工程标委会</w:t>
            </w:r>
          </w:p>
        </w:tc>
        <w:tc>
          <w:tcPr>
            <w:tcW w:w="1034"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26" w:type="pct"/>
            <w:shd w:val="clear" w:color="auto" w:fill="auto"/>
            <w:vAlign w:val="center"/>
          </w:tcPr>
          <w:p>
            <w:pPr>
              <w:pStyle w:val="30"/>
              <w:widowControl/>
              <w:numPr>
                <w:ilvl w:val="0"/>
                <w:numId w:val="2"/>
              </w:numPr>
              <w:spacing w:line="360" w:lineRule="exact"/>
              <w:ind w:firstLineChars="0"/>
              <w:jc w:val="center"/>
              <w:rPr>
                <w:rFonts w:ascii="宋体" w:hAnsi="宋体" w:eastAsia="宋体" w:cs="宋体"/>
                <w:color w:val="000000"/>
                <w:kern w:val="0"/>
                <w:sz w:val="24"/>
                <w:szCs w:val="24"/>
              </w:rPr>
            </w:pPr>
          </w:p>
        </w:tc>
        <w:tc>
          <w:tcPr>
            <w:tcW w:w="701"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JT/T 1211.2—2019</w:t>
            </w:r>
          </w:p>
        </w:tc>
        <w:tc>
          <w:tcPr>
            <w:tcW w:w="1312"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公路工程水泥混凝土用快速修补材料 第2部分：聚合物树脂修补材料</w:t>
            </w:r>
          </w:p>
        </w:tc>
        <w:tc>
          <w:tcPr>
            <w:tcW w:w="268" w:type="pct"/>
            <w:shd w:val="clear" w:color="auto" w:fill="auto"/>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英文</w:t>
            </w:r>
          </w:p>
        </w:tc>
        <w:tc>
          <w:tcPr>
            <w:tcW w:w="562" w:type="pct"/>
            <w:shd w:val="clear" w:color="auto" w:fill="auto"/>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w:t>
            </w:r>
          </w:p>
        </w:tc>
        <w:tc>
          <w:tcPr>
            <w:tcW w:w="500"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公路局</w:t>
            </w:r>
          </w:p>
        </w:tc>
        <w:tc>
          <w:tcPr>
            <w:tcW w:w="396" w:type="pct"/>
            <w:vAlign w:val="center"/>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交通工程标委会</w:t>
            </w:r>
          </w:p>
        </w:tc>
        <w:tc>
          <w:tcPr>
            <w:tcW w:w="1034" w:type="pct"/>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交通运输部公路科学研究所</w:t>
            </w:r>
          </w:p>
        </w:tc>
      </w:tr>
    </w:tbl>
    <w:p/>
    <w:p/>
    <w:p>
      <w:pPr>
        <w:widowControl/>
        <w:jc w:val="left"/>
        <w:rPr>
          <w:rFonts w:ascii="仿宋_GB2312" w:eastAsia="仿宋_GB2312"/>
          <w:b/>
          <w:bCs/>
          <w:sz w:val="30"/>
          <w:szCs w:val="30"/>
        </w:rPr>
      </w:pPr>
      <w:r>
        <w:rPr>
          <w:rFonts w:ascii="仿宋_GB2312" w:eastAsia="仿宋_GB2312"/>
          <w:b/>
          <w:bCs/>
          <w:sz w:val="30"/>
          <w:szCs w:val="30"/>
        </w:rPr>
        <w:br w:type="page"/>
      </w:r>
    </w:p>
    <w:p>
      <w:pPr>
        <w:widowControl/>
        <w:ind w:firstLine="642" w:firstLineChars="200"/>
        <w:jc w:val="left"/>
        <w:rPr>
          <w:rFonts w:ascii="楷体" w:hAnsi="楷体" w:eastAsia="楷体"/>
          <w:b/>
          <w:bCs/>
          <w:sz w:val="32"/>
          <w:szCs w:val="32"/>
        </w:rPr>
      </w:pPr>
      <w:r>
        <w:rPr>
          <w:rFonts w:hint="eastAsia" w:ascii="楷体" w:hAnsi="楷体" w:eastAsia="楷体"/>
          <w:b/>
          <w:bCs/>
          <w:sz w:val="32"/>
          <w:szCs w:val="32"/>
        </w:rPr>
        <w:t>（三）部门计量检定规程</w:t>
      </w:r>
    </w:p>
    <w:tbl>
      <w:tblPr>
        <w:tblStyle w:val="8"/>
        <w:tblW w:w="5024" w:type="pc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766"/>
        <w:gridCol w:w="1849"/>
        <w:gridCol w:w="4837"/>
        <w:gridCol w:w="999"/>
        <w:gridCol w:w="1140"/>
        <w:gridCol w:w="999"/>
        <w:gridCol w:w="999"/>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blHeader/>
        </w:trPr>
        <w:tc>
          <w:tcPr>
            <w:tcW w:w="272" w:type="pct"/>
            <w:shd w:val="clear" w:color="auto" w:fill="auto"/>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657" w:type="pct"/>
            <w:shd w:val="clear" w:color="auto" w:fill="auto"/>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719"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范围和主要技术内容</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制修订</w:t>
            </w:r>
          </w:p>
        </w:tc>
        <w:tc>
          <w:tcPr>
            <w:tcW w:w="40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代替规程</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完成周期(月)</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技术归口单位</w:t>
            </w:r>
          </w:p>
        </w:tc>
        <w:tc>
          <w:tcPr>
            <w:tcW w:w="883"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主要起草单位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72" w:type="pct"/>
            <w:shd w:val="clear" w:color="auto" w:fill="auto"/>
            <w:vAlign w:val="center"/>
          </w:tcPr>
          <w:p>
            <w:pPr>
              <w:pStyle w:val="30"/>
              <w:widowControl/>
              <w:numPr>
                <w:ilvl w:val="0"/>
                <w:numId w:val="3"/>
              </w:numPr>
              <w:spacing w:line="360" w:lineRule="exact"/>
              <w:ind w:firstLineChars="0"/>
              <w:jc w:val="center"/>
              <w:rPr>
                <w:rFonts w:ascii="宋体" w:hAnsi="宋体" w:eastAsia="宋体" w:cs="宋体"/>
                <w:b/>
                <w:bCs/>
                <w:color w:val="000000"/>
                <w:kern w:val="0"/>
                <w:sz w:val="24"/>
                <w:szCs w:val="24"/>
              </w:rPr>
            </w:pPr>
          </w:p>
        </w:tc>
        <w:tc>
          <w:tcPr>
            <w:tcW w:w="657" w:type="pct"/>
            <w:shd w:val="clear" w:color="auto" w:fill="auto"/>
            <w:vAlign w:val="center"/>
          </w:tcPr>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车辙试验机</w:t>
            </w:r>
          </w:p>
        </w:tc>
        <w:tc>
          <w:tcPr>
            <w:tcW w:w="1719"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w:t>
            </w:r>
            <w:r>
              <w:rPr>
                <w:rFonts w:hint="eastAsia" w:ascii="宋体" w:hAnsi="宋体" w:eastAsia="宋体" w:cs="宋体"/>
                <w:color w:val="000000"/>
                <w:kern w:val="0"/>
                <w:sz w:val="24"/>
                <w:szCs w:val="24"/>
              </w:rPr>
              <w:t>车辙试验机</w:t>
            </w:r>
            <w:r>
              <w:rPr>
                <w:rFonts w:hint="eastAsia" w:ascii="宋体" w:hAnsi="宋体" w:eastAsia="宋体" w:cs="Arial"/>
                <w:kern w:val="0"/>
                <w:sz w:val="24"/>
                <w:szCs w:val="24"/>
              </w:rPr>
              <w:t>的结构、通用技术要求、计量性能要求、计量器具的控制、检定方法及检定结果处理等。</w:t>
            </w:r>
          </w:p>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适用于车辙试验机的首次检定、后续检定和使用中的检验。</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制定</w:t>
            </w:r>
          </w:p>
        </w:tc>
        <w:tc>
          <w:tcPr>
            <w:tcW w:w="405" w:type="pct"/>
            <w:vAlign w:val="center"/>
          </w:tcPr>
          <w:p>
            <w:pPr>
              <w:widowControl/>
              <w:spacing w:line="360" w:lineRule="exact"/>
              <w:jc w:val="center"/>
              <w:rPr>
                <w:rFonts w:ascii="宋体" w:hAnsi="宋体" w:eastAsia="宋体" w:cs="宋体"/>
                <w:b/>
                <w:bCs/>
                <w:color w:val="000000"/>
                <w:kern w:val="0"/>
                <w:sz w:val="24"/>
                <w:szCs w:val="24"/>
              </w:rPr>
            </w:pP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ascii="宋体" w:hAnsi="宋体" w:eastAsia="宋体" w:cs="Arial"/>
                <w:kern w:val="0"/>
                <w:sz w:val="24"/>
                <w:szCs w:val="24"/>
              </w:rPr>
              <w:t>18</w:t>
            </w:r>
          </w:p>
        </w:tc>
        <w:tc>
          <w:tcPr>
            <w:tcW w:w="355"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公路计量委员会</w:t>
            </w:r>
          </w:p>
        </w:tc>
        <w:tc>
          <w:tcPr>
            <w:tcW w:w="883" w:type="pct"/>
            <w:vAlign w:val="center"/>
          </w:tcPr>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交通运输部公路科学研究所、中路高科交通科技集团有限公司、北京公科固桥技术有限公司、北京交通大学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72" w:type="pct"/>
            <w:shd w:val="clear" w:color="auto" w:fill="auto"/>
            <w:vAlign w:val="center"/>
          </w:tcPr>
          <w:p>
            <w:pPr>
              <w:pStyle w:val="30"/>
              <w:widowControl/>
              <w:numPr>
                <w:ilvl w:val="0"/>
                <w:numId w:val="3"/>
              </w:numPr>
              <w:spacing w:line="360" w:lineRule="exact"/>
              <w:ind w:firstLineChars="0"/>
              <w:jc w:val="center"/>
              <w:rPr>
                <w:rFonts w:ascii="宋体" w:hAnsi="宋体" w:eastAsia="宋体" w:cs="宋体"/>
                <w:b/>
                <w:bCs/>
                <w:color w:val="000000"/>
                <w:kern w:val="0"/>
                <w:sz w:val="24"/>
                <w:szCs w:val="24"/>
              </w:rPr>
            </w:pPr>
          </w:p>
        </w:tc>
        <w:tc>
          <w:tcPr>
            <w:tcW w:w="657" w:type="pct"/>
            <w:shd w:val="clear" w:color="auto" w:fill="auto"/>
            <w:vAlign w:val="center"/>
          </w:tcPr>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轮碾成型机</w:t>
            </w:r>
          </w:p>
        </w:tc>
        <w:tc>
          <w:tcPr>
            <w:tcW w:w="1719"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w:t>
            </w:r>
            <w:r>
              <w:rPr>
                <w:rFonts w:hint="eastAsia" w:ascii="宋体" w:hAnsi="宋体" w:eastAsia="宋体" w:cs="宋体"/>
                <w:color w:val="000000"/>
                <w:kern w:val="0"/>
                <w:sz w:val="24"/>
                <w:szCs w:val="24"/>
              </w:rPr>
              <w:t>轮碾成型机</w:t>
            </w:r>
            <w:r>
              <w:rPr>
                <w:rFonts w:hint="eastAsia" w:ascii="宋体" w:hAnsi="宋体" w:eastAsia="宋体" w:cs="Arial"/>
                <w:kern w:val="0"/>
                <w:sz w:val="24"/>
                <w:szCs w:val="24"/>
              </w:rPr>
              <w:t>的结构、通用技术要求、计量性能要求、计量器具的控制、检定方法及检定结果处理等。</w:t>
            </w:r>
          </w:p>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适用于轮碾压成型机的首次检定、后续检定和使用中的检验。</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制定</w:t>
            </w:r>
          </w:p>
        </w:tc>
        <w:tc>
          <w:tcPr>
            <w:tcW w:w="405" w:type="pct"/>
            <w:vAlign w:val="center"/>
          </w:tcPr>
          <w:p>
            <w:pPr>
              <w:widowControl/>
              <w:spacing w:line="360" w:lineRule="exact"/>
              <w:jc w:val="center"/>
              <w:rPr>
                <w:rFonts w:ascii="宋体" w:hAnsi="宋体" w:eastAsia="宋体" w:cs="宋体"/>
                <w:b/>
                <w:bCs/>
                <w:color w:val="000000"/>
                <w:kern w:val="0"/>
                <w:sz w:val="24"/>
                <w:szCs w:val="24"/>
              </w:rPr>
            </w:pP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ascii="宋体" w:hAnsi="宋体" w:eastAsia="宋体" w:cs="Arial"/>
                <w:kern w:val="0"/>
                <w:sz w:val="24"/>
                <w:szCs w:val="24"/>
              </w:rPr>
              <w:t>18</w:t>
            </w:r>
          </w:p>
        </w:tc>
        <w:tc>
          <w:tcPr>
            <w:tcW w:w="355" w:type="pct"/>
            <w:vAlign w:val="center"/>
          </w:tcPr>
          <w:p>
            <w:pPr>
              <w:widowControl/>
              <w:spacing w:line="360" w:lineRule="exact"/>
              <w:jc w:val="center"/>
              <w:rPr>
                <w:rFonts w:ascii="宋体" w:hAnsi="宋体" w:eastAsia="宋体" w:cs="Arial"/>
                <w:kern w:val="0"/>
                <w:sz w:val="24"/>
                <w:szCs w:val="24"/>
              </w:rPr>
            </w:pPr>
            <w:r>
              <w:rPr>
                <w:rFonts w:hint="eastAsia" w:ascii="宋体" w:hAnsi="宋体" w:eastAsia="宋体" w:cs="Arial"/>
                <w:kern w:val="0"/>
                <w:sz w:val="24"/>
                <w:szCs w:val="24"/>
              </w:rPr>
              <w:t>公路计量委员会</w:t>
            </w:r>
          </w:p>
        </w:tc>
        <w:tc>
          <w:tcPr>
            <w:tcW w:w="883" w:type="pct"/>
            <w:vAlign w:val="center"/>
          </w:tcPr>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交通运输部公路科学研究所、中路高科交通科技集团有限公司、宁夏公路工程质量检测中心</w:t>
            </w:r>
            <w:r>
              <w:rPr>
                <w:rFonts w:ascii="宋体" w:hAnsi="宋体" w:eastAsia="宋体" w:cs="Arial"/>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72" w:type="pct"/>
            <w:shd w:val="clear" w:color="auto" w:fill="auto"/>
            <w:vAlign w:val="center"/>
          </w:tcPr>
          <w:p>
            <w:pPr>
              <w:pStyle w:val="30"/>
              <w:widowControl/>
              <w:numPr>
                <w:ilvl w:val="0"/>
                <w:numId w:val="3"/>
              </w:numPr>
              <w:spacing w:line="360" w:lineRule="exact"/>
              <w:ind w:firstLineChars="0"/>
              <w:jc w:val="center"/>
              <w:rPr>
                <w:rFonts w:ascii="宋体" w:hAnsi="宋体" w:eastAsia="宋体" w:cs="宋体"/>
                <w:b/>
                <w:bCs/>
                <w:color w:val="000000"/>
                <w:kern w:val="0"/>
                <w:sz w:val="24"/>
                <w:szCs w:val="24"/>
              </w:rPr>
            </w:pPr>
          </w:p>
        </w:tc>
        <w:tc>
          <w:tcPr>
            <w:tcW w:w="657" w:type="pct"/>
            <w:shd w:val="clear" w:color="auto" w:fill="auto"/>
            <w:vAlign w:val="center"/>
          </w:tcPr>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沥青压力老化试验仪</w:t>
            </w:r>
          </w:p>
        </w:tc>
        <w:tc>
          <w:tcPr>
            <w:tcW w:w="1719"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w:t>
            </w:r>
            <w:r>
              <w:rPr>
                <w:rFonts w:hint="eastAsia" w:ascii="宋体" w:hAnsi="宋体" w:eastAsia="宋体" w:cs="宋体"/>
                <w:color w:val="000000"/>
                <w:kern w:val="0"/>
                <w:sz w:val="24"/>
                <w:szCs w:val="24"/>
              </w:rPr>
              <w:t>沥青压力老化试验仪的</w:t>
            </w:r>
            <w:r>
              <w:rPr>
                <w:rFonts w:hint="eastAsia" w:ascii="宋体" w:hAnsi="宋体" w:eastAsia="宋体" w:cs="Arial"/>
                <w:kern w:val="0"/>
                <w:sz w:val="24"/>
                <w:szCs w:val="24"/>
              </w:rPr>
              <w:t>计量性能要求、计量器具控制、检定方法等。</w:t>
            </w:r>
          </w:p>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适用于沥青压力老化试验仪的首次检定、后续检定和使用中检查。</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制定</w:t>
            </w:r>
          </w:p>
        </w:tc>
        <w:tc>
          <w:tcPr>
            <w:tcW w:w="405" w:type="pct"/>
            <w:vAlign w:val="center"/>
          </w:tcPr>
          <w:p>
            <w:pPr>
              <w:widowControl/>
              <w:spacing w:line="360" w:lineRule="exact"/>
              <w:jc w:val="center"/>
              <w:rPr>
                <w:rFonts w:ascii="宋体" w:hAnsi="宋体" w:eastAsia="宋体" w:cs="宋体"/>
                <w:b/>
                <w:bCs/>
                <w:color w:val="000000"/>
                <w:kern w:val="0"/>
                <w:sz w:val="24"/>
                <w:szCs w:val="24"/>
              </w:rPr>
            </w:pP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ascii="宋体" w:hAnsi="宋体" w:eastAsia="宋体" w:cs="Arial"/>
                <w:kern w:val="0"/>
                <w:sz w:val="24"/>
                <w:szCs w:val="24"/>
              </w:rPr>
              <w:t>12</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Arial"/>
                <w:kern w:val="0"/>
                <w:sz w:val="24"/>
                <w:szCs w:val="24"/>
              </w:rPr>
              <w:t>公路计量委员会</w:t>
            </w:r>
          </w:p>
        </w:tc>
        <w:tc>
          <w:tcPr>
            <w:tcW w:w="883" w:type="pct"/>
            <w:vAlign w:val="center"/>
          </w:tcPr>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山东省交通科学研究院、交通运输部公路科学研究所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72" w:type="pct"/>
            <w:shd w:val="clear" w:color="auto" w:fill="auto"/>
            <w:vAlign w:val="center"/>
          </w:tcPr>
          <w:p>
            <w:pPr>
              <w:pStyle w:val="30"/>
              <w:widowControl/>
              <w:numPr>
                <w:ilvl w:val="0"/>
                <w:numId w:val="3"/>
              </w:numPr>
              <w:spacing w:line="360" w:lineRule="exact"/>
              <w:ind w:firstLineChars="0"/>
              <w:jc w:val="center"/>
              <w:rPr>
                <w:rFonts w:ascii="宋体" w:hAnsi="宋体" w:eastAsia="宋体" w:cs="宋体"/>
                <w:color w:val="000000"/>
                <w:kern w:val="0"/>
                <w:sz w:val="24"/>
                <w:szCs w:val="24"/>
              </w:rPr>
            </w:pPr>
          </w:p>
        </w:tc>
        <w:tc>
          <w:tcPr>
            <w:tcW w:w="657"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构造深度电动铺砂仪</w:t>
            </w:r>
          </w:p>
        </w:tc>
        <w:tc>
          <w:tcPr>
            <w:tcW w:w="1719"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w:t>
            </w:r>
            <w:r>
              <w:rPr>
                <w:rFonts w:hint="eastAsia" w:ascii="宋体" w:hAnsi="宋体" w:eastAsia="宋体" w:cs="宋体"/>
                <w:color w:val="000000"/>
                <w:kern w:val="0"/>
                <w:sz w:val="24"/>
                <w:szCs w:val="24"/>
              </w:rPr>
              <w:t>构造深度</w:t>
            </w:r>
            <w:r>
              <w:rPr>
                <w:rFonts w:hint="eastAsia" w:ascii="宋体" w:hAnsi="宋体" w:eastAsia="宋体" w:cs="Arial"/>
                <w:kern w:val="0"/>
                <w:sz w:val="24"/>
                <w:szCs w:val="24"/>
              </w:rPr>
              <w:t>电动铺砂仪的计量性能要求、通用技术要求、检定条件、检定器具、检定方法。</w:t>
            </w:r>
          </w:p>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适用于</w:t>
            </w:r>
            <w:r>
              <w:rPr>
                <w:rFonts w:hint="eastAsia" w:ascii="宋体" w:hAnsi="宋体" w:eastAsia="宋体" w:cs="宋体"/>
                <w:color w:val="000000"/>
                <w:kern w:val="0"/>
                <w:sz w:val="24"/>
                <w:szCs w:val="24"/>
              </w:rPr>
              <w:t>构造深度</w:t>
            </w:r>
            <w:r>
              <w:rPr>
                <w:rFonts w:hint="eastAsia" w:ascii="宋体" w:hAnsi="宋体" w:eastAsia="宋体" w:cs="Arial"/>
                <w:kern w:val="0"/>
                <w:sz w:val="24"/>
                <w:szCs w:val="24"/>
              </w:rPr>
              <w:t>电动铺砂仪的首次检定、后续检定和使用中检查。</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制定</w:t>
            </w:r>
          </w:p>
        </w:tc>
        <w:tc>
          <w:tcPr>
            <w:tcW w:w="405" w:type="pct"/>
            <w:vAlign w:val="center"/>
          </w:tcPr>
          <w:p>
            <w:pPr>
              <w:widowControl/>
              <w:spacing w:line="360" w:lineRule="exact"/>
              <w:jc w:val="center"/>
              <w:rPr>
                <w:rFonts w:ascii="宋体" w:hAnsi="宋体" w:eastAsia="宋体" w:cs="宋体"/>
                <w:b/>
                <w:bCs/>
                <w:color w:val="000000"/>
                <w:kern w:val="0"/>
                <w:sz w:val="24"/>
                <w:szCs w:val="24"/>
              </w:rPr>
            </w:pP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ascii="宋体" w:hAnsi="宋体" w:eastAsia="宋体" w:cs="Arial"/>
                <w:kern w:val="0"/>
                <w:sz w:val="24"/>
                <w:szCs w:val="24"/>
              </w:rPr>
              <w:t>18</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Arial"/>
                <w:kern w:val="0"/>
                <w:sz w:val="24"/>
                <w:szCs w:val="24"/>
              </w:rPr>
              <w:t>公路计量委员会</w:t>
            </w:r>
          </w:p>
        </w:tc>
        <w:tc>
          <w:tcPr>
            <w:tcW w:w="883" w:type="pct"/>
            <w:vAlign w:val="center"/>
          </w:tcPr>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江西省交通工程质量监督站试验检测中心、浙江交科工程检测有限公司、交通运输部公路科学研究所、交通运输部天津水运工程科学研究所、江西省交通建设工程检测设备计量中心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72" w:type="pct"/>
            <w:shd w:val="clear" w:color="auto" w:fill="auto"/>
            <w:vAlign w:val="center"/>
          </w:tcPr>
          <w:p>
            <w:pPr>
              <w:pStyle w:val="30"/>
              <w:widowControl/>
              <w:numPr>
                <w:ilvl w:val="0"/>
                <w:numId w:val="3"/>
              </w:numPr>
              <w:spacing w:line="360" w:lineRule="exact"/>
              <w:ind w:firstLineChars="0"/>
              <w:jc w:val="center"/>
              <w:rPr>
                <w:rFonts w:ascii="宋体" w:hAnsi="宋体" w:eastAsia="宋体" w:cs="宋体"/>
                <w:color w:val="000000"/>
                <w:kern w:val="0"/>
                <w:sz w:val="24"/>
                <w:szCs w:val="24"/>
              </w:rPr>
            </w:pPr>
          </w:p>
        </w:tc>
        <w:tc>
          <w:tcPr>
            <w:tcW w:w="657"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锚杆质量检测仪</w:t>
            </w:r>
          </w:p>
        </w:tc>
        <w:tc>
          <w:tcPr>
            <w:tcW w:w="1719"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拟规定锚杆质量检测仪的计量性能要求、计量器具控制、检定方法等。</w:t>
            </w:r>
          </w:p>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适用于锚杆质量检测仪的首次检定、后续检定和使用中检查。</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制定</w:t>
            </w:r>
          </w:p>
        </w:tc>
        <w:tc>
          <w:tcPr>
            <w:tcW w:w="405" w:type="pct"/>
            <w:vAlign w:val="center"/>
          </w:tcPr>
          <w:p>
            <w:pPr>
              <w:widowControl/>
              <w:spacing w:line="360" w:lineRule="exact"/>
              <w:jc w:val="center"/>
              <w:rPr>
                <w:rFonts w:ascii="宋体" w:hAnsi="宋体" w:eastAsia="宋体" w:cs="宋体"/>
                <w:b/>
                <w:bCs/>
                <w:color w:val="000000"/>
                <w:kern w:val="0"/>
                <w:sz w:val="24"/>
                <w:szCs w:val="24"/>
              </w:rPr>
            </w:pP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ascii="宋体" w:hAnsi="宋体" w:eastAsia="宋体" w:cs="Arial"/>
                <w:kern w:val="0"/>
                <w:sz w:val="24"/>
                <w:szCs w:val="24"/>
              </w:rPr>
              <w:t>18</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Arial"/>
                <w:kern w:val="0"/>
                <w:sz w:val="24"/>
                <w:szCs w:val="24"/>
              </w:rPr>
              <w:t>公路计量委员会</w:t>
            </w:r>
          </w:p>
        </w:tc>
        <w:tc>
          <w:tcPr>
            <w:tcW w:w="883" w:type="pct"/>
            <w:vAlign w:val="center"/>
          </w:tcPr>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四川省公路规划勘察设计研究院有限公司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72" w:type="pct"/>
            <w:shd w:val="clear" w:color="auto" w:fill="auto"/>
            <w:vAlign w:val="center"/>
          </w:tcPr>
          <w:p>
            <w:pPr>
              <w:pStyle w:val="30"/>
              <w:widowControl/>
              <w:numPr>
                <w:ilvl w:val="0"/>
                <w:numId w:val="3"/>
              </w:numPr>
              <w:spacing w:line="360" w:lineRule="exact"/>
              <w:ind w:firstLineChars="0"/>
              <w:jc w:val="center"/>
              <w:rPr>
                <w:rFonts w:ascii="宋体" w:hAnsi="宋体" w:eastAsia="宋体" w:cs="宋体"/>
                <w:color w:val="000000"/>
                <w:kern w:val="0"/>
                <w:sz w:val="24"/>
                <w:szCs w:val="24"/>
              </w:rPr>
            </w:pPr>
          </w:p>
        </w:tc>
        <w:tc>
          <w:tcPr>
            <w:tcW w:w="657"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砂浆稠度仪</w:t>
            </w:r>
          </w:p>
        </w:tc>
        <w:tc>
          <w:tcPr>
            <w:tcW w:w="1719"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拟规定砂浆稠度仪的计量性能要求、通用技术要求、计量器具控制和检定方法等。</w:t>
            </w:r>
          </w:p>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适用于砂浆稠度仪的首次检定、后续检定和使用中检查。</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制定</w:t>
            </w:r>
          </w:p>
        </w:tc>
        <w:tc>
          <w:tcPr>
            <w:tcW w:w="405" w:type="pct"/>
            <w:vAlign w:val="center"/>
          </w:tcPr>
          <w:p>
            <w:pPr>
              <w:widowControl/>
              <w:spacing w:line="360" w:lineRule="exact"/>
              <w:jc w:val="center"/>
              <w:rPr>
                <w:rFonts w:ascii="宋体" w:hAnsi="宋体" w:eastAsia="宋体" w:cs="宋体"/>
                <w:b/>
                <w:bCs/>
                <w:color w:val="000000"/>
                <w:kern w:val="0"/>
                <w:sz w:val="24"/>
                <w:szCs w:val="24"/>
              </w:rPr>
            </w:pP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ascii="宋体" w:hAnsi="宋体" w:eastAsia="宋体" w:cs="Arial"/>
                <w:kern w:val="0"/>
                <w:sz w:val="24"/>
                <w:szCs w:val="24"/>
              </w:rPr>
              <w:t>12</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Arial"/>
                <w:kern w:val="0"/>
                <w:sz w:val="24"/>
                <w:szCs w:val="24"/>
              </w:rPr>
              <w:t>水运计量委员会</w:t>
            </w:r>
          </w:p>
        </w:tc>
        <w:tc>
          <w:tcPr>
            <w:tcW w:w="883" w:type="pct"/>
            <w:vAlign w:val="center"/>
          </w:tcPr>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山东省交通科学研究院、交通运输部天津水运工程科学研究所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72" w:type="pct"/>
            <w:shd w:val="clear" w:color="auto" w:fill="auto"/>
            <w:vAlign w:val="center"/>
          </w:tcPr>
          <w:p>
            <w:pPr>
              <w:pStyle w:val="30"/>
              <w:widowControl/>
              <w:numPr>
                <w:ilvl w:val="0"/>
                <w:numId w:val="3"/>
              </w:numPr>
              <w:spacing w:line="360" w:lineRule="exact"/>
              <w:ind w:firstLineChars="0"/>
              <w:jc w:val="center"/>
              <w:rPr>
                <w:rFonts w:ascii="宋体" w:hAnsi="宋体" w:eastAsia="宋体" w:cs="宋体"/>
                <w:color w:val="000000"/>
                <w:kern w:val="0"/>
                <w:sz w:val="24"/>
                <w:szCs w:val="24"/>
              </w:rPr>
            </w:pPr>
          </w:p>
        </w:tc>
        <w:tc>
          <w:tcPr>
            <w:tcW w:w="657"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压力式波浪测量仪</w:t>
            </w:r>
          </w:p>
        </w:tc>
        <w:tc>
          <w:tcPr>
            <w:tcW w:w="1719"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拟规定压力式波浪测量仪的计量性能要求、通用技术要求和计量器具控制。</w:t>
            </w:r>
          </w:p>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适用于压力式波浪测量仪的首次检定、后续检定和使用中检查。</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制定</w:t>
            </w:r>
          </w:p>
        </w:tc>
        <w:tc>
          <w:tcPr>
            <w:tcW w:w="405" w:type="pct"/>
            <w:vAlign w:val="center"/>
          </w:tcPr>
          <w:p>
            <w:pPr>
              <w:widowControl/>
              <w:spacing w:line="360" w:lineRule="exact"/>
              <w:jc w:val="center"/>
              <w:rPr>
                <w:rFonts w:ascii="宋体" w:hAnsi="宋体" w:eastAsia="宋体" w:cs="宋体"/>
                <w:b/>
                <w:bCs/>
                <w:color w:val="000000"/>
                <w:kern w:val="0"/>
                <w:sz w:val="24"/>
                <w:szCs w:val="24"/>
              </w:rPr>
            </w:pP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ascii="宋体" w:hAnsi="宋体" w:eastAsia="宋体" w:cs="Arial"/>
                <w:kern w:val="0"/>
                <w:sz w:val="24"/>
                <w:szCs w:val="24"/>
              </w:rPr>
              <w:t>12</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Arial"/>
                <w:kern w:val="0"/>
                <w:sz w:val="24"/>
                <w:szCs w:val="24"/>
              </w:rPr>
              <w:t>水运计量委员会</w:t>
            </w:r>
          </w:p>
        </w:tc>
        <w:tc>
          <w:tcPr>
            <w:tcW w:w="883" w:type="pct"/>
            <w:vAlign w:val="center"/>
          </w:tcPr>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交通运输部天津水运工程科学研究所、天津大学、河海大学、上海达华测绘科技有限公司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67" w:hRule="atLeast"/>
        </w:trPr>
        <w:tc>
          <w:tcPr>
            <w:tcW w:w="272" w:type="pct"/>
            <w:shd w:val="clear" w:color="auto" w:fill="auto"/>
            <w:vAlign w:val="center"/>
          </w:tcPr>
          <w:p>
            <w:pPr>
              <w:pStyle w:val="30"/>
              <w:widowControl/>
              <w:numPr>
                <w:ilvl w:val="0"/>
                <w:numId w:val="3"/>
              </w:numPr>
              <w:spacing w:line="360" w:lineRule="exact"/>
              <w:ind w:firstLineChars="0"/>
              <w:jc w:val="center"/>
              <w:rPr>
                <w:rFonts w:ascii="宋体" w:hAnsi="宋体" w:eastAsia="宋体" w:cs="宋体"/>
                <w:color w:val="000000"/>
                <w:kern w:val="0"/>
                <w:sz w:val="24"/>
                <w:szCs w:val="24"/>
              </w:rPr>
            </w:pPr>
          </w:p>
        </w:tc>
        <w:tc>
          <w:tcPr>
            <w:tcW w:w="657" w:type="pct"/>
            <w:shd w:val="clear" w:color="auto" w:fill="auto"/>
            <w:vAlign w:val="center"/>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港口起重设备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起升高度检测仪</w:t>
            </w:r>
          </w:p>
        </w:tc>
        <w:tc>
          <w:tcPr>
            <w:tcW w:w="1719" w:type="pct"/>
            <w:vAlign w:val="center"/>
          </w:tcPr>
          <w:p>
            <w:pPr>
              <w:widowControl/>
              <w:spacing w:line="360" w:lineRule="exact"/>
              <w:jc w:val="left"/>
              <w:rPr>
                <w:rFonts w:ascii="宋体" w:hAnsi="宋体" w:eastAsia="宋体" w:cs="Arial"/>
                <w:kern w:val="0"/>
                <w:sz w:val="24"/>
                <w:szCs w:val="24"/>
              </w:rPr>
            </w:pPr>
            <w:r>
              <w:rPr>
                <w:rFonts w:hint="eastAsia" w:ascii="宋体" w:hAnsi="宋体" w:eastAsia="宋体" w:cs="Arial"/>
                <w:kern w:val="0"/>
                <w:sz w:val="24"/>
                <w:szCs w:val="24"/>
              </w:rPr>
              <w:t>拟规定港口起重设备起升高度检测仪的计量性能要求、通用技术要求、计量器具控制和检定方法。</w:t>
            </w:r>
          </w:p>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适用于起升高度检测仪的首次检定、后续检定和使用中检查。</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制定</w:t>
            </w:r>
          </w:p>
        </w:tc>
        <w:tc>
          <w:tcPr>
            <w:tcW w:w="405" w:type="pct"/>
            <w:vAlign w:val="center"/>
          </w:tcPr>
          <w:p>
            <w:pPr>
              <w:widowControl/>
              <w:spacing w:line="360" w:lineRule="exact"/>
              <w:jc w:val="center"/>
              <w:rPr>
                <w:rFonts w:ascii="宋体" w:hAnsi="宋体" w:eastAsia="宋体" w:cs="宋体"/>
                <w:b/>
                <w:bCs/>
                <w:color w:val="000000"/>
                <w:kern w:val="0"/>
                <w:sz w:val="24"/>
                <w:szCs w:val="24"/>
              </w:rPr>
            </w:pP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ascii="宋体" w:hAnsi="宋体" w:eastAsia="宋体" w:cs="Arial"/>
                <w:kern w:val="0"/>
                <w:sz w:val="24"/>
                <w:szCs w:val="24"/>
              </w:rPr>
              <w:t>12</w:t>
            </w:r>
          </w:p>
        </w:tc>
        <w:tc>
          <w:tcPr>
            <w:tcW w:w="355" w:type="pct"/>
            <w:vAlign w:val="center"/>
          </w:tcPr>
          <w:p>
            <w:pPr>
              <w:widowControl/>
              <w:spacing w:line="360" w:lineRule="exact"/>
              <w:jc w:val="center"/>
              <w:rPr>
                <w:rFonts w:ascii="宋体" w:hAnsi="宋体" w:eastAsia="宋体" w:cs="宋体"/>
                <w:b/>
                <w:bCs/>
                <w:color w:val="000000"/>
                <w:kern w:val="0"/>
                <w:sz w:val="24"/>
                <w:szCs w:val="24"/>
              </w:rPr>
            </w:pPr>
            <w:r>
              <w:rPr>
                <w:rFonts w:hint="eastAsia" w:ascii="宋体" w:hAnsi="宋体" w:eastAsia="宋体" w:cs="Arial"/>
                <w:kern w:val="0"/>
                <w:sz w:val="24"/>
                <w:szCs w:val="24"/>
              </w:rPr>
              <w:t>水运计量委员会</w:t>
            </w:r>
          </w:p>
        </w:tc>
        <w:tc>
          <w:tcPr>
            <w:tcW w:w="883" w:type="pct"/>
            <w:vAlign w:val="center"/>
          </w:tcPr>
          <w:p>
            <w:pPr>
              <w:widowControl/>
              <w:spacing w:line="360" w:lineRule="exact"/>
              <w:jc w:val="left"/>
              <w:rPr>
                <w:rFonts w:ascii="宋体" w:hAnsi="宋体" w:eastAsia="宋体" w:cs="宋体"/>
                <w:b/>
                <w:bCs/>
                <w:color w:val="000000"/>
                <w:kern w:val="0"/>
                <w:sz w:val="24"/>
                <w:szCs w:val="24"/>
              </w:rPr>
            </w:pPr>
            <w:r>
              <w:rPr>
                <w:rFonts w:hint="eastAsia" w:ascii="宋体" w:hAnsi="宋体" w:eastAsia="宋体" w:cs="Arial"/>
                <w:kern w:val="0"/>
                <w:sz w:val="24"/>
                <w:szCs w:val="24"/>
              </w:rPr>
              <w:t>交通运输部天津水运工程科学研究所、天津港（集团）有限公司</w:t>
            </w:r>
          </w:p>
        </w:tc>
      </w:tr>
    </w:tbl>
    <w:p/>
    <w:p>
      <w:pPr>
        <w:pStyle w:val="2"/>
        <w:spacing w:before="163" w:beforeLines="50" w:after="163" w:afterLines="50" w:line="240" w:lineRule="auto"/>
        <w:rPr>
          <w:rFonts w:ascii="Times New Roman" w:hAnsi="Times New Roman"/>
          <w:b w:val="0"/>
          <w:sz w:val="24"/>
          <w:szCs w:val="24"/>
        </w:rPr>
      </w:pPr>
      <w:r>
        <w:br w:type="page"/>
      </w:r>
      <w:r>
        <w:rPr>
          <w:rFonts w:ascii="Times New Roman" w:hAnsi="Times New Roman"/>
          <w:b w:val="0"/>
          <w:sz w:val="24"/>
          <w:szCs w:val="24"/>
        </w:rPr>
        <w:t>注：技术归口单位列仅列出了简称，其全称如下所示。</w:t>
      </w:r>
    </w:p>
    <w:tbl>
      <w:tblPr>
        <w:tblStyle w:val="8"/>
        <w:tblW w:w="0" w:type="auto"/>
        <w:jc w:val="center"/>
        <w:tblLayout w:type="fixed"/>
        <w:tblCellMar>
          <w:top w:w="0" w:type="dxa"/>
          <w:left w:w="15" w:type="dxa"/>
          <w:bottom w:w="0" w:type="dxa"/>
          <w:right w:w="15" w:type="dxa"/>
        </w:tblCellMar>
      </w:tblPr>
      <w:tblGrid>
        <w:gridCol w:w="1174"/>
        <w:gridCol w:w="2550"/>
        <w:gridCol w:w="7993"/>
      </w:tblGrid>
      <w:tr>
        <w:tblPrEx>
          <w:tblCellMar>
            <w:top w:w="0" w:type="dxa"/>
            <w:left w:w="15" w:type="dxa"/>
            <w:bottom w:w="0" w:type="dxa"/>
            <w:right w:w="15" w:type="dxa"/>
          </w:tblCellMar>
        </w:tblPrEx>
        <w:trPr>
          <w:trHeight w:val="364" w:hRule="atLeast"/>
          <w:tblHeader/>
          <w:jc w:val="center"/>
        </w:trPr>
        <w:tc>
          <w:tcPr>
            <w:tcW w:w="1174" w:type="dxa"/>
            <w:tcBorders>
              <w:top w:val="single" w:color="000000" w:sz="8" w:space="0"/>
              <w:left w:val="single" w:color="000000" w:sz="8" w:space="0"/>
              <w:bottom w:val="single" w:color="000000" w:sz="8" w:space="0"/>
              <w:right w:val="single" w:color="000000" w:sz="8" w:space="0"/>
            </w:tcBorders>
            <w:vAlign w:val="center"/>
          </w:tcPr>
          <w:p>
            <w:pPr>
              <w:autoSpaceDN w:val="0"/>
              <w:spacing w:line="400" w:lineRule="exact"/>
              <w:jc w:val="center"/>
              <w:textAlignment w:val="center"/>
              <w:rPr>
                <w:rFonts w:ascii="宋体" w:hAnsi="宋体" w:eastAsia="宋体"/>
                <w:b/>
                <w:sz w:val="24"/>
                <w:szCs w:val="24"/>
              </w:rPr>
            </w:pPr>
            <w:r>
              <w:rPr>
                <w:rFonts w:ascii="宋体" w:hAnsi="宋体" w:eastAsia="宋体"/>
                <w:b/>
                <w:sz w:val="24"/>
                <w:szCs w:val="24"/>
              </w:rPr>
              <w:t>序号</w:t>
            </w:r>
          </w:p>
        </w:tc>
        <w:tc>
          <w:tcPr>
            <w:tcW w:w="2550" w:type="dxa"/>
            <w:tcBorders>
              <w:top w:val="single" w:color="000000" w:sz="8" w:space="0"/>
              <w:left w:val="single" w:color="000000" w:sz="8" w:space="0"/>
              <w:bottom w:val="single" w:color="000000" w:sz="8" w:space="0"/>
              <w:right w:val="single" w:color="000000" w:sz="8" w:space="0"/>
            </w:tcBorders>
            <w:vAlign w:val="center"/>
          </w:tcPr>
          <w:p>
            <w:pPr>
              <w:autoSpaceDN w:val="0"/>
              <w:spacing w:line="400" w:lineRule="exact"/>
              <w:jc w:val="center"/>
              <w:textAlignment w:val="center"/>
              <w:rPr>
                <w:rFonts w:ascii="宋体" w:hAnsi="宋体" w:eastAsia="宋体"/>
                <w:b/>
                <w:sz w:val="24"/>
                <w:szCs w:val="24"/>
              </w:rPr>
            </w:pPr>
            <w:r>
              <w:rPr>
                <w:rFonts w:ascii="宋体" w:hAnsi="宋体" w:eastAsia="宋体"/>
                <w:b/>
                <w:sz w:val="24"/>
                <w:szCs w:val="24"/>
              </w:rPr>
              <w:t>简称</w:t>
            </w:r>
          </w:p>
        </w:tc>
        <w:tc>
          <w:tcPr>
            <w:tcW w:w="7993" w:type="dxa"/>
            <w:tcBorders>
              <w:top w:val="single" w:color="000000" w:sz="8" w:space="0"/>
              <w:left w:val="single" w:color="000000" w:sz="8" w:space="0"/>
              <w:bottom w:val="single" w:color="000000" w:sz="8" w:space="0"/>
              <w:right w:val="single" w:color="000000" w:sz="8" w:space="0"/>
            </w:tcBorders>
            <w:vAlign w:val="center"/>
          </w:tcPr>
          <w:p>
            <w:pPr>
              <w:autoSpaceDN w:val="0"/>
              <w:spacing w:line="400" w:lineRule="exact"/>
              <w:jc w:val="center"/>
              <w:textAlignment w:val="center"/>
              <w:rPr>
                <w:rFonts w:ascii="宋体" w:hAnsi="宋体" w:eastAsia="宋体"/>
                <w:b/>
                <w:sz w:val="24"/>
                <w:szCs w:val="24"/>
              </w:rPr>
            </w:pPr>
            <w:r>
              <w:rPr>
                <w:rFonts w:ascii="宋体" w:hAnsi="宋体" w:eastAsia="宋体"/>
                <w:b/>
                <w:sz w:val="24"/>
                <w:szCs w:val="24"/>
              </w:rPr>
              <w:t>全称</w:t>
            </w:r>
          </w:p>
        </w:tc>
      </w:tr>
      <w:tr>
        <w:tblPrEx>
          <w:tblCellMar>
            <w:top w:w="0" w:type="dxa"/>
            <w:left w:w="15" w:type="dxa"/>
            <w:bottom w:w="0" w:type="dxa"/>
            <w:right w:w="15" w:type="dxa"/>
          </w:tblCellMar>
        </w:tblPrEx>
        <w:trPr>
          <w:trHeight w:val="42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综合运输标委会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全国综合交通运输标准化技术委员会（SAC/TC 571）</w:t>
            </w:r>
          </w:p>
        </w:tc>
      </w:tr>
      <w:tr>
        <w:tblPrEx>
          <w:tblCellMar>
            <w:top w:w="0" w:type="dxa"/>
            <w:left w:w="15" w:type="dxa"/>
            <w:bottom w:w="0" w:type="dxa"/>
            <w:right w:w="15" w:type="dxa"/>
          </w:tblCellMar>
        </w:tblPrEx>
        <w:trPr>
          <w:trHeight w:val="42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hint="eastAsia" w:ascii="宋体" w:hAnsi="宋体" w:eastAsia="宋体"/>
                <w:sz w:val="24"/>
                <w:szCs w:val="24"/>
              </w:rPr>
              <w:t>内河船标委会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hint="eastAsia" w:ascii="宋体" w:hAnsi="宋体" w:eastAsia="宋体"/>
                <w:sz w:val="24"/>
                <w:szCs w:val="24"/>
              </w:rPr>
            </w:pPr>
            <w:r>
              <w:rPr>
                <w:rFonts w:hint="eastAsia" w:ascii="宋体" w:hAnsi="宋体" w:eastAsia="宋体"/>
                <w:sz w:val="24"/>
                <w:szCs w:val="24"/>
              </w:rPr>
              <w:t>全国内河船标准化技术委员会（</w:t>
            </w:r>
            <w:r>
              <w:rPr>
                <w:rFonts w:ascii="宋体" w:hAnsi="宋体" w:eastAsia="宋体"/>
                <w:sz w:val="24"/>
                <w:szCs w:val="24"/>
              </w:rPr>
              <w:t>SAC/TC 130</w:t>
            </w:r>
            <w:r>
              <w:rPr>
                <w:rFonts w:hint="eastAsia" w:ascii="宋体" w:hAnsi="宋体" w:eastAsia="宋体"/>
                <w:sz w:val="24"/>
                <w:szCs w:val="24"/>
              </w:rPr>
              <w:t>）</w:t>
            </w:r>
          </w:p>
        </w:tc>
      </w:tr>
      <w:tr>
        <w:tblPrEx>
          <w:tblCellMar>
            <w:top w:w="0" w:type="dxa"/>
            <w:left w:w="15" w:type="dxa"/>
            <w:bottom w:w="0" w:type="dxa"/>
            <w:right w:w="15" w:type="dxa"/>
          </w:tblCellMar>
        </w:tblPrEx>
        <w:trPr>
          <w:trHeight w:val="42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交通工程标委会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全国交通工程设施（公路）标准化技术委员会（SAC/TC 223）</w:t>
            </w:r>
          </w:p>
        </w:tc>
      </w:tr>
      <w:tr>
        <w:tblPrEx>
          <w:tblCellMar>
            <w:top w:w="0" w:type="dxa"/>
            <w:left w:w="15" w:type="dxa"/>
            <w:bottom w:w="0" w:type="dxa"/>
            <w:right w:w="15" w:type="dxa"/>
          </w:tblCellMar>
        </w:tblPrEx>
        <w:trPr>
          <w:trHeight w:val="42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汽车维修标委会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全国汽车维修标准化技术委员会（SAC/TC 247）</w:t>
            </w:r>
          </w:p>
        </w:tc>
      </w:tr>
      <w:tr>
        <w:tblPrEx>
          <w:tblCellMar>
            <w:top w:w="0" w:type="dxa"/>
            <w:left w:w="15" w:type="dxa"/>
            <w:bottom w:w="0" w:type="dxa"/>
            <w:right w:w="15" w:type="dxa"/>
          </w:tblCellMar>
        </w:tblPrEx>
        <w:trPr>
          <w:trHeight w:val="42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道路运输标委会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全国道路运输标准化技术委员会（SAC/TC 521）</w:t>
            </w:r>
          </w:p>
        </w:tc>
      </w:tr>
      <w:tr>
        <w:tblPrEx>
          <w:tblCellMar>
            <w:top w:w="0" w:type="dxa"/>
            <w:left w:w="15" w:type="dxa"/>
            <w:bottom w:w="0" w:type="dxa"/>
            <w:right w:w="15" w:type="dxa"/>
          </w:tblCellMar>
        </w:tblPrEx>
        <w:trPr>
          <w:trHeight w:val="42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城市客运标委会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全国城市客运标准化技术委员会（SAC/TC 529）</w:t>
            </w:r>
          </w:p>
        </w:tc>
      </w:tr>
      <w:tr>
        <w:tblPrEx>
          <w:tblCellMar>
            <w:top w:w="0" w:type="dxa"/>
            <w:left w:w="15" w:type="dxa"/>
            <w:bottom w:w="0" w:type="dxa"/>
            <w:right w:w="15" w:type="dxa"/>
          </w:tblCellMar>
        </w:tblPrEx>
        <w:trPr>
          <w:trHeight w:val="42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港口标委会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全国港口标准化技术委员会（SAC/TC 530）</w:t>
            </w:r>
          </w:p>
        </w:tc>
      </w:tr>
      <w:tr>
        <w:tblPrEx>
          <w:tblCellMar>
            <w:top w:w="0" w:type="dxa"/>
            <w:left w:w="15" w:type="dxa"/>
            <w:bottom w:w="0" w:type="dxa"/>
            <w:right w:w="15" w:type="dxa"/>
          </w:tblCellMar>
        </w:tblPrEx>
        <w:trPr>
          <w:trHeight w:val="42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hint="eastAsia" w:ascii="宋体" w:hAnsi="宋体" w:eastAsia="宋体"/>
                <w:sz w:val="24"/>
                <w:szCs w:val="24"/>
              </w:rPr>
              <w:t>客车</w:t>
            </w:r>
            <w:r>
              <w:rPr>
                <w:rFonts w:ascii="宋体" w:hAnsi="宋体" w:eastAsia="宋体"/>
                <w:sz w:val="24"/>
                <w:szCs w:val="24"/>
              </w:rPr>
              <w:t>分委会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全国</w:t>
            </w:r>
            <w:r>
              <w:rPr>
                <w:rFonts w:hint="eastAsia" w:ascii="宋体" w:hAnsi="宋体" w:eastAsia="宋体"/>
                <w:sz w:val="24"/>
                <w:szCs w:val="24"/>
              </w:rPr>
              <w:t>汽车</w:t>
            </w:r>
            <w:r>
              <w:rPr>
                <w:rFonts w:ascii="宋体" w:hAnsi="宋体" w:eastAsia="宋体"/>
                <w:sz w:val="24"/>
                <w:szCs w:val="24"/>
              </w:rPr>
              <w:t>标准化技术委员会</w:t>
            </w:r>
            <w:r>
              <w:rPr>
                <w:rFonts w:hint="eastAsia" w:ascii="宋体" w:hAnsi="宋体" w:eastAsia="宋体"/>
                <w:sz w:val="24"/>
                <w:szCs w:val="24"/>
              </w:rPr>
              <w:t>客车</w:t>
            </w:r>
            <w:r>
              <w:rPr>
                <w:rFonts w:ascii="宋体" w:hAnsi="宋体" w:eastAsia="宋体"/>
                <w:sz w:val="24"/>
                <w:szCs w:val="24"/>
              </w:rPr>
              <w:t>分技术委员会（SAC/TC 114/SC 22）</w:t>
            </w:r>
          </w:p>
        </w:tc>
      </w:tr>
      <w:tr>
        <w:tblPrEx>
          <w:tblCellMar>
            <w:top w:w="0" w:type="dxa"/>
            <w:left w:w="15" w:type="dxa"/>
            <w:bottom w:w="0" w:type="dxa"/>
            <w:right w:w="15" w:type="dxa"/>
          </w:tblCellMar>
        </w:tblPrEx>
        <w:trPr>
          <w:trHeight w:val="379"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航海安全标委会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交通运输航海安全标准化技术委员会</w:t>
            </w:r>
          </w:p>
        </w:tc>
      </w:tr>
      <w:tr>
        <w:tblPrEx>
          <w:tblCellMar>
            <w:top w:w="0" w:type="dxa"/>
            <w:left w:w="15" w:type="dxa"/>
            <w:bottom w:w="0" w:type="dxa"/>
            <w:right w:w="15" w:type="dxa"/>
          </w:tblCellMar>
        </w:tblPrEx>
        <w:trPr>
          <w:trHeight w:val="39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航测标委会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交通运输航测标准化技术委员会</w:t>
            </w:r>
          </w:p>
        </w:tc>
      </w:tr>
      <w:tr>
        <w:tblPrEx>
          <w:tblCellMar>
            <w:top w:w="0" w:type="dxa"/>
            <w:left w:w="15" w:type="dxa"/>
            <w:bottom w:w="0" w:type="dxa"/>
            <w:right w:w="15" w:type="dxa"/>
          </w:tblCellMar>
        </w:tblPrEx>
        <w:trPr>
          <w:trHeight w:val="45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救捞标委会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交通运输救捞与水下工程标准化技术委员会</w:t>
            </w:r>
          </w:p>
        </w:tc>
      </w:tr>
      <w:tr>
        <w:tblPrEx>
          <w:tblCellMar>
            <w:top w:w="0" w:type="dxa"/>
            <w:left w:w="15" w:type="dxa"/>
            <w:bottom w:w="0" w:type="dxa"/>
            <w:right w:w="15" w:type="dxa"/>
          </w:tblCellMar>
        </w:tblPrEx>
        <w:trPr>
          <w:trHeight w:val="45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信息通导标委会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交通运输信息通信及导航标准化技术委员会</w:t>
            </w:r>
          </w:p>
        </w:tc>
      </w:tr>
      <w:tr>
        <w:tblPrEx>
          <w:tblCellMar>
            <w:top w:w="0" w:type="dxa"/>
            <w:left w:w="15" w:type="dxa"/>
            <w:bottom w:w="0" w:type="dxa"/>
            <w:right w:w="15" w:type="dxa"/>
          </w:tblCellMar>
        </w:tblPrEx>
        <w:trPr>
          <w:trHeight w:val="469"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公路计量委员会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全国公路专用计量器具计量技术委员会</w:t>
            </w:r>
            <w:r>
              <w:rPr>
                <w:rFonts w:hint="eastAsia" w:ascii="宋体" w:hAnsi="宋体" w:eastAsia="宋体"/>
                <w:sz w:val="24"/>
                <w:szCs w:val="24"/>
              </w:rPr>
              <w:t>（M</w:t>
            </w:r>
            <w:r>
              <w:rPr>
                <w:rFonts w:ascii="宋体" w:hAnsi="宋体" w:eastAsia="宋体"/>
                <w:sz w:val="24"/>
                <w:szCs w:val="24"/>
              </w:rPr>
              <w:t>TC 30</w:t>
            </w:r>
            <w:r>
              <w:rPr>
                <w:rFonts w:hint="eastAsia" w:ascii="宋体" w:hAnsi="宋体" w:eastAsia="宋体"/>
                <w:sz w:val="24"/>
                <w:szCs w:val="24"/>
              </w:rPr>
              <w:t>）</w:t>
            </w:r>
          </w:p>
        </w:tc>
      </w:tr>
      <w:tr>
        <w:tblPrEx>
          <w:tblCellMar>
            <w:top w:w="0" w:type="dxa"/>
            <w:left w:w="15" w:type="dxa"/>
            <w:bottom w:w="0" w:type="dxa"/>
            <w:right w:w="15" w:type="dxa"/>
          </w:tblCellMar>
        </w:tblPrEx>
        <w:trPr>
          <w:trHeight w:val="424" w:hRule="atLeast"/>
          <w:jc w:val="center"/>
        </w:trPr>
        <w:tc>
          <w:tcPr>
            <w:tcW w:w="117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0"/>
              <w:numPr>
                <w:ilvl w:val="0"/>
                <w:numId w:val="4"/>
              </w:numPr>
              <w:autoSpaceDN w:val="0"/>
              <w:spacing w:line="400" w:lineRule="exact"/>
              <w:ind w:firstLineChars="0"/>
              <w:jc w:val="center"/>
              <w:textAlignment w:val="center"/>
              <w:rPr>
                <w:rFonts w:ascii="宋体" w:hAnsi="宋体" w:eastAsia="宋体"/>
                <w:sz w:val="24"/>
                <w:szCs w:val="24"/>
              </w:rPr>
            </w:pPr>
          </w:p>
        </w:tc>
        <w:tc>
          <w:tcPr>
            <w:tcW w:w="2550"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center"/>
              <w:textAlignment w:val="center"/>
              <w:rPr>
                <w:rFonts w:ascii="宋体" w:hAnsi="宋体" w:eastAsia="宋体"/>
                <w:sz w:val="24"/>
                <w:szCs w:val="24"/>
              </w:rPr>
            </w:pPr>
            <w:r>
              <w:rPr>
                <w:rFonts w:ascii="宋体" w:hAnsi="宋体" w:eastAsia="宋体"/>
                <w:sz w:val="24"/>
                <w:szCs w:val="24"/>
              </w:rPr>
              <w:t>水运计量委员会</w:t>
            </w:r>
          </w:p>
        </w:tc>
        <w:tc>
          <w:tcPr>
            <w:tcW w:w="799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N w:val="0"/>
              <w:spacing w:line="400" w:lineRule="exact"/>
              <w:jc w:val="left"/>
              <w:textAlignment w:val="center"/>
              <w:rPr>
                <w:rFonts w:ascii="宋体" w:hAnsi="宋体" w:eastAsia="宋体"/>
                <w:sz w:val="24"/>
                <w:szCs w:val="24"/>
              </w:rPr>
            </w:pPr>
            <w:r>
              <w:rPr>
                <w:rFonts w:ascii="宋体" w:hAnsi="宋体" w:eastAsia="宋体"/>
                <w:sz w:val="24"/>
                <w:szCs w:val="24"/>
              </w:rPr>
              <w:t>全国水运专用计量器具计量技术委员会</w:t>
            </w:r>
            <w:r>
              <w:rPr>
                <w:rFonts w:hint="eastAsia" w:ascii="宋体" w:hAnsi="宋体" w:eastAsia="宋体"/>
                <w:sz w:val="24"/>
                <w:szCs w:val="24"/>
              </w:rPr>
              <w:t>（M</w:t>
            </w:r>
            <w:r>
              <w:rPr>
                <w:rFonts w:ascii="宋体" w:hAnsi="宋体" w:eastAsia="宋体"/>
                <w:sz w:val="24"/>
                <w:szCs w:val="24"/>
              </w:rPr>
              <w:t>TC 31</w:t>
            </w:r>
            <w:r>
              <w:rPr>
                <w:rFonts w:hint="eastAsia" w:ascii="宋体" w:hAnsi="宋体" w:eastAsia="宋体"/>
                <w:sz w:val="24"/>
                <w:szCs w:val="24"/>
              </w:rPr>
              <w:t>）</w:t>
            </w:r>
          </w:p>
        </w:tc>
      </w:tr>
    </w:tbl>
    <w:p>
      <w:pPr>
        <w:widowControl/>
        <w:jc w:val="left"/>
      </w:pPr>
    </w:p>
    <w:sectPr>
      <w:footerReference r:id="rId3" w:type="default"/>
      <w:pgSz w:w="16838" w:h="11906" w:orient="landscape"/>
      <w:pgMar w:top="1797" w:right="1440" w:bottom="1797" w:left="1440" w:header="851" w:footer="992" w:gutter="0"/>
      <w:pgNumType w:fmt="numberInDash"/>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2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1"/>
        <w:szCs w:val="21"/>
      </w:rPr>
      <w:id w:val="1706834940"/>
      <w:docPartObj>
        <w:docPartGallery w:val="autotext"/>
      </w:docPartObj>
    </w:sdtPr>
    <w:sdtEndPr>
      <w:rPr>
        <w:rFonts w:ascii="宋体" w:hAnsi="宋体" w:eastAsia="宋体"/>
        <w:sz w:val="21"/>
        <w:szCs w:val="21"/>
      </w:rPr>
    </w:sdtEndPr>
    <w:sdtContent>
      <w:p>
        <w:pPr>
          <w:pStyle w:val="4"/>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w:t>
        </w:r>
        <w:r>
          <w:rPr>
            <w:rFonts w:ascii="宋体" w:hAnsi="宋体" w:eastAsia="宋体"/>
            <w:sz w:val="21"/>
            <w:szCs w:val="21"/>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63670"/>
    <w:multiLevelType w:val="multilevel"/>
    <w:tmpl w:val="16963670"/>
    <w:lvl w:ilvl="0" w:tentative="0">
      <w:start w:val="1"/>
      <w:numFmt w:val="decimal"/>
      <w:lvlText w:val="%1"/>
      <w:lvlJc w:val="left"/>
      <w:pPr>
        <w:ind w:left="420" w:hanging="420"/>
      </w:pPr>
      <w:rPr>
        <w:rFonts w:hint="eastAsia" w:eastAsia="宋体"/>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623620"/>
    <w:multiLevelType w:val="multilevel"/>
    <w:tmpl w:val="43623620"/>
    <w:lvl w:ilvl="0" w:tentative="0">
      <w:start w:val="1"/>
      <w:numFmt w:val="decimal"/>
      <w:lvlText w:val="%1"/>
      <w:lvlJc w:val="left"/>
      <w:pPr>
        <w:ind w:left="420" w:hanging="420"/>
      </w:pPr>
      <w:rPr>
        <w:rFonts w:hint="eastAsia" w:eastAsia="宋体"/>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09B1287"/>
    <w:multiLevelType w:val="multilevel"/>
    <w:tmpl w:val="509B1287"/>
    <w:lvl w:ilvl="0" w:tentative="0">
      <w:start w:val="1"/>
      <w:numFmt w:val="decimal"/>
      <w:lvlText w:val="%1"/>
      <w:lvlJc w:val="left"/>
      <w:pPr>
        <w:ind w:left="420" w:hanging="420"/>
      </w:pPr>
      <w:rPr>
        <w:rFonts w:hint="eastAsia" w:eastAsia="宋体"/>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8C26F4"/>
    <w:multiLevelType w:val="multilevel"/>
    <w:tmpl w:val="558C26F4"/>
    <w:lvl w:ilvl="0" w:tentative="0">
      <w:start w:val="1"/>
      <w:numFmt w:val="decimal"/>
      <w:lvlText w:val="%1"/>
      <w:lvlJc w:val="left"/>
      <w:pPr>
        <w:ind w:left="420" w:hanging="420"/>
      </w:pPr>
      <w:rPr>
        <w:rFonts w:hint="eastAsia" w:eastAsia="宋体"/>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105"/>
  <w:drawingGridVerticalSpacing w:val="16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75"/>
    <w:rsid w:val="00081FD8"/>
    <w:rsid w:val="000B30A0"/>
    <w:rsid w:val="00134C18"/>
    <w:rsid w:val="00170CED"/>
    <w:rsid w:val="001A2052"/>
    <w:rsid w:val="001E18CB"/>
    <w:rsid w:val="001E28DC"/>
    <w:rsid w:val="00214523"/>
    <w:rsid w:val="00292804"/>
    <w:rsid w:val="00297BC4"/>
    <w:rsid w:val="002D5BE7"/>
    <w:rsid w:val="002F1D0B"/>
    <w:rsid w:val="002F2D56"/>
    <w:rsid w:val="003323FE"/>
    <w:rsid w:val="00353D4B"/>
    <w:rsid w:val="00362A7A"/>
    <w:rsid w:val="0036497C"/>
    <w:rsid w:val="00392665"/>
    <w:rsid w:val="00394647"/>
    <w:rsid w:val="003948FA"/>
    <w:rsid w:val="003E0B08"/>
    <w:rsid w:val="003F4D47"/>
    <w:rsid w:val="00402DC2"/>
    <w:rsid w:val="00412E9C"/>
    <w:rsid w:val="00437B6D"/>
    <w:rsid w:val="00442AC9"/>
    <w:rsid w:val="00447742"/>
    <w:rsid w:val="00453077"/>
    <w:rsid w:val="004554F2"/>
    <w:rsid w:val="00491960"/>
    <w:rsid w:val="004D4479"/>
    <w:rsid w:val="004E5D0A"/>
    <w:rsid w:val="00501512"/>
    <w:rsid w:val="00550545"/>
    <w:rsid w:val="005632A5"/>
    <w:rsid w:val="005635A2"/>
    <w:rsid w:val="00587EC4"/>
    <w:rsid w:val="00590368"/>
    <w:rsid w:val="005A47E7"/>
    <w:rsid w:val="005C5660"/>
    <w:rsid w:val="005C65EF"/>
    <w:rsid w:val="005F4C23"/>
    <w:rsid w:val="006042C3"/>
    <w:rsid w:val="00636C54"/>
    <w:rsid w:val="0069445E"/>
    <w:rsid w:val="006D0098"/>
    <w:rsid w:val="006E430B"/>
    <w:rsid w:val="007364F4"/>
    <w:rsid w:val="00766871"/>
    <w:rsid w:val="007A21F7"/>
    <w:rsid w:val="007A5F65"/>
    <w:rsid w:val="007F6E88"/>
    <w:rsid w:val="00813FA5"/>
    <w:rsid w:val="008275ED"/>
    <w:rsid w:val="00850C75"/>
    <w:rsid w:val="00893266"/>
    <w:rsid w:val="008B5B09"/>
    <w:rsid w:val="008C04B2"/>
    <w:rsid w:val="008F692B"/>
    <w:rsid w:val="00905AA1"/>
    <w:rsid w:val="009068EA"/>
    <w:rsid w:val="00915CC3"/>
    <w:rsid w:val="00934377"/>
    <w:rsid w:val="0099587C"/>
    <w:rsid w:val="009B2110"/>
    <w:rsid w:val="00A11123"/>
    <w:rsid w:val="00A568D7"/>
    <w:rsid w:val="00A65B2A"/>
    <w:rsid w:val="00A8132B"/>
    <w:rsid w:val="00AB05FE"/>
    <w:rsid w:val="00AE5D6F"/>
    <w:rsid w:val="00B20CAF"/>
    <w:rsid w:val="00B3466F"/>
    <w:rsid w:val="00B35602"/>
    <w:rsid w:val="00B40B34"/>
    <w:rsid w:val="00B558E3"/>
    <w:rsid w:val="00BA4C8E"/>
    <w:rsid w:val="00BD6F65"/>
    <w:rsid w:val="00C251C1"/>
    <w:rsid w:val="00C376F1"/>
    <w:rsid w:val="00CA124A"/>
    <w:rsid w:val="00CA2EC8"/>
    <w:rsid w:val="00CC5F27"/>
    <w:rsid w:val="00D11AFD"/>
    <w:rsid w:val="00D2172D"/>
    <w:rsid w:val="00D26732"/>
    <w:rsid w:val="00D356F2"/>
    <w:rsid w:val="00D75CE6"/>
    <w:rsid w:val="00D86F80"/>
    <w:rsid w:val="00D96CFF"/>
    <w:rsid w:val="00DB784B"/>
    <w:rsid w:val="00DE3DF1"/>
    <w:rsid w:val="00EE744B"/>
    <w:rsid w:val="00F826C8"/>
    <w:rsid w:val="00F835AC"/>
    <w:rsid w:val="00F83DAA"/>
    <w:rsid w:val="00F8508E"/>
    <w:rsid w:val="00FA6797"/>
    <w:rsid w:val="00FD54D2"/>
    <w:rsid w:val="19FF2CC6"/>
    <w:rsid w:val="383F3F5B"/>
    <w:rsid w:val="CFF78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41"/>
    <w:qFormat/>
    <w:uiPriority w:val="0"/>
    <w:pPr>
      <w:keepNext/>
      <w:keepLines/>
      <w:spacing w:line="360" w:lineRule="auto"/>
      <w:outlineLvl w:val="1"/>
    </w:pPr>
    <w:rPr>
      <w:rFonts w:ascii="Cambria" w:hAnsi="Cambria" w:eastAsia="宋体" w:cs="Times New Roman"/>
      <w:b/>
      <w:bCs/>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7">
    <w:name w:val="annotation subject"/>
    <w:basedOn w:val="3"/>
    <w:next w:val="3"/>
    <w:link w:val="18"/>
    <w:semiHidden/>
    <w:unhideWhenUsed/>
    <w:qFormat/>
    <w:uiPriority w:val="99"/>
    <w:rPr>
      <w:b/>
      <w:bCs/>
    </w:rPr>
  </w:style>
  <w:style w:type="table" w:styleId="9">
    <w:name w:val="Table Grid"/>
    <w:basedOn w:val="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954F72"/>
      <w:u w:val="single"/>
    </w:rPr>
  </w:style>
  <w:style w:type="character" w:styleId="12">
    <w:name w:val="Hyperlink"/>
    <w:basedOn w:val="10"/>
    <w:semiHidden/>
    <w:unhideWhenUsed/>
    <w:qFormat/>
    <w:uiPriority w:val="99"/>
    <w:rPr>
      <w:color w:val="0563C1"/>
      <w:u w:val="single"/>
    </w:rPr>
  </w:style>
  <w:style w:type="character" w:styleId="13">
    <w:name w:val="annotation reference"/>
    <w:basedOn w:val="10"/>
    <w:semiHidden/>
    <w:unhideWhenUsed/>
    <w:qFormat/>
    <w:uiPriority w:val="99"/>
    <w:rPr>
      <w:sz w:val="21"/>
      <w:szCs w:val="21"/>
    </w:rPr>
  </w:style>
  <w:style w:type="character" w:customStyle="1" w:styleId="14">
    <w:name w:val="批注文字 字符"/>
    <w:basedOn w:val="10"/>
    <w:link w:val="3"/>
    <w:semiHidden/>
    <w:qFormat/>
    <w:uiPriority w:val="99"/>
  </w:style>
  <w:style w:type="character" w:customStyle="1" w:styleId="15">
    <w:name w:val="页脚 字符"/>
    <w:basedOn w:val="10"/>
    <w:link w:val="4"/>
    <w:qFormat/>
    <w:uiPriority w:val="99"/>
    <w:rPr>
      <w:sz w:val="18"/>
      <w:szCs w:val="18"/>
    </w:rPr>
  </w:style>
  <w:style w:type="character" w:customStyle="1" w:styleId="16">
    <w:name w:val="页眉 字符"/>
    <w:basedOn w:val="10"/>
    <w:link w:val="5"/>
    <w:qFormat/>
    <w:uiPriority w:val="99"/>
    <w:rPr>
      <w:sz w:val="18"/>
      <w:szCs w:val="18"/>
    </w:rPr>
  </w:style>
  <w:style w:type="character" w:customStyle="1" w:styleId="17">
    <w:name w:val="HTML 预设格式 字符"/>
    <w:basedOn w:val="10"/>
    <w:link w:val="6"/>
    <w:semiHidden/>
    <w:qFormat/>
    <w:uiPriority w:val="99"/>
    <w:rPr>
      <w:rFonts w:ascii="宋体" w:hAnsi="宋体" w:eastAsia="宋体" w:cs="Times New Roman"/>
      <w:kern w:val="0"/>
      <w:sz w:val="24"/>
      <w:szCs w:val="24"/>
    </w:rPr>
  </w:style>
  <w:style w:type="character" w:customStyle="1" w:styleId="18">
    <w:name w:val="批注主题 字符"/>
    <w:basedOn w:val="14"/>
    <w:link w:val="7"/>
    <w:semiHidden/>
    <w:qFormat/>
    <w:uiPriority w:val="99"/>
    <w:rPr>
      <w:b/>
      <w:bCs/>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1">
    <w:name w:val="font6"/>
    <w:basedOn w:val="1"/>
    <w:qFormat/>
    <w:uiPriority w:val="0"/>
    <w:pPr>
      <w:widowControl/>
      <w:spacing w:before="100" w:beforeAutospacing="1" w:after="100" w:afterAutospacing="1"/>
      <w:jc w:val="left"/>
    </w:pPr>
    <w:rPr>
      <w:rFonts w:ascii="仿宋_GB2312" w:hAnsi="宋体" w:eastAsia="仿宋_GB2312" w:cs="宋体"/>
      <w:color w:val="000000"/>
      <w:kern w:val="0"/>
      <w:sz w:val="22"/>
    </w:rPr>
  </w:style>
  <w:style w:type="paragraph" w:customStyle="1" w:styleId="22">
    <w:name w:val="font7"/>
    <w:basedOn w:val="1"/>
    <w:qFormat/>
    <w:uiPriority w:val="0"/>
    <w:pPr>
      <w:widowControl/>
      <w:spacing w:before="100" w:beforeAutospacing="1" w:after="100" w:afterAutospacing="1"/>
      <w:jc w:val="left"/>
    </w:pPr>
    <w:rPr>
      <w:rFonts w:ascii="仿宋_GB2312" w:hAnsi="宋体" w:eastAsia="仿宋_GB2312" w:cs="宋体"/>
      <w:b/>
      <w:bCs/>
      <w:color w:val="000000"/>
      <w:kern w:val="0"/>
      <w:sz w:val="22"/>
    </w:rPr>
  </w:style>
  <w:style w:type="paragraph" w:customStyle="1" w:styleId="23">
    <w:name w:val="xl65"/>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2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color w:val="000000"/>
      <w:kern w:val="0"/>
      <w:sz w:val="24"/>
      <w:szCs w:val="24"/>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仿宋_GB2312" w:hAnsi="宋体" w:eastAsia="仿宋_GB2312" w:cs="宋体"/>
      <w:kern w:val="0"/>
      <w:sz w:val="24"/>
      <w:szCs w:val="24"/>
    </w:rPr>
  </w:style>
  <w:style w:type="paragraph" w:customStyle="1" w:styleId="29">
    <w:name w:val="xl71"/>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styleId="30">
    <w:name w:val="List Paragraph"/>
    <w:basedOn w:val="1"/>
    <w:qFormat/>
    <w:uiPriority w:val="34"/>
    <w:pPr>
      <w:ind w:firstLine="420" w:firstLineChars="200"/>
    </w:pPr>
  </w:style>
  <w:style w:type="paragraph" w:customStyle="1" w:styleId="31">
    <w:name w:val="列出段落1"/>
    <w:basedOn w:val="1"/>
    <w:qFormat/>
    <w:uiPriority w:val="34"/>
    <w:pPr>
      <w:ind w:firstLine="420" w:firstLineChars="200"/>
    </w:pPr>
    <w:rPr>
      <w:rFonts w:ascii="Calibri" w:hAnsi="Calibri" w:eastAsia="宋体" w:cs="Times New Roman"/>
    </w:rPr>
  </w:style>
  <w:style w:type="paragraph" w:customStyle="1" w:styleId="32">
    <w:name w:val="xl63"/>
    <w:basedOn w:val="1"/>
    <w:qFormat/>
    <w:uiPriority w:val="0"/>
    <w:pPr>
      <w:widowControl/>
      <w:spacing w:before="100" w:beforeAutospacing="1" w:after="100" w:afterAutospacing="1"/>
      <w:jc w:val="left"/>
      <w:textAlignment w:val="bottom"/>
    </w:pPr>
    <w:rPr>
      <w:rFonts w:ascii="仿宋_GB2312" w:hAnsi="宋体" w:eastAsia="仿宋_GB2312" w:cs="宋体"/>
      <w:kern w:val="0"/>
      <w:sz w:val="24"/>
      <w:szCs w:val="24"/>
    </w:rPr>
  </w:style>
  <w:style w:type="paragraph" w:customStyle="1" w:styleId="33">
    <w:name w:val="xl64"/>
    <w:basedOn w:val="1"/>
    <w:qFormat/>
    <w:uiPriority w:val="0"/>
    <w:pPr>
      <w:widowControl/>
      <w:spacing w:before="100" w:beforeAutospacing="1" w:after="100" w:afterAutospacing="1"/>
      <w:jc w:val="left"/>
      <w:textAlignment w:val="bottom"/>
    </w:pPr>
    <w:rPr>
      <w:rFonts w:ascii="仿宋_GB2312" w:hAnsi="宋体" w:eastAsia="仿宋_GB2312" w:cs="宋体"/>
      <w:kern w:val="0"/>
      <w:sz w:val="24"/>
      <w:szCs w:val="24"/>
    </w:rPr>
  </w:style>
  <w:style w:type="paragraph" w:customStyle="1" w:styleId="3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color w:val="000000"/>
      <w:kern w:val="0"/>
      <w:sz w:val="24"/>
      <w:szCs w:val="24"/>
    </w:rPr>
  </w:style>
  <w:style w:type="paragraph" w:customStyle="1" w:styleId="3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36">
    <w:name w:val="xl74"/>
    <w:basedOn w:val="1"/>
    <w:qFormat/>
    <w:uiPriority w:val="0"/>
    <w:pPr>
      <w:widowControl/>
      <w:spacing w:before="100" w:beforeAutospacing="1" w:after="100" w:afterAutospacing="1"/>
      <w:jc w:val="center"/>
      <w:textAlignment w:val="bottom"/>
    </w:pPr>
    <w:rPr>
      <w:rFonts w:ascii="仿宋_GB2312" w:hAnsi="宋体" w:eastAsia="仿宋_GB2312" w:cs="宋体"/>
      <w:kern w:val="0"/>
      <w:sz w:val="24"/>
      <w:szCs w:val="24"/>
    </w:rPr>
  </w:style>
  <w:style w:type="paragraph" w:customStyle="1" w:styleId="3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8">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9">
    <w:name w:val="修订3"/>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0">
    <w:name w:val="标题 2 字符"/>
    <w:basedOn w:val="10"/>
    <w:semiHidden/>
    <w:qFormat/>
    <w:uiPriority w:val="9"/>
    <w:rPr>
      <w:rFonts w:asciiTheme="majorHAnsi" w:hAnsiTheme="majorHAnsi" w:eastAsiaTheme="majorEastAsia" w:cstheme="majorBidi"/>
      <w:b/>
      <w:bCs/>
      <w:sz w:val="32"/>
      <w:szCs w:val="32"/>
    </w:rPr>
  </w:style>
  <w:style w:type="character" w:customStyle="1" w:styleId="41">
    <w:name w:val="标题 2 字符1"/>
    <w:link w:val="2"/>
    <w:qFormat/>
    <w:uiPriority w:val="0"/>
    <w:rPr>
      <w:rFonts w:ascii="Cambria" w:hAnsi="Cambria" w:eastAsia="宋体" w:cs="Times New Roman"/>
      <w:b/>
      <w:bCs/>
      <w:sz w:val="28"/>
      <w:szCs w:val="32"/>
    </w:rPr>
  </w:style>
  <w:style w:type="paragraph" w:customStyle="1" w:styleId="4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1442</Words>
  <Characters>8226</Characters>
  <Lines>68</Lines>
  <Paragraphs>19</Paragraphs>
  <TotalTime>1298</TotalTime>
  <ScaleCrop>false</ScaleCrop>
  <LinksUpToDate>false</LinksUpToDate>
  <CharactersWithSpaces>9649</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2022-06-09T05:48:00Z</dcterms:created>
  <dc:creator>wwei</dc:creator>
  <cp:lastModifiedBy>jtb</cp:lastModifiedBy>
  <cp:lastPrinted>2022-06-13T18:01:00Z</cp:lastPrinted>
  <dcterms:modified xsi:type="dcterms:W3CDTF">2022-06-13T11:31:06Z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