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38C" w:rsidRDefault="00E67C5B">
      <w:pPr>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2024</w:t>
      </w:r>
      <w:r>
        <w:rPr>
          <w:rFonts w:ascii="方正小标宋简体" w:eastAsia="方正小标宋简体" w:hAnsi="黑体" w:cs="黑体" w:hint="eastAsia"/>
          <w:sz w:val="44"/>
          <w:szCs w:val="44"/>
        </w:rPr>
        <w:t>年交通运输标准化计划项目（第一批）</w:t>
      </w:r>
    </w:p>
    <w:p w:rsidR="0043638C" w:rsidRDefault="0043638C">
      <w:pPr>
        <w:jc w:val="center"/>
        <w:rPr>
          <w:rFonts w:ascii="黑体" w:eastAsia="黑体" w:hAnsi="黑体" w:cs="黑体"/>
          <w:sz w:val="36"/>
          <w:szCs w:val="36"/>
        </w:rPr>
      </w:pPr>
    </w:p>
    <w:p w:rsidR="0043638C" w:rsidRDefault="00E67C5B">
      <w:pPr>
        <w:pStyle w:val="1"/>
        <w:spacing w:beforeLines="50" w:before="120" w:afterLines="50" w:after="120" w:line="240" w:lineRule="auto"/>
        <w:rPr>
          <w:rFonts w:ascii="黑体" w:eastAsia="黑体" w:hAnsi="黑体"/>
          <w:sz w:val="32"/>
          <w:szCs w:val="28"/>
        </w:rPr>
      </w:pPr>
      <w:r>
        <w:rPr>
          <w:rFonts w:ascii="黑体" w:eastAsia="黑体" w:hAnsi="黑体" w:hint="eastAsia"/>
          <w:sz w:val="32"/>
          <w:szCs w:val="28"/>
        </w:rPr>
        <w:t>一、行业标准</w:t>
      </w:r>
    </w:p>
    <w:tbl>
      <w:tblPr>
        <w:tblStyle w:val="a9"/>
        <w:tblW w:w="5040" w:type="pct"/>
        <w:tblLayout w:type="fixed"/>
        <w:tblCellMar>
          <w:left w:w="28" w:type="dxa"/>
          <w:right w:w="28" w:type="dxa"/>
        </w:tblCellMar>
        <w:tblLook w:val="04A0" w:firstRow="1" w:lastRow="0" w:firstColumn="1" w:lastColumn="0" w:noHBand="0" w:noVBand="1"/>
      </w:tblPr>
      <w:tblGrid>
        <w:gridCol w:w="562"/>
        <w:gridCol w:w="1134"/>
        <w:gridCol w:w="1560"/>
        <w:gridCol w:w="5528"/>
        <w:gridCol w:w="709"/>
        <w:gridCol w:w="1121"/>
        <w:gridCol w:w="846"/>
        <w:gridCol w:w="988"/>
        <w:gridCol w:w="2799"/>
      </w:tblGrid>
      <w:tr w:rsidR="0043638C">
        <w:trPr>
          <w:cantSplit/>
          <w:trHeight w:val="568"/>
          <w:tblHeader/>
        </w:trPr>
        <w:tc>
          <w:tcPr>
            <w:tcW w:w="562" w:type="dxa"/>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序号</w:t>
            </w:r>
          </w:p>
        </w:tc>
        <w:tc>
          <w:tcPr>
            <w:tcW w:w="1134" w:type="dxa"/>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计划编号</w:t>
            </w:r>
          </w:p>
        </w:tc>
        <w:tc>
          <w:tcPr>
            <w:tcW w:w="1560" w:type="dxa"/>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项目名称</w:t>
            </w:r>
          </w:p>
        </w:tc>
        <w:tc>
          <w:tcPr>
            <w:tcW w:w="5528" w:type="dxa"/>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范围和主要技术内容</w:t>
            </w:r>
          </w:p>
        </w:tc>
        <w:tc>
          <w:tcPr>
            <w:tcW w:w="709" w:type="dxa"/>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制修订</w:t>
            </w:r>
          </w:p>
        </w:tc>
        <w:tc>
          <w:tcPr>
            <w:tcW w:w="1121" w:type="dxa"/>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代替标准</w:t>
            </w:r>
          </w:p>
        </w:tc>
        <w:tc>
          <w:tcPr>
            <w:tcW w:w="846" w:type="dxa"/>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完成周期</w:t>
            </w:r>
            <w:r>
              <w:rPr>
                <w:rFonts w:ascii="宋体" w:eastAsia="宋体" w:hAnsi="宋体" w:cs="Times New Roman" w:hint="eastAsia"/>
                <w:b/>
                <w:bCs/>
                <w:kern w:val="0"/>
                <w:szCs w:val="21"/>
              </w:rPr>
              <w:t>(</w:t>
            </w:r>
            <w:r>
              <w:rPr>
                <w:rFonts w:ascii="宋体" w:eastAsia="宋体" w:hAnsi="宋体" w:cs="Times New Roman" w:hint="eastAsia"/>
                <w:b/>
                <w:bCs/>
                <w:kern w:val="0"/>
                <w:szCs w:val="21"/>
              </w:rPr>
              <w:t>月</w:t>
            </w:r>
            <w:r>
              <w:rPr>
                <w:rFonts w:ascii="宋体" w:eastAsia="宋体" w:hAnsi="宋体" w:cs="Times New Roman" w:hint="eastAsia"/>
                <w:b/>
                <w:bCs/>
                <w:kern w:val="0"/>
                <w:szCs w:val="21"/>
              </w:rPr>
              <w:t>)</w:t>
            </w:r>
          </w:p>
        </w:tc>
        <w:tc>
          <w:tcPr>
            <w:tcW w:w="988" w:type="dxa"/>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技术归口单位</w:t>
            </w:r>
          </w:p>
        </w:tc>
        <w:tc>
          <w:tcPr>
            <w:tcW w:w="2799" w:type="dxa"/>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主要起草单位</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1</w:t>
            </w:r>
          </w:p>
        </w:tc>
        <w:tc>
          <w:tcPr>
            <w:tcW w:w="1134" w:type="dxa"/>
            <w:vAlign w:val="center"/>
          </w:tcPr>
          <w:p w:rsidR="0043638C" w:rsidRDefault="00E67C5B">
            <w:pPr>
              <w:jc w:val="center"/>
              <w:rPr>
                <w:rFonts w:ascii="宋体" w:eastAsia="宋体" w:hAnsi="宋体" w:cs="Times New Roman"/>
                <w:kern w:val="0"/>
                <w:szCs w:val="21"/>
              </w:rPr>
            </w:pPr>
            <w:r>
              <w:rPr>
                <w:rFonts w:ascii="宋体" w:eastAsia="宋体" w:hAnsi="宋体" w:hint="eastAsia"/>
                <w:kern w:val="0"/>
                <w:szCs w:val="21"/>
              </w:rPr>
              <w:t>JT 2024-01</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交通运输标准制定、修订程序和要求</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现行标准规定了交通运输标准制定、修订的基本要求，标准制定、修订的预阶段及立项、起草、征求意见、审查、批准、出版、复审和废止各阶段的程序和要求</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适用于综合交通运输和公路、水路领域交通运输标准的制定、修订管理。铁路、民航和邮政领域标准可参照使用，不适用于公路、水路领域工程建设标准的制定、修订管理。</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修订交通运输标准制定、修订的基本要求；</w:t>
            </w:r>
            <w:r>
              <w:rPr>
                <w:rFonts w:ascii="宋体" w:eastAsia="宋体" w:hAnsi="宋体" w:cs="Times New Roman"/>
                <w:kern w:val="0"/>
                <w:szCs w:val="21"/>
              </w:rPr>
              <w:t>2.</w:t>
            </w:r>
            <w:r>
              <w:rPr>
                <w:rFonts w:ascii="宋体" w:eastAsia="宋体" w:hAnsi="宋体" w:cs="Times New Roman"/>
                <w:kern w:val="0"/>
                <w:szCs w:val="21"/>
              </w:rPr>
              <w:t>完善交通运输标准立项审核和专家评估程序要求；</w:t>
            </w:r>
            <w:r>
              <w:rPr>
                <w:rFonts w:ascii="宋体" w:eastAsia="宋体" w:hAnsi="宋体" w:cs="Times New Roman"/>
                <w:kern w:val="0"/>
                <w:szCs w:val="21"/>
              </w:rPr>
              <w:t>3.</w:t>
            </w:r>
            <w:r>
              <w:rPr>
                <w:rFonts w:ascii="宋体" w:eastAsia="宋体" w:hAnsi="宋体" w:cs="Times New Roman"/>
                <w:kern w:val="0"/>
                <w:szCs w:val="21"/>
              </w:rPr>
              <w:t>强化交通运输标准计划项目起草、征求意见、审查、报批、发布等过程管理程序要求；</w:t>
            </w:r>
            <w:r>
              <w:rPr>
                <w:rFonts w:ascii="宋体" w:eastAsia="宋体" w:hAnsi="宋体" w:cs="Times New Roman"/>
                <w:kern w:val="0"/>
                <w:szCs w:val="21"/>
              </w:rPr>
              <w:t>4.</w:t>
            </w:r>
            <w:r>
              <w:rPr>
                <w:rFonts w:ascii="宋体" w:eastAsia="宋体" w:hAnsi="宋体" w:cs="Times New Roman"/>
                <w:kern w:val="0"/>
                <w:szCs w:val="21"/>
              </w:rPr>
              <w:t>规范交通运输标准实施评估和复审的程序要求；</w:t>
            </w:r>
            <w:r>
              <w:rPr>
                <w:rFonts w:ascii="宋体" w:eastAsia="宋体" w:hAnsi="宋体" w:cs="Times New Roman"/>
                <w:kern w:val="0"/>
                <w:szCs w:val="21"/>
              </w:rPr>
              <w:t>5.</w:t>
            </w:r>
            <w:r>
              <w:rPr>
                <w:rFonts w:ascii="宋体" w:eastAsia="宋体" w:hAnsi="宋体" w:cs="Times New Roman"/>
                <w:kern w:val="0"/>
                <w:szCs w:val="21"/>
              </w:rPr>
              <w:t>完善交通运输标准信息化管理程序要求。</w:t>
            </w:r>
          </w:p>
        </w:tc>
        <w:tc>
          <w:tcPr>
            <w:tcW w:w="709" w:type="dxa"/>
            <w:vAlign w:val="center"/>
          </w:tcPr>
          <w:p w:rsidR="0043638C" w:rsidRDefault="00E67C5B">
            <w:pPr>
              <w:jc w:val="center"/>
              <w:rPr>
                <w:rFonts w:ascii="宋体" w:eastAsia="宋体" w:hAnsi="宋体" w:cs="Times New Roman"/>
                <w:kern w:val="0"/>
                <w:szCs w:val="21"/>
              </w:rPr>
            </w:pPr>
            <w:r>
              <w:rPr>
                <w:rFonts w:ascii="宋体" w:eastAsia="宋体" w:hAnsi="宋体" w:cs="Times New Roman"/>
                <w:kern w:val="0"/>
                <w:szCs w:val="21"/>
              </w:rPr>
              <w:t>修订</w:t>
            </w:r>
          </w:p>
        </w:tc>
        <w:tc>
          <w:tcPr>
            <w:tcW w:w="1121" w:type="dxa"/>
            <w:vAlign w:val="center"/>
          </w:tcPr>
          <w:p w:rsidR="0043638C" w:rsidRDefault="00E67C5B">
            <w:pPr>
              <w:jc w:val="center"/>
              <w:rPr>
                <w:rFonts w:ascii="宋体" w:eastAsia="宋体" w:hAnsi="宋体" w:cs="Times New Roman"/>
                <w:kern w:val="0"/>
                <w:szCs w:val="21"/>
              </w:rPr>
            </w:pPr>
            <w:r>
              <w:rPr>
                <w:rFonts w:ascii="宋体" w:eastAsia="宋体" w:hAnsi="宋体" w:cs="Times New Roman"/>
                <w:kern w:val="0"/>
                <w:szCs w:val="21"/>
              </w:rPr>
              <w:t>JT/T 18</w:t>
            </w:r>
            <w:r>
              <w:rPr>
                <w:rFonts w:ascii="宋体" w:eastAsia="宋体" w:hAnsi="宋体" w:cs="Times New Roman" w:hint="eastAsia"/>
                <w:kern w:val="0"/>
                <w:szCs w:val="21"/>
              </w:rPr>
              <w:t>—</w:t>
            </w:r>
            <w:r>
              <w:rPr>
                <w:rFonts w:ascii="宋体" w:eastAsia="宋体" w:hAnsi="宋体" w:cs="Times New Roman"/>
                <w:kern w:val="0"/>
                <w:szCs w:val="21"/>
              </w:rPr>
              <w:t>2020</w:t>
            </w:r>
          </w:p>
        </w:tc>
        <w:tc>
          <w:tcPr>
            <w:tcW w:w="846" w:type="dxa"/>
            <w:vAlign w:val="center"/>
          </w:tcPr>
          <w:p w:rsidR="0043638C" w:rsidRDefault="00E67C5B">
            <w:pPr>
              <w:jc w:val="center"/>
              <w:rPr>
                <w:rFonts w:ascii="宋体" w:eastAsia="宋体" w:hAnsi="宋体" w:cs="Times New Roman"/>
                <w:kern w:val="0"/>
                <w:szCs w:val="21"/>
              </w:rPr>
            </w:pPr>
            <w:r>
              <w:rPr>
                <w:rFonts w:ascii="宋体" w:eastAsia="宋体" w:hAnsi="宋体" w:cs="Times New Roman"/>
                <w:kern w:val="0"/>
                <w:szCs w:val="21"/>
              </w:rPr>
              <w:t>12</w:t>
            </w:r>
          </w:p>
        </w:tc>
        <w:tc>
          <w:tcPr>
            <w:tcW w:w="988" w:type="dxa"/>
            <w:vAlign w:val="center"/>
          </w:tcPr>
          <w:p w:rsidR="0043638C" w:rsidRDefault="00E67C5B">
            <w:pPr>
              <w:jc w:val="center"/>
              <w:rPr>
                <w:rFonts w:ascii="宋体" w:eastAsia="宋体" w:hAnsi="宋体" w:cs="Times New Roman"/>
                <w:kern w:val="0"/>
                <w:szCs w:val="21"/>
              </w:rPr>
            </w:pPr>
            <w:r>
              <w:rPr>
                <w:rFonts w:ascii="宋体" w:eastAsia="宋体" w:hAnsi="宋体" w:cs="Times New Roman"/>
                <w:kern w:val="0"/>
                <w:szCs w:val="21"/>
              </w:rPr>
              <w:t>科技司</w:t>
            </w:r>
          </w:p>
        </w:tc>
        <w:tc>
          <w:tcPr>
            <w:tcW w:w="2799"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交通运输部科学研究院</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2</w:t>
            </w:r>
          </w:p>
        </w:tc>
        <w:tc>
          <w:tcPr>
            <w:tcW w:w="1134" w:type="dxa"/>
            <w:vAlign w:val="center"/>
          </w:tcPr>
          <w:p w:rsidR="0043638C" w:rsidRDefault="00E67C5B">
            <w:pPr>
              <w:jc w:val="center"/>
              <w:rPr>
                <w:rFonts w:ascii="宋体" w:eastAsia="宋体" w:hAnsi="宋体"/>
                <w:kern w:val="0"/>
                <w:szCs w:val="21"/>
              </w:rPr>
            </w:pPr>
            <w:r>
              <w:rPr>
                <w:rFonts w:ascii="宋体" w:eastAsia="宋体" w:hAnsi="宋体" w:hint="eastAsia"/>
                <w:kern w:val="0"/>
                <w:szCs w:val="21"/>
              </w:rPr>
              <w:t>JT 202</w:t>
            </w:r>
            <w:r>
              <w:rPr>
                <w:rFonts w:ascii="宋体" w:eastAsia="宋体" w:hAnsi="宋体" w:hint="eastAsia"/>
                <w:kern w:val="0"/>
                <w:szCs w:val="21"/>
              </w:rPr>
              <w:t>4-02</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快件航空运输安检数据交换规范</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拟规定快件航空运输安检的信息交换需求、信息交换流程、通信协议、报文规范、异常处置、数据交换安全和数据交换频次。</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适用于快递服务主体与航空运输企业之间开展快件运输业务而进行的安检数据交换。</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综合运输标委会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中国民航大学、国家邮政局邮政</w:t>
            </w:r>
            <w:r>
              <w:rPr>
                <w:rFonts w:ascii="宋体" w:eastAsia="宋体" w:hAnsi="宋体" w:cs="宋体" w:hint="eastAsia"/>
                <w:kern w:val="0"/>
                <w:szCs w:val="21"/>
              </w:rPr>
              <w:t>业</w:t>
            </w:r>
            <w:r>
              <w:rPr>
                <w:rFonts w:ascii="宋体" w:eastAsia="宋体" w:hAnsi="宋体" w:cs="宋体"/>
                <w:kern w:val="0"/>
                <w:szCs w:val="21"/>
              </w:rPr>
              <w:t>安全中心、西安航空职业技术学院、天信达信息技术有限公司、首都机场集团有限公司、深圳市机场股份有限公司、顺丰航空有限公司杭州分公司、浙江顺尚物流有限公司、同方威视技术股份有限公司</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3</w:t>
            </w:r>
          </w:p>
        </w:tc>
        <w:tc>
          <w:tcPr>
            <w:tcW w:w="1134" w:type="dxa"/>
            <w:vAlign w:val="center"/>
          </w:tcPr>
          <w:p w:rsidR="0043638C" w:rsidRDefault="00E67C5B">
            <w:pPr>
              <w:jc w:val="center"/>
              <w:rPr>
                <w:rFonts w:ascii="宋体" w:eastAsia="宋体" w:hAnsi="宋体" w:cs="Times New Roman"/>
                <w:kern w:val="0"/>
                <w:szCs w:val="21"/>
              </w:rPr>
            </w:pPr>
            <w:r>
              <w:rPr>
                <w:rFonts w:ascii="宋体" w:eastAsia="宋体" w:hAnsi="宋体" w:hint="eastAsia"/>
                <w:kern w:val="0"/>
                <w:szCs w:val="21"/>
              </w:rPr>
              <w:t>JT 2024-03</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综合客运枢纽连接系统与集疏运体系规划设计导则</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拟规定综合客运枢纽连接系统与集疏运体系规划设计的总体要求和连接系统、集疏运网络、集疏运交通组织等方面的技术要求。</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适用于新建综合客运枢纽的连接系统与集疏运体系规划、设计、建设、运营与管理，改扩建项目参照使用。</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综合运输标委会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交通运输部科学研究院、北京交通大学、河北省交通规划设计院</w:t>
            </w:r>
            <w:r>
              <w:rPr>
                <w:rFonts w:ascii="宋体" w:eastAsia="宋体" w:hAnsi="宋体" w:cs="宋体" w:hint="eastAsia"/>
                <w:kern w:val="0"/>
                <w:szCs w:val="21"/>
              </w:rPr>
              <w:t>有限公司</w:t>
            </w:r>
            <w:r>
              <w:rPr>
                <w:rFonts w:ascii="宋体" w:eastAsia="宋体" w:hAnsi="宋体" w:cs="宋体"/>
                <w:kern w:val="0"/>
                <w:szCs w:val="21"/>
              </w:rPr>
              <w:t>、中铁第四勘察设计院集团有限公司、中国民航科学技术研究院、西南交通大学</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4</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2024-04</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综合交通运输体系规划编制技术导则</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拟规定综合交通运输规划的术语和定义、基本要求、内容及技术要求。</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适用于国家级、省级、地市级综合交通运输体系规划编制。</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综合运输标委会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交通运输部规划研究院、交通运输部科学研究院、中国民航科学技术研究院、国家铁路局规划与标准研究院、东南大学、深圳市城市交通规划设计研究中心股份有限公司</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5</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2024-05</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进港铁路专用线建设与运营技术规范</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拟规定进港铁路专用线的基本规定</w:t>
            </w:r>
            <w:r>
              <w:rPr>
                <w:rFonts w:ascii="宋体" w:eastAsia="宋体" w:hAnsi="宋体" w:cs="Times New Roman" w:hint="eastAsia"/>
                <w:kern w:val="0"/>
                <w:szCs w:val="21"/>
              </w:rPr>
              <w:t>、</w:t>
            </w:r>
            <w:r>
              <w:rPr>
                <w:rFonts w:ascii="宋体" w:eastAsia="宋体" w:hAnsi="宋体" w:cs="Times New Roman"/>
                <w:kern w:val="0"/>
                <w:szCs w:val="21"/>
              </w:rPr>
              <w:t>运输组织、</w:t>
            </w:r>
            <w:r>
              <w:rPr>
                <w:rFonts w:ascii="宋体" w:eastAsia="宋体" w:hAnsi="宋体" w:cs="Times New Roman" w:hint="eastAsia"/>
                <w:kern w:val="0"/>
                <w:szCs w:val="21"/>
              </w:rPr>
              <w:t>港站一体化布局、铁水联运</w:t>
            </w:r>
            <w:r>
              <w:rPr>
                <w:rFonts w:ascii="宋体" w:eastAsia="宋体" w:hAnsi="宋体" w:cs="Times New Roman"/>
                <w:kern w:val="0"/>
                <w:szCs w:val="21"/>
              </w:rPr>
              <w:t>换装工艺</w:t>
            </w:r>
            <w:r>
              <w:rPr>
                <w:rFonts w:ascii="宋体" w:eastAsia="宋体" w:hAnsi="宋体" w:cs="Times New Roman" w:hint="eastAsia"/>
                <w:kern w:val="0"/>
                <w:szCs w:val="21"/>
              </w:rPr>
              <w:t>、数智化系统和</w:t>
            </w:r>
            <w:r>
              <w:rPr>
                <w:rFonts w:ascii="宋体" w:eastAsia="宋体" w:hAnsi="宋体" w:cs="Times New Roman"/>
                <w:kern w:val="0"/>
                <w:szCs w:val="21"/>
              </w:rPr>
              <w:t>运营技术。</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适用于新建</w:t>
            </w:r>
            <w:r>
              <w:rPr>
                <w:rFonts w:ascii="宋体" w:eastAsia="宋体" w:hAnsi="宋体" w:cs="Times New Roman" w:hint="eastAsia"/>
                <w:kern w:val="0"/>
                <w:szCs w:val="21"/>
              </w:rPr>
              <w:t>、</w:t>
            </w:r>
            <w:r>
              <w:rPr>
                <w:rFonts w:ascii="宋体" w:eastAsia="宋体" w:hAnsi="宋体" w:cs="Times New Roman"/>
                <w:kern w:val="0"/>
                <w:szCs w:val="21"/>
              </w:rPr>
              <w:t>改扩建的进港铁路专用线</w:t>
            </w:r>
            <w:r>
              <w:rPr>
                <w:rFonts w:ascii="宋体" w:eastAsia="宋体" w:hAnsi="宋体" w:cs="Times New Roman" w:hint="eastAsia"/>
                <w:kern w:val="0"/>
                <w:szCs w:val="21"/>
              </w:rPr>
              <w:t>设计和</w:t>
            </w:r>
            <w:r>
              <w:rPr>
                <w:rFonts w:ascii="宋体" w:eastAsia="宋体" w:hAnsi="宋体" w:cs="Times New Roman"/>
                <w:kern w:val="0"/>
                <w:szCs w:val="21"/>
              </w:rPr>
              <w:t>运营。</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综合运输标委会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中国铁路设计集团有限公司、浙江数智交院科技股份有限公司、中交水运规划设计院有限公司、中铁第四勘察设计院集团有限公司、国能运输技术研究院</w:t>
            </w:r>
            <w:r>
              <w:rPr>
                <w:rFonts w:ascii="宋体" w:eastAsia="宋体" w:hAnsi="宋体" w:cs="宋体" w:hint="eastAsia"/>
                <w:kern w:val="0"/>
                <w:szCs w:val="21"/>
              </w:rPr>
              <w:t>有限责任公司</w:t>
            </w:r>
            <w:r>
              <w:rPr>
                <w:rFonts w:ascii="宋体" w:eastAsia="宋体" w:hAnsi="宋体" w:cs="宋体"/>
                <w:kern w:val="0"/>
                <w:szCs w:val="21"/>
              </w:rPr>
              <w:t>、中国铁道科学研究院集团有限公司、北京交通大学</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6</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2024-06</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内河水上服务区服务规范</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拟规定内河水上服务区的管理要求、服务要求、评价与改进等内容。</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适用于内河水上服务区的服务管理。</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内河船与水路运输标委会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交通运输部水运科学研究所</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7</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2024-07</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内河船舶智能导助航数据模型与交换格式</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拟规定内河船舶智能导助航电子航道图的场景分类与定义、数据要求、对象模型、地图引擎和数据接口等要求。</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适用于内河船舶智能导助航电子航道图的研发、制作与数据交换。</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内河船与水路运输标委会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浙江省交通运输科学研究院</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8</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2024-08</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内河船用内燃机涡轮增压器修理技术要求</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w:t>
            </w:r>
            <w:r>
              <w:rPr>
                <w:rFonts w:ascii="宋体" w:eastAsia="宋体" w:hAnsi="宋体" w:cs="Times New Roman" w:hint="eastAsia"/>
                <w:kern w:val="0"/>
                <w:szCs w:val="21"/>
              </w:rPr>
              <w:t>船用柴油机</w:t>
            </w:r>
            <w:r>
              <w:rPr>
                <w:rFonts w:ascii="宋体" w:eastAsia="宋体" w:hAnsi="宋体" w:cs="Times New Roman"/>
                <w:kern w:val="0"/>
                <w:szCs w:val="21"/>
              </w:rPr>
              <w:t>涡轮增压器</w:t>
            </w:r>
            <w:r>
              <w:rPr>
                <w:rFonts w:ascii="宋体" w:eastAsia="宋体" w:hAnsi="宋体" w:cs="Times New Roman" w:hint="eastAsia"/>
                <w:kern w:val="0"/>
                <w:szCs w:val="21"/>
              </w:rPr>
              <w:t>修理总则、零部件</w:t>
            </w:r>
            <w:r>
              <w:rPr>
                <w:rFonts w:ascii="宋体" w:eastAsia="宋体" w:hAnsi="宋体" w:cs="Times New Roman"/>
                <w:kern w:val="0"/>
                <w:szCs w:val="21"/>
              </w:rPr>
              <w:t>修理技术要求和增压器修复后的试验</w:t>
            </w:r>
            <w:r>
              <w:rPr>
                <w:rFonts w:ascii="宋体" w:eastAsia="宋体" w:hAnsi="宋体" w:cs="Times New Roman" w:hint="eastAsia"/>
                <w:kern w:val="0"/>
                <w:szCs w:val="21"/>
              </w:rPr>
              <w:t>及其他技术要求。</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w:t>
            </w:r>
            <w:r>
              <w:rPr>
                <w:rFonts w:ascii="宋体" w:eastAsia="宋体" w:hAnsi="宋体" w:cs="Times New Roman" w:hint="eastAsia"/>
                <w:kern w:val="0"/>
                <w:szCs w:val="21"/>
              </w:rPr>
              <w:t>民用</w:t>
            </w:r>
            <w:r>
              <w:rPr>
                <w:rFonts w:ascii="宋体" w:eastAsia="宋体" w:hAnsi="宋体" w:cs="Times New Roman"/>
                <w:kern w:val="0"/>
                <w:szCs w:val="21"/>
              </w:rPr>
              <w:t>船舶轴流式和径流式涡轮增压器的修理。</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hint="eastAsia"/>
                <w:kern w:val="0"/>
                <w:szCs w:val="21"/>
              </w:rPr>
              <w:t>更改标准名称及标准的适用范围</w:t>
            </w:r>
            <w:r>
              <w:rPr>
                <w:rFonts w:ascii="宋体" w:eastAsia="宋体" w:hAnsi="宋体" w:cs="Times New Roman"/>
                <w:kern w:val="0"/>
                <w:szCs w:val="21"/>
              </w:rPr>
              <w:t>；</w:t>
            </w:r>
            <w:r>
              <w:rPr>
                <w:rFonts w:ascii="宋体" w:eastAsia="宋体" w:hAnsi="宋体" w:cs="Times New Roman"/>
                <w:kern w:val="0"/>
                <w:szCs w:val="21"/>
              </w:rPr>
              <w:t>2.</w:t>
            </w:r>
            <w:r>
              <w:rPr>
                <w:rFonts w:ascii="宋体" w:eastAsia="宋体" w:hAnsi="宋体" w:cs="Times New Roman"/>
                <w:kern w:val="0"/>
                <w:szCs w:val="21"/>
              </w:rPr>
              <w:t>增加压气机叶轮和导风轮</w:t>
            </w:r>
            <w:r>
              <w:rPr>
                <w:rFonts w:ascii="宋体" w:eastAsia="宋体" w:hAnsi="宋体" w:cs="Times New Roman"/>
                <w:kern w:val="0"/>
                <w:szCs w:val="21"/>
              </w:rPr>
              <w:t>X</w:t>
            </w:r>
            <w:r>
              <w:rPr>
                <w:rFonts w:ascii="宋体" w:eastAsia="宋体" w:hAnsi="宋体" w:cs="Times New Roman"/>
                <w:kern w:val="0"/>
                <w:szCs w:val="21"/>
              </w:rPr>
              <w:t>值检查、导风轮检查、压气机叶轮硬度检查；</w:t>
            </w:r>
            <w:r>
              <w:rPr>
                <w:rFonts w:ascii="宋体" w:eastAsia="宋体" w:hAnsi="宋体" w:cs="Times New Roman"/>
                <w:kern w:val="0"/>
                <w:szCs w:val="21"/>
              </w:rPr>
              <w:t>3.</w:t>
            </w:r>
            <w:r>
              <w:rPr>
                <w:rFonts w:ascii="宋体" w:eastAsia="宋体" w:hAnsi="宋体" w:cs="Times New Roman"/>
                <w:kern w:val="0"/>
                <w:szCs w:val="21"/>
              </w:rPr>
              <w:t>更改喷嘴环叶片变形的整形要求，增加焊接式叶片；</w:t>
            </w:r>
            <w:r>
              <w:rPr>
                <w:rFonts w:ascii="宋体" w:eastAsia="宋体" w:hAnsi="宋体" w:cs="Times New Roman"/>
                <w:kern w:val="0"/>
                <w:szCs w:val="21"/>
              </w:rPr>
              <w:t>4.</w:t>
            </w:r>
            <w:r>
              <w:rPr>
                <w:rFonts w:ascii="宋体" w:eastAsia="宋体" w:hAnsi="宋体" w:cs="Times New Roman"/>
                <w:kern w:val="0"/>
                <w:szCs w:val="21"/>
              </w:rPr>
              <w:t>更改喷嘴环裂纹问题的总的定义、评估、修复等规范；</w:t>
            </w:r>
            <w:r>
              <w:rPr>
                <w:rFonts w:ascii="宋体" w:eastAsia="宋体" w:hAnsi="宋体" w:cs="Times New Roman"/>
                <w:kern w:val="0"/>
                <w:szCs w:val="21"/>
              </w:rPr>
              <w:t>5.</w:t>
            </w:r>
            <w:r>
              <w:rPr>
                <w:rFonts w:ascii="宋体" w:eastAsia="宋体" w:hAnsi="宋体" w:cs="Times New Roman"/>
                <w:kern w:val="0"/>
                <w:szCs w:val="21"/>
              </w:rPr>
              <w:t>增加轴承表面的划痕判定，增加对轴承通用的非正常情况的磨损定义；</w:t>
            </w:r>
            <w:r>
              <w:rPr>
                <w:rFonts w:ascii="宋体" w:eastAsia="宋体" w:hAnsi="宋体" w:cs="Times New Roman"/>
                <w:kern w:val="0"/>
                <w:szCs w:val="21"/>
              </w:rPr>
              <w:t>6.</w:t>
            </w:r>
            <w:r>
              <w:rPr>
                <w:rFonts w:ascii="宋体" w:eastAsia="宋体" w:hAnsi="宋体" w:cs="Times New Roman"/>
                <w:kern w:val="0"/>
                <w:szCs w:val="21"/>
              </w:rPr>
              <w:t>更改增压器修复后的试验要求。</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283</w:t>
            </w:r>
            <w:r>
              <w:rPr>
                <w:rFonts w:ascii="宋体" w:eastAsia="宋体" w:hAnsi="宋体" w:cs="宋体" w:hint="eastAsia"/>
                <w:kern w:val="0"/>
                <w:szCs w:val="21"/>
              </w:rPr>
              <w:t>—</w:t>
            </w:r>
            <w:r>
              <w:rPr>
                <w:rFonts w:ascii="宋体" w:eastAsia="宋体" w:hAnsi="宋体" w:cs="宋体"/>
                <w:kern w:val="0"/>
                <w:szCs w:val="21"/>
              </w:rPr>
              <w:t>1995</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内河船与水路运输标委会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奥赛能涡轮增压系统（重庆）有限公司</w:t>
            </w:r>
            <w:r>
              <w:rPr>
                <w:rFonts w:ascii="宋体" w:eastAsia="宋体" w:hAnsi="宋体" w:cs="宋体" w:hint="eastAsia"/>
                <w:kern w:val="0"/>
                <w:szCs w:val="21"/>
              </w:rPr>
              <w:t>等</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9</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2024-09</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内河船舶航行资料配备要求</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现行标准规定了内河</w:t>
            </w:r>
            <w:r>
              <w:rPr>
                <w:rFonts w:ascii="宋体" w:eastAsia="宋体" w:hAnsi="宋体" w:cs="Times New Roman" w:hint="eastAsia"/>
                <w:kern w:val="0"/>
                <w:szCs w:val="21"/>
              </w:rPr>
              <w:t>自航</w:t>
            </w:r>
            <w:r>
              <w:rPr>
                <w:rFonts w:ascii="宋体" w:eastAsia="宋体" w:hAnsi="宋体" w:cs="Times New Roman"/>
                <w:kern w:val="0"/>
                <w:szCs w:val="21"/>
              </w:rPr>
              <w:t>船舶航行时</w:t>
            </w:r>
            <w:r>
              <w:rPr>
                <w:rFonts w:ascii="宋体" w:eastAsia="宋体" w:hAnsi="宋体" w:cs="Times New Roman" w:hint="eastAsia"/>
                <w:kern w:val="0"/>
                <w:szCs w:val="21"/>
              </w:rPr>
              <w:t>，</w:t>
            </w:r>
            <w:r>
              <w:rPr>
                <w:rFonts w:ascii="宋体" w:eastAsia="宋体" w:hAnsi="宋体" w:cs="Times New Roman"/>
                <w:kern w:val="0"/>
                <w:szCs w:val="21"/>
              </w:rPr>
              <w:t>应配备的最基本的航行资料</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适用于航行在我国境内江、河、湖泊、水库的</w:t>
            </w:r>
            <w:r>
              <w:rPr>
                <w:rFonts w:ascii="宋体" w:eastAsia="宋体" w:hAnsi="宋体" w:cs="Times New Roman"/>
                <w:kern w:val="0"/>
                <w:szCs w:val="21"/>
              </w:rPr>
              <w:t>200</w:t>
            </w:r>
            <w:r>
              <w:rPr>
                <w:rFonts w:ascii="宋体" w:eastAsia="宋体" w:hAnsi="宋体" w:cs="Times New Roman"/>
                <w:kern w:val="0"/>
                <w:szCs w:val="21"/>
              </w:rPr>
              <w:t>总吨及以上或主推动力装置功率</w:t>
            </w:r>
            <w:r>
              <w:rPr>
                <w:rFonts w:ascii="宋体" w:eastAsia="宋体" w:hAnsi="宋体" w:cs="Times New Roman"/>
                <w:kern w:val="0"/>
                <w:szCs w:val="21"/>
              </w:rPr>
              <w:t>147kW</w:t>
            </w:r>
            <w:r>
              <w:rPr>
                <w:rFonts w:ascii="宋体" w:eastAsia="宋体" w:hAnsi="宋体" w:cs="Times New Roman"/>
                <w:kern w:val="0"/>
                <w:szCs w:val="21"/>
              </w:rPr>
              <w:t>及以上的中国籍船舶</w:t>
            </w:r>
            <w:r>
              <w:rPr>
                <w:rFonts w:ascii="宋体" w:eastAsia="宋体" w:hAnsi="宋体" w:cs="Times New Roman" w:hint="eastAsia"/>
                <w:kern w:val="0"/>
                <w:szCs w:val="21"/>
              </w:rPr>
              <w:t>，</w:t>
            </w:r>
            <w:r>
              <w:rPr>
                <w:rFonts w:ascii="宋体" w:eastAsia="宋体" w:hAnsi="宋体" w:cs="Times New Roman"/>
                <w:kern w:val="0"/>
                <w:szCs w:val="21"/>
              </w:rPr>
              <w:t>包括由江入海的江海直达船。对江渡船及其它船舶可参照执行</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不适用于因抢险救灾或执行军事等特殊任务而需紧急开航的船舶。</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增加航行图集、船舶定线制、船舶破损控制图；</w:t>
            </w:r>
            <w:r>
              <w:rPr>
                <w:rFonts w:ascii="宋体" w:eastAsia="宋体" w:hAnsi="宋体" w:cs="Times New Roman"/>
                <w:kern w:val="0"/>
                <w:szCs w:val="21"/>
              </w:rPr>
              <w:t>2.</w:t>
            </w:r>
            <w:r>
              <w:rPr>
                <w:rFonts w:ascii="宋体" w:eastAsia="宋体" w:hAnsi="宋体" w:cs="Times New Roman"/>
                <w:kern w:val="0"/>
                <w:szCs w:val="21"/>
              </w:rPr>
              <w:t>增加航行于长江</w:t>
            </w:r>
            <w:r>
              <w:rPr>
                <w:rFonts w:ascii="宋体" w:eastAsia="宋体" w:hAnsi="宋体" w:cs="Times New Roman"/>
                <w:kern w:val="0"/>
                <w:szCs w:val="21"/>
              </w:rPr>
              <w:t>A,B,C</w:t>
            </w:r>
            <w:r>
              <w:rPr>
                <w:rFonts w:ascii="宋体" w:eastAsia="宋体" w:hAnsi="宋体" w:cs="Times New Roman"/>
                <w:kern w:val="0"/>
                <w:szCs w:val="21"/>
              </w:rPr>
              <w:t>级航区的船舶配备分道通航图；</w:t>
            </w:r>
            <w:r>
              <w:rPr>
                <w:rFonts w:ascii="宋体" w:eastAsia="宋体" w:hAnsi="宋体" w:cs="Times New Roman"/>
                <w:kern w:val="0"/>
                <w:szCs w:val="21"/>
              </w:rPr>
              <w:t>3.</w:t>
            </w:r>
            <w:r>
              <w:rPr>
                <w:rFonts w:ascii="宋体" w:eastAsia="宋体" w:hAnsi="宋体" w:cs="Times New Roman"/>
                <w:kern w:val="0"/>
                <w:szCs w:val="21"/>
              </w:rPr>
              <w:t>增加内河船舶法定检验技术规则；</w:t>
            </w:r>
            <w:r>
              <w:rPr>
                <w:rFonts w:ascii="宋体" w:eastAsia="宋体" w:hAnsi="宋体" w:cs="Times New Roman"/>
                <w:kern w:val="0"/>
                <w:szCs w:val="21"/>
              </w:rPr>
              <w:t>4.</w:t>
            </w:r>
            <w:r>
              <w:rPr>
                <w:rFonts w:ascii="宋体" w:eastAsia="宋体" w:hAnsi="宋体" w:cs="Times New Roman"/>
                <w:kern w:val="0"/>
                <w:szCs w:val="21"/>
              </w:rPr>
              <w:t>增加</w:t>
            </w:r>
            <w:r>
              <w:rPr>
                <w:rFonts w:ascii="宋体" w:eastAsia="宋体" w:hAnsi="宋体" w:cs="Times New Roman"/>
                <w:kern w:val="0"/>
                <w:szCs w:val="21"/>
              </w:rPr>
              <w:t>“VTS</w:t>
            </w:r>
            <w:r>
              <w:rPr>
                <w:rFonts w:ascii="宋体" w:eastAsia="宋体" w:hAnsi="宋体" w:cs="Times New Roman"/>
                <w:kern w:val="0"/>
                <w:szCs w:val="21"/>
              </w:rPr>
              <w:t>用户指南</w:t>
            </w:r>
            <w:r>
              <w:rPr>
                <w:rFonts w:ascii="宋体" w:eastAsia="宋体" w:hAnsi="宋体" w:cs="Times New Roman"/>
                <w:kern w:val="0"/>
                <w:szCs w:val="21"/>
              </w:rPr>
              <w:t>”</w:t>
            </w:r>
            <w:r>
              <w:rPr>
                <w:rFonts w:ascii="宋体" w:eastAsia="宋体" w:hAnsi="宋体" w:cs="Times New Roman"/>
                <w:kern w:val="0"/>
                <w:szCs w:val="21"/>
              </w:rPr>
              <w:t>。</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419</w:t>
            </w:r>
            <w:r>
              <w:rPr>
                <w:rFonts w:ascii="宋体" w:eastAsia="宋体" w:hAnsi="宋体" w:cs="宋体" w:hint="eastAsia"/>
                <w:kern w:val="0"/>
                <w:szCs w:val="21"/>
              </w:rPr>
              <w:t>—</w:t>
            </w:r>
            <w:r>
              <w:rPr>
                <w:rFonts w:ascii="宋体" w:eastAsia="宋体" w:hAnsi="宋体" w:cs="宋体"/>
                <w:kern w:val="0"/>
                <w:szCs w:val="21"/>
              </w:rPr>
              <w:t>2000</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内河船与水路运输标委会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武汉理工大学、科瑞威标准技术服务（上海）有限公司</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10</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2024-10</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内河船舶柴电混合推进系统电动遥控装置技术要求</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w:t>
            </w:r>
            <w:r>
              <w:rPr>
                <w:rFonts w:ascii="宋体" w:eastAsia="宋体" w:hAnsi="宋体" w:cs="Times New Roman" w:hint="eastAsia"/>
                <w:kern w:val="0"/>
                <w:szCs w:val="21"/>
              </w:rPr>
              <w:t>规定了内河船舶柴油机主推进装置电动遥控系统的环境条件、基本功能和技术性能要求。</w:t>
            </w:r>
          </w:p>
          <w:p w:rsidR="0043638C" w:rsidRDefault="00E67C5B">
            <w:pPr>
              <w:widowControl/>
              <w:rPr>
                <w:rFonts w:ascii="宋体" w:eastAsia="宋体" w:hAnsi="宋体" w:cs="Times New Roman"/>
                <w:kern w:val="0"/>
                <w:szCs w:val="21"/>
              </w:rPr>
            </w:pPr>
            <w:r>
              <w:rPr>
                <w:rFonts w:ascii="宋体" w:eastAsia="宋体" w:hAnsi="宋体" w:cs="Times New Roman" w:hint="eastAsia"/>
                <w:kern w:val="0"/>
                <w:szCs w:val="21"/>
              </w:rPr>
              <w:t>适用于电动遥控系统的设计、制造与验收。</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hint="eastAsia"/>
                <w:kern w:val="0"/>
                <w:szCs w:val="21"/>
              </w:rPr>
              <w:t>更改标准名称及标准的适用范围</w:t>
            </w:r>
            <w:r>
              <w:rPr>
                <w:rFonts w:ascii="宋体" w:eastAsia="宋体" w:hAnsi="宋体" w:cs="Times New Roman"/>
                <w:kern w:val="0"/>
                <w:szCs w:val="21"/>
              </w:rPr>
              <w:t>；</w:t>
            </w:r>
            <w:r>
              <w:rPr>
                <w:rFonts w:ascii="宋体" w:eastAsia="宋体" w:hAnsi="宋体" w:cs="Times New Roman"/>
                <w:kern w:val="0"/>
                <w:szCs w:val="21"/>
              </w:rPr>
              <w:t>2.</w:t>
            </w:r>
            <w:r>
              <w:rPr>
                <w:rFonts w:ascii="宋体" w:eastAsia="宋体" w:hAnsi="宋体" w:cs="Times New Roman" w:hint="eastAsia"/>
                <w:kern w:val="0"/>
                <w:szCs w:val="21"/>
              </w:rPr>
              <w:t>更改</w:t>
            </w:r>
            <w:r>
              <w:rPr>
                <w:rFonts w:ascii="宋体" w:eastAsia="宋体" w:hAnsi="宋体" w:cs="Times New Roman"/>
                <w:kern w:val="0"/>
                <w:szCs w:val="21"/>
              </w:rPr>
              <w:t>温度、湿度、倾斜与摇摆、盐雾、霉菌等环境方面的要求；</w:t>
            </w:r>
            <w:r>
              <w:rPr>
                <w:rFonts w:ascii="宋体" w:eastAsia="宋体" w:hAnsi="宋体" w:cs="Times New Roman"/>
                <w:kern w:val="0"/>
                <w:szCs w:val="21"/>
              </w:rPr>
              <w:t>3.</w:t>
            </w:r>
            <w:r>
              <w:rPr>
                <w:rFonts w:ascii="宋体" w:eastAsia="宋体" w:hAnsi="宋体" w:cs="Times New Roman"/>
                <w:kern w:val="0"/>
                <w:szCs w:val="21"/>
              </w:rPr>
              <w:t>增加供电电源种类、电压波动与频率、谐波大小等方面的要求增加对柴油发电机的相关要求；</w:t>
            </w:r>
            <w:r>
              <w:rPr>
                <w:rFonts w:ascii="宋体" w:eastAsia="宋体" w:hAnsi="宋体" w:cs="Times New Roman"/>
                <w:kern w:val="0"/>
                <w:szCs w:val="21"/>
              </w:rPr>
              <w:t>4.</w:t>
            </w:r>
            <w:r>
              <w:rPr>
                <w:rFonts w:ascii="宋体" w:eastAsia="宋体" w:hAnsi="宋体" w:cs="Times New Roman"/>
                <w:kern w:val="0"/>
                <w:szCs w:val="21"/>
              </w:rPr>
              <w:t>增加对柴油发电机的相关要求</w:t>
            </w:r>
            <w:r>
              <w:rPr>
                <w:rFonts w:ascii="宋体" w:eastAsia="宋体" w:hAnsi="宋体" w:cs="Times New Roman" w:hint="eastAsia"/>
                <w:kern w:val="0"/>
                <w:szCs w:val="21"/>
              </w:rPr>
              <w:t>。</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479</w:t>
            </w:r>
            <w:r>
              <w:rPr>
                <w:rFonts w:ascii="宋体" w:eastAsia="宋体" w:hAnsi="宋体" w:cs="宋体" w:hint="eastAsia"/>
                <w:kern w:val="0"/>
                <w:szCs w:val="21"/>
              </w:rPr>
              <w:t>—</w:t>
            </w:r>
            <w:r>
              <w:rPr>
                <w:rFonts w:ascii="宋体" w:eastAsia="宋体" w:hAnsi="宋体" w:cs="宋体"/>
                <w:kern w:val="0"/>
                <w:szCs w:val="21"/>
              </w:rPr>
              <w:t>2002</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内河船与水路运输标委会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哈尔滨工程大学</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11</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2024-11</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船舶动力装置能量平衡测量与计算方法</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w:t>
            </w:r>
            <w:r>
              <w:rPr>
                <w:rFonts w:ascii="宋体" w:eastAsia="宋体" w:hAnsi="宋体" w:cs="Times New Roman" w:hint="eastAsia"/>
                <w:kern w:val="0"/>
                <w:szCs w:val="21"/>
              </w:rPr>
              <w:t>规定了运输船舶的推进体系，</w:t>
            </w:r>
            <w:r>
              <w:rPr>
                <w:rFonts w:ascii="宋体" w:eastAsia="宋体" w:hAnsi="宋体" w:cs="Times New Roman"/>
                <w:kern w:val="0"/>
                <w:szCs w:val="21"/>
              </w:rPr>
              <w:t>电力体系和蒸汽体系能量平衡的测量与计算方法</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适用于以柴油机为推进动力的各类运输船舶。</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增加测量的基本要求；</w:t>
            </w:r>
            <w:r>
              <w:rPr>
                <w:rFonts w:ascii="宋体" w:eastAsia="宋体" w:hAnsi="宋体" w:cs="Times New Roman"/>
                <w:kern w:val="0"/>
                <w:szCs w:val="21"/>
              </w:rPr>
              <w:t>2.</w:t>
            </w:r>
            <w:r>
              <w:rPr>
                <w:rFonts w:ascii="宋体" w:eastAsia="宋体" w:hAnsi="宋体" w:cs="Times New Roman"/>
                <w:kern w:val="0"/>
                <w:szCs w:val="21"/>
              </w:rPr>
              <w:t>增加主机功率测量方法；</w:t>
            </w:r>
            <w:r>
              <w:rPr>
                <w:rFonts w:ascii="宋体" w:eastAsia="宋体" w:hAnsi="宋体" w:cs="Times New Roman"/>
                <w:kern w:val="0"/>
                <w:szCs w:val="21"/>
              </w:rPr>
              <w:t>3.</w:t>
            </w:r>
            <w:r>
              <w:rPr>
                <w:rFonts w:ascii="宋体" w:eastAsia="宋体" w:hAnsi="宋体" w:cs="Times New Roman"/>
                <w:kern w:val="0"/>
                <w:szCs w:val="21"/>
              </w:rPr>
              <w:t>增加燃油消耗量测量方法；</w:t>
            </w:r>
            <w:r>
              <w:rPr>
                <w:rFonts w:ascii="宋体" w:eastAsia="宋体" w:hAnsi="宋体" w:cs="Times New Roman"/>
                <w:kern w:val="0"/>
                <w:szCs w:val="21"/>
              </w:rPr>
              <w:t>4.</w:t>
            </w:r>
            <w:r>
              <w:rPr>
                <w:rFonts w:ascii="宋体" w:eastAsia="宋体" w:hAnsi="宋体" w:cs="Times New Roman" w:hint="eastAsia"/>
                <w:kern w:val="0"/>
                <w:szCs w:val="21"/>
              </w:rPr>
              <w:t>更改</w:t>
            </w:r>
            <w:r>
              <w:rPr>
                <w:rFonts w:ascii="宋体" w:eastAsia="宋体" w:hAnsi="宋体" w:cs="Times New Roman"/>
                <w:kern w:val="0"/>
                <w:szCs w:val="21"/>
              </w:rPr>
              <w:t>双纽线流量计测量要求。</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340</w:t>
            </w:r>
            <w:r>
              <w:rPr>
                <w:rFonts w:ascii="宋体" w:eastAsia="宋体" w:hAnsi="宋体" w:cs="宋体" w:hint="eastAsia"/>
                <w:kern w:val="0"/>
                <w:szCs w:val="21"/>
              </w:rPr>
              <w:t>—</w:t>
            </w:r>
            <w:r>
              <w:rPr>
                <w:rFonts w:ascii="宋体" w:eastAsia="宋体" w:hAnsi="宋体" w:cs="宋体"/>
                <w:kern w:val="0"/>
                <w:szCs w:val="21"/>
              </w:rPr>
              <w:t>2009</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内河船与水路运输标委会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哈尔滨工程大学</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12</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2024-12</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船体结构低温焊接</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现行标准规定了船体结构低温焊接技术条件的术语和定义、焊接规范、技术条件</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适用于周围温度低于</w:t>
            </w:r>
            <w:r>
              <w:rPr>
                <w:rFonts w:ascii="宋体" w:eastAsia="宋体" w:hAnsi="宋体" w:cs="Times New Roman"/>
                <w:kern w:val="0"/>
                <w:szCs w:val="21"/>
              </w:rPr>
              <w:t>0℃</w:t>
            </w:r>
            <w:r>
              <w:rPr>
                <w:rFonts w:ascii="宋体" w:eastAsia="宋体" w:hAnsi="宋体" w:cs="Times New Roman"/>
                <w:kern w:val="0"/>
                <w:szCs w:val="21"/>
              </w:rPr>
              <w:t>时，进行碳素钢及低合金钢所制成船体结构的自动焊、半自动焊和手工焊接。</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增加术语和定义；</w:t>
            </w:r>
            <w:r>
              <w:rPr>
                <w:rFonts w:ascii="宋体" w:eastAsia="宋体" w:hAnsi="宋体" w:cs="Times New Roman"/>
                <w:kern w:val="0"/>
                <w:szCs w:val="21"/>
              </w:rPr>
              <w:t>2.</w:t>
            </w:r>
            <w:r>
              <w:rPr>
                <w:rFonts w:ascii="宋体" w:eastAsia="宋体" w:hAnsi="宋体" w:cs="Times New Roman"/>
                <w:kern w:val="0"/>
                <w:szCs w:val="21"/>
              </w:rPr>
              <w:t>增加焊接规范；</w:t>
            </w:r>
            <w:r>
              <w:rPr>
                <w:rFonts w:ascii="宋体" w:eastAsia="宋体" w:hAnsi="宋体" w:cs="Times New Roman"/>
                <w:kern w:val="0"/>
                <w:szCs w:val="21"/>
              </w:rPr>
              <w:t>3.</w:t>
            </w:r>
            <w:r>
              <w:rPr>
                <w:rFonts w:ascii="宋体" w:eastAsia="宋体" w:hAnsi="宋体" w:cs="Times New Roman"/>
                <w:kern w:val="0"/>
                <w:szCs w:val="21"/>
              </w:rPr>
              <w:t>增加施焊、环境条件、引弧熄弧、温度测量、温度控制、焊接电流等技术条件；</w:t>
            </w:r>
            <w:r>
              <w:rPr>
                <w:rFonts w:ascii="宋体" w:eastAsia="宋体" w:hAnsi="宋体" w:cs="Times New Roman"/>
                <w:kern w:val="0"/>
                <w:szCs w:val="21"/>
              </w:rPr>
              <w:t>4.</w:t>
            </w:r>
            <w:r>
              <w:rPr>
                <w:rFonts w:ascii="宋体" w:eastAsia="宋体" w:hAnsi="宋体" w:cs="Times New Roman"/>
                <w:kern w:val="0"/>
                <w:szCs w:val="21"/>
              </w:rPr>
              <w:t>增加保暖措施、焊前预热、层间温度、温度测量方法、焊后处理等要求。</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240</w:t>
            </w:r>
            <w:r>
              <w:rPr>
                <w:rFonts w:ascii="宋体" w:eastAsia="宋体" w:hAnsi="宋体" w:cs="宋体" w:hint="eastAsia"/>
                <w:kern w:val="0"/>
                <w:szCs w:val="21"/>
              </w:rPr>
              <w:t>—</w:t>
            </w:r>
            <w:r>
              <w:rPr>
                <w:rFonts w:ascii="宋体" w:eastAsia="宋体" w:hAnsi="宋体" w:cs="宋体"/>
                <w:kern w:val="0"/>
                <w:szCs w:val="21"/>
              </w:rPr>
              <w:t>1995</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内河船与水路运输标委会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惠生清洁能源科技集团股份有限公司</w:t>
            </w:r>
            <w:r>
              <w:rPr>
                <w:rFonts w:ascii="宋体" w:eastAsia="宋体" w:hAnsi="宋体" w:cs="宋体" w:hint="eastAsia"/>
                <w:kern w:val="0"/>
                <w:szCs w:val="21"/>
              </w:rPr>
              <w:t>等</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13</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2024-13</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hint="eastAsia"/>
                <w:kern w:val="0"/>
                <w:szCs w:val="21"/>
              </w:rPr>
              <w:t>汽车</w:t>
            </w:r>
            <w:r>
              <w:rPr>
                <w:rFonts w:ascii="宋体" w:eastAsia="宋体" w:hAnsi="宋体" w:cs="Times New Roman"/>
                <w:kern w:val="0"/>
                <w:szCs w:val="21"/>
              </w:rPr>
              <w:t>喷烤漆房能源消耗量限值及能源效率等级</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现行标准规定了汽车喷烤漆房的能源消耗量限值、能源效率等级、能源消耗量测试与计算方法以及能源效率等级标识等</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适用于汽车维修作业用的喷烤漆房，其他汽车喷烤漆房可参照执行。</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更改喷烤漆房典型能源消耗量及能源效率等级、目标能源消耗量限值；</w:t>
            </w:r>
            <w:r>
              <w:rPr>
                <w:rFonts w:ascii="宋体" w:eastAsia="宋体" w:hAnsi="宋体" w:cs="Times New Roman"/>
                <w:kern w:val="0"/>
                <w:szCs w:val="21"/>
              </w:rPr>
              <w:t>2.</w:t>
            </w:r>
            <w:r>
              <w:rPr>
                <w:rFonts w:ascii="宋体" w:eastAsia="宋体" w:hAnsi="宋体" w:cs="Times New Roman"/>
                <w:kern w:val="0"/>
                <w:szCs w:val="21"/>
              </w:rPr>
              <w:t>更改喷烤漆房典型能源消耗量的计算方法；</w:t>
            </w:r>
            <w:r>
              <w:rPr>
                <w:rFonts w:ascii="宋体" w:eastAsia="宋体" w:hAnsi="宋体" w:cs="Times New Roman"/>
                <w:kern w:val="0"/>
                <w:szCs w:val="21"/>
              </w:rPr>
              <w:t>3.</w:t>
            </w:r>
            <w:r>
              <w:rPr>
                <w:rFonts w:ascii="宋体" w:eastAsia="宋体" w:hAnsi="宋体" w:cs="Times New Roman"/>
                <w:kern w:val="0"/>
                <w:szCs w:val="21"/>
              </w:rPr>
              <w:t>更改</w:t>
            </w:r>
            <w:r>
              <w:rPr>
                <w:rFonts w:ascii="宋体" w:eastAsia="宋体" w:hAnsi="宋体" w:cs="Times New Roman"/>
                <w:kern w:val="0"/>
                <w:szCs w:val="21"/>
              </w:rPr>
              <w:t>“</w:t>
            </w:r>
            <w:r>
              <w:rPr>
                <w:rFonts w:ascii="宋体" w:eastAsia="宋体" w:hAnsi="宋体" w:cs="Times New Roman"/>
                <w:kern w:val="0"/>
                <w:szCs w:val="21"/>
              </w:rPr>
              <w:t>烤漆作业时</w:t>
            </w:r>
            <w:r>
              <w:rPr>
                <w:rFonts w:ascii="宋体" w:eastAsia="宋体" w:hAnsi="宋体" w:cs="Times New Roman"/>
                <w:kern w:val="0"/>
                <w:szCs w:val="21"/>
              </w:rPr>
              <w:t>”</w:t>
            </w:r>
            <w:r>
              <w:rPr>
                <w:rFonts w:ascii="宋体" w:eastAsia="宋体" w:hAnsi="宋体" w:cs="Times New Roman"/>
                <w:kern w:val="0"/>
                <w:szCs w:val="21"/>
              </w:rPr>
              <w:t>应满足的条件、</w:t>
            </w:r>
            <w:r>
              <w:rPr>
                <w:rFonts w:ascii="宋体" w:eastAsia="宋体" w:hAnsi="宋体" w:cs="Times New Roman"/>
                <w:kern w:val="0"/>
                <w:szCs w:val="21"/>
              </w:rPr>
              <w:t>“</w:t>
            </w:r>
            <w:r>
              <w:rPr>
                <w:rFonts w:ascii="宋体" w:eastAsia="宋体" w:hAnsi="宋体" w:cs="Times New Roman"/>
                <w:kern w:val="0"/>
                <w:szCs w:val="21"/>
              </w:rPr>
              <w:t>工况时间分配</w:t>
            </w:r>
            <w:r>
              <w:rPr>
                <w:rFonts w:ascii="宋体" w:eastAsia="宋体" w:hAnsi="宋体" w:cs="Times New Roman"/>
                <w:kern w:val="0"/>
                <w:szCs w:val="21"/>
              </w:rPr>
              <w:t>”</w:t>
            </w:r>
            <w:r>
              <w:rPr>
                <w:rFonts w:ascii="宋体" w:eastAsia="宋体" w:hAnsi="宋体" w:cs="Times New Roman"/>
                <w:kern w:val="0"/>
                <w:szCs w:val="21"/>
              </w:rPr>
              <w:t>的计时单位及测试时的</w:t>
            </w:r>
            <w:r>
              <w:rPr>
                <w:rFonts w:ascii="宋体" w:eastAsia="宋体" w:hAnsi="宋体" w:cs="Times New Roman"/>
                <w:kern w:val="0"/>
                <w:szCs w:val="21"/>
              </w:rPr>
              <w:t>“</w:t>
            </w:r>
            <w:r>
              <w:rPr>
                <w:rFonts w:ascii="宋体" w:eastAsia="宋体" w:hAnsi="宋体" w:cs="Times New Roman"/>
                <w:kern w:val="0"/>
                <w:szCs w:val="21"/>
              </w:rPr>
              <w:t>温度测量</w:t>
            </w:r>
            <w:r>
              <w:rPr>
                <w:rFonts w:ascii="宋体" w:eastAsia="宋体" w:hAnsi="宋体" w:cs="Times New Roman"/>
                <w:kern w:val="0"/>
                <w:szCs w:val="21"/>
              </w:rPr>
              <w:t>”</w:t>
            </w:r>
            <w:r>
              <w:rPr>
                <w:rFonts w:ascii="宋体" w:eastAsia="宋体" w:hAnsi="宋体" w:cs="Times New Roman"/>
                <w:kern w:val="0"/>
                <w:szCs w:val="21"/>
              </w:rPr>
              <w:t>条件。</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938</w:t>
            </w:r>
            <w:r>
              <w:rPr>
                <w:rFonts w:ascii="宋体" w:eastAsia="宋体" w:hAnsi="宋体" w:cs="宋体" w:hint="eastAsia"/>
                <w:kern w:val="0"/>
                <w:szCs w:val="21"/>
              </w:rPr>
              <w:t>—</w:t>
            </w:r>
            <w:r>
              <w:rPr>
                <w:rFonts w:ascii="宋体" w:eastAsia="宋体" w:hAnsi="宋体" w:cs="宋体"/>
                <w:kern w:val="0"/>
                <w:szCs w:val="21"/>
              </w:rPr>
              <w:t>2014</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汽车维修标委会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中国汽车保修设备行业协会</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14</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2024-14</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智能运输系统</w:t>
            </w:r>
            <w:r>
              <w:rPr>
                <w:rFonts w:ascii="宋体" w:eastAsia="宋体" w:hAnsi="宋体" w:cs="Times New Roman"/>
                <w:kern w:val="0"/>
                <w:szCs w:val="21"/>
              </w:rPr>
              <w:t xml:space="preserve">  </w:t>
            </w:r>
            <w:r>
              <w:rPr>
                <w:rFonts w:ascii="宋体" w:eastAsia="宋体" w:hAnsi="宋体" w:cs="Times New Roman"/>
                <w:kern w:val="0"/>
                <w:szCs w:val="21"/>
              </w:rPr>
              <w:t>供配电系统节能技术要求</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现行标准规定了智能运输供配电系统的节能技术要求，电压</w:t>
            </w:r>
            <w:r>
              <w:rPr>
                <w:rFonts w:ascii="宋体" w:eastAsia="宋体" w:hAnsi="宋体" w:cs="Times New Roman" w:hint="eastAsia"/>
                <w:kern w:val="0"/>
                <w:szCs w:val="21"/>
              </w:rPr>
              <w:t>与</w:t>
            </w:r>
            <w:r>
              <w:rPr>
                <w:rFonts w:ascii="宋体" w:eastAsia="宋体" w:hAnsi="宋体" w:cs="Times New Roman"/>
                <w:kern w:val="0"/>
                <w:szCs w:val="21"/>
              </w:rPr>
              <w:t>电力线路、三相平衡、供配电系统电能质量、供配电设备、照明和通风供配电系统等节能技术要求，以及能耗监测要求</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适用于交通运输行业公路和城市道路的智能运输供配电系统，铁路、民航、水运行业可参照使用。</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主要修订内容：增加清洁能源应用相关内容；增加负荷侧多类型供电技术相关内容；完善供配电系统运行与节能监测相关内容。</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1228</w:t>
            </w:r>
            <w:r>
              <w:rPr>
                <w:rFonts w:ascii="宋体" w:eastAsia="宋体" w:hAnsi="宋体" w:cs="宋体" w:hint="eastAsia"/>
                <w:kern w:val="0"/>
                <w:szCs w:val="21"/>
              </w:rPr>
              <w:t>—</w:t>
            </w:r>
            <w:r>
              <w:rPr>
                <w:rFonts w:ascii="宋体" w:eastAsia="宋体" w:hAnsi="宋体" w:cs="宋体"/>
                <w:kern w:val="0"/>
                <w:szCs w:val="21"/>
              </w:rPr>
              <w:t>2018</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智能运输标委会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交通运输部公路科学研究所、北京中交国通智能交通系统技术有限公司</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15</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2024-15</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智能运输系统</w:t>
            </w:r>
            <w:r>
              <w:rPr>
                <w:rFonts w:ascii="宋体" w:eastAsia="宋体" w:hAnsi="宋体" w:cs="Times New Roman"/>
                <w:kern w:val="0"/>
                <w:szCs w:val="21"/>
              </w:rPr>
              <w:t xml:space="preserve">  </w:t>
            </w:r>
            <w:r>
              <w:rPr>
                <w:rFonts w:ascii="宋体" w:eastAsia="宋体" w:hAnsi="宋体" w:cs="Times New Roman"/>
                <w:kern w:val="0"/>
                <w:szCs w:val="21"/>
              </w:rPr>
              <w:t>长距离单相供配电系统技术要求</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现行标准规定了智能运输系统长距离单相供配电系统的构成、功能要求，以及上位机、下位机、供电线缆和系统安全防护等技术要求</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适用于交通运输行业公路、城市道路智能运输系统中传感、通信、控制、服务、管理系统等的长距离单相供配电系统，铁路、民航、水运行业可参照使用。</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主要修订内容：对长距离供电系统的构成进行优化；完善长距离供电系统安全防护的相关规定；增加长距离供电系统运行状态监测。</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1229</w:t>
            </w:r>
            <w:r>
              <w:rPr>
                <w:rFonts w:ascii="宋体" w:eastAsia="宋体" w:hAnsi="宋体" w:cs="宋体" w:hint="eastAsia"/>
                <w:kern w:val="0"/>
                <w:szCs w:val="21"/>
              </w:rPr>
              <w:t>—</w:t>
            </w:r>
            <w:r>
              <w:rPr>
                <w:rFonts w:ascii="宋体" w:eastAsia="宋体" w:hAnsi="宋体" w:cs="宋体"/>
                <w:kern w:val="0"/>
                <w:szCs w:val="21"/>
              </w:rPr>
              <w:t>2018</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智能运输标委会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交通运输部公路科学研究所、北京中交国通智能交通系统技术有限公司</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16</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2024-16</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抓斗起重机称重安全保护系统技术要求</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拟规定抓斗起重机称重安全保护系统的系统构成、技术要求和性能要求。</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适用于通用桥式起重机、通用门式起重机、桥式抓斗卸船机、门座起重机、高塔柱起重机、固定式起重机等使用抓斗的起重机以连续的模拟电流或电压信号为测量信号的称重安全保护系统。</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臂架起重机分委会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交通运输部水运科学研究所</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17</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2024-17</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港口岸电电缆臂架式提送机</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拟规定港口岸电电缆臂架提送机的产品分类、组成、基本参数和型号，技术要求，试验方法，检验规则，以及标志、包装、运输和贮存。</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适用于船舶岸基供电的港口岸电电缆臂架式提送机。</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臂架起重机分委会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交通运输部水运科学研究所</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18</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w:t>
            </w:r>
            <w:r>
              <w:rPr>
                <w:rFonts w:ascii="宋体" w:eastAsia="宋体" w:hAnsi="宋体" w:cs="Times New Roman" w:hint="eastAsia"/>
                <w:bCs/>
                <w:kern w:val="0"/>
                <w:szCs w:val="21"/>
              </w:rPr>
              <w:t>18</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海上安全通信系统接口规范</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拟规定海上安全通信系统接口的总体要求，以及数字选择呼叫、奈伏泰斯系统、气象传真、单边带、甚高频等海上安全通信业务的接口要求、编码规则和交互协议规则。</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适用于利用中频、高频、甚高频通信系统开展的数字选择呼叫、奈伏泰斯系统、气象传真、单边带、甚高频等海上安全通信业务控制系统的设计、开发及集成。</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航测标委会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交通运输部规划研究院、交通运输部北海航海保障中心、南京海善达信息科技有限公司</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19</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2024-19</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沿海港口航道数字航海产品交换数据集格式</w:t>
            </w:r>
            <w:r>
              <w:rPr>
                <w:rFonts w:ascii="宋体" w:eastAsia="宋体" w:hAnsi="宋体" w:cs="Times New Roman"/>
                <w:kern w:val="0"/>
                <w:szCs w:val="21"/>
              </w:rPr>
              <w:t xml:space="preserve"> </w:t>
            </w:r>
            <w:r>
              <w:rPr>
                <w:rFonts w:ascii="宋体" w:eastAsia="宋体" w:hAnsi="宋体" w:cs="Times New Roman"/>
                <w:kern w:val="0"/>
                <w:szCs w:val="21"/>
              </w:rPr>
              <w:t>第</w:t>
            </w:r>
            <w:r>
              <w:rPr>
                <w:rFonts w:ascii="宋体" w:eastAsia="宋体" w:hAnsi="宋体" w:cs="Times New Roman"/>
                <w:kern w:val="0"/>
                <w:szCs w:val="21"/>
              </w:rPr>
              <w:t>1</w:t>
            </w:r>
            <w:r>
              <w:rPr>
                <w:rFonts w:ascii="宋体" w:eastAsia="宋体" w:hAnsi="宋体" w:cs="Times New Roman"/>
                <w:kern w:val="0"/>
                <w:szCs w:val="21"/>
              </w:rPr>
              <w:t>部分：水位数据</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拟规定沿海港口航道数字航海产品序列中水位数据产品的数据内容和结构、坐标参考系统、数据质量、数据采集、分类与编码、图示表达、产品格式、数据传输、元数据等技术要求。</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适用于沿海港口航道数字航海水位数据产品的生产、处理、交换、显示和应用，数字航海水位数据产品生产系统、发布系统与应用系统的设计研发参考使用。</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航测标委会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交通运输部东海航海保障中心、交通运输部水运科学研究所</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20</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2024-20</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沿海港口航道数字航海产品交换数据集格式</w:t>
            </w:r>
            <w:r>
              <w:rPr>
                <w:rFonts w:ascii="宋体" w:eastAsia="宋体" w:hAnsi="宋体" w:cs="Times New Roman"/>
                <w:kern w:val="0"/>
                <w:szCs w:val="21"/>
              </w:rPr>
              <w:t xml:space="preserve"> </w:t>
            </w:r>
            <w:r>
              <w:rPr>
                <w:rFonts w:ascii="宋体" w:eastAsia="宋体" w:hAnsi="宋体" w:cs="Times New Roman"/>
                <w:kern w:val="0"/>
                <w:szCs w:val="21"/>
              </w:rPr>
              <w:t>第</w:t>
            </w:r>
            <w:r>
              <w:rPr>
                <w:rFonts w:ascii="宋体" w:eastAsia="宋体" w:hAnsi="宋体" w:cs="Times New Roman"/>
                <w:kern w:val="0"/>
                <w:szCs w:val="21"/>
              </w:rPr>
              <w:t>2</w:t>
            </w:r>
            <w:r>
              <w:rPr>
                <w:rFonts w:ascii="宋体" w:eastAsia="宋体" w:hAnsi="宋体" w:cs="Times New Roman"/>
                <w:kern w:val="0"/>
                <w:szCs w:val="21"/>
              </w:rPr>
              <w:t>部分：表层流数据</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拟规定沿海港口航道数字航海产品序列中表层流数据产品的数据内容和结构、坐标参考系统、数据质量、数据采集、分类与编码、图示表达、产品格式、数据传输、元数据等技术要求。</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适用于沿海港口航道数字航海表层流数据产品的生产、处理、交换、显示和应用，数字航海表层流数据产品生产系统、发布系统与应用系统的设计研发参考使用。</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航测标委会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交通运输部东海航海保障中心、交通运输部水运科学研究所</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21</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2024-21</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钢结构灯桩通用技术条件</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现行标准规定了钢管灯桩的分类及基本参数系列、制造要求、检验方法、标志、包装、运输和存储。</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适用于沿海及内河助航标志用钢管灯桩。</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hint="eastAsia"/>
                <w:kern w:val="0"/>
                <w:szCs w:val="21"/>
              </w:rPr>
              <w:t>更改</w:t>
            </w:r>
            <w:r>
              <w:rPr>
                <w:rFonts w:ascii="宋体" w:eastAsia="宋体" w:hAnsi="宋体" w:cs="Times New Roman"/>
                <w:kern w:val="0"/>
                <w:szCs w:val="21"/>
              </w:rPr>
              <w:t>标准名称</w:t>
            </w:r>
            <w:r>
              <w:rPr>
                <w:rFonts w:ascii="宋体" w:eastAsia="宋体" w:hAnsi="宋体" w:cs="Times New Roman" w:hint="eastAsia"/>
                <w:kern w:val="0"/>
                <w:szCs w:val="21"/>
              </w:rPr>
              <w:t>和适用范围</w:t>
            </w:r>
            <w:r>
              <w:rPr>
                <w:rFonts w:ascii="宋体" w:eastAsia="宋体" w:hAnsi="宋体" w:cs="Times New Roman"/>
                <w:kern w:val="0"/>
                <w:szCs w:val="21"/>
              </w:rPr>
              <w:t>；</w:t>
            </w:r>
            <w:r>
              <w:rPr>
                <w:rFonts w:ascii="宋体" w:eastAsia="宋体" w:hAnsi="宋体" w:cs="Times New Roman"/>
                <w:kern w:val="0"/>
                <w:szCs w:val="21"/>
              </w:rPr>
              <w:t>2.</w:t>
            </w:r>
            <w:r>
              <w:rPr>
                <w:rFonts w:ascii="宋体" w:eastAsia="宋体" w:hAnsi="宋体" w:cs="Times New Roman"/>
                <w:kern w:val="0"/>
                <w:szCs w:val="21"/>
              </w:rPr>
              <w:t>增加行桁架式角钢灯桩基本参数要求；</w:t>
            </w:r>
            <w:r>
              <w:rPr>
                <w:rFonts w:ascii="宋体" w:eastAsia="宋体" w:hAnsi="宋体" w:cs="Times New Roman"/>
                <w:kern w:val="0"/>
                <w:szCs w:val="21"/>
              </w:rPr>
              <w:t>3.</w:t>
            </w:r>
            <w:r>
              <w:rPr>
                <w:rFonts w:ascii="宋体" w:eastAsia="宋体" w:hAnsi="宋体" w:cs="Times New Roman"/>
                <w:kern w:val="0"/>
                <w:szCs w:val="21"/>
              </w:rPr>
              <w:t>根据绿色环保要求</w:t>
            </w:r>
            <w:r>
              <w:rPr>
                <w:rFonts w:ascii="宋体" w:eastAsia="宋体" w:hAnsi="宋体" w:cs="Times New Roman" w:hint="eastAsia"/>
                <w:kern w:val="0"/>
                <w:szCs w:val="21"/>
              </w:rPr>
              <w:t>更改</w:t>
            </w:r>
            <w:r>
              <w:rPr>
                <w:rFonts w:ascii="宋体" w:eastAsia="宋体" w:hAnsi="宋体" w:cs="Times New Roman"/>
                <w:kern w:val="0"/>
                <w:szCs w:val="21"/>
              </w:rPr>
              <w:t>防腐技术要求；</w:t>
            </w:r>
            <w:r>
              <w:rPr>
                <w:rFonts w:ascii="宋体" w:eastAsia="宋体" w:hAnsi="宋体" w:cs="Times New Roman"/>
                <w:kern w:val="0"/>
                <w:szCs w:val="21"/>
              </w:rPr>
              <w:t>4.</w:t>
            </w:r>
            <w:r>
              <w:rPr>
                <w:rFonts w:ascii="宋体" w:eastAsia="宋体" w:hAnsi="宋体" w:cs="Times New Roman"/>
                <w:kern w:val="0"/>
                <w:szCs w:val="21"/>
              </w:rPr>
              <w:t>根据技术发展</w:t>
            </w:r>
            <w:r>
              <w:rPr>
                <w:rFonts w:ascii="宋体" w:eastAsia="宋体" w:hAnsi="宋体" w:cs="Times New Roman" w:hint="eastAsia"/>
                <w:kern w:val="0"/>
                <w:szCs w:val="21"/>
              </w:rPr>
              <w:t>更改</w:t>
            </w:r>
            <w:r>
              <w:rPr>
                <w:rFonts w:ascii="宋体" w:eastAsia="宋体" w:hAnsi="宋体" w:cs="Times New Roman"/>
                <w:kern w:val="0"/>
                <w:szCs w:val="21"/>
              </w:rPr>
              <w:t>试验方法。</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102</w:t>
            </w:r>
            <w:r>
              <w:rPr>
                <w:rFonts w:ascii="宋体" w:eastAsia="宋体" w:hAnsi="宋体" w:cs="宋体" w:hint="eastAsia"/>
                <w:kern w:val="0"/>
                <w:szCs w:val="21"/>
              </w:rPr>
              <w:t>—</w:t>
            </w:r>
            <w:r>
              <w:rPr>
                <w:rFonts w:ascii="宋体" w:eastAsia="宋体" w:hAnsi="宋体" w:cs="宋体"/>
                <w:kern w:val="0"/>
                <w:szCs w:val="21"/>
              </w:rPr>
              <w:t>2009</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航测标委会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交通运输部东海航海保障中心连云港航标处、中交上海航道勘察设计研究院有限公司</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22</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2024-22</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船舶交通管理系统数据交换</w:t>
            </w:r>
            <w:r>
              <w:rPr>
                <w:rFonts w:ascii="宋体" w:eastAsia="宋体" w:hAnsi="宋体" w:cs="Times New Roman"/>
                <w:kern w:val="0"/>
                <w:szCs w:val="21"/>
              </w:rPr>
              <w:t xml:space="preserve">  </w:t>
            </w:r>
            <w:r>
              <w:rPr>
                <w:rFonts w:ascii="宋体" w:eastAsia="宋体" w:hAnsi="宋体" w:cs="Times New Roman"/>
                <w:kern w:val="0"/>
                <w:szCs w:val="21"/>
              </w:rPr>
              <w:t>第</w:t>
            </w:r>
            <w:r>
              <w:rPr>
                <w:rFonts w:ascii="宋体" w:eastAsia="宋体" w:hAnsi="宋体" w:cs="Times New Roman"/>
                <w:kern w:val="0"/>
                <w:szCs w:val="21"/>
              </w:rPr>
              <w:t>1</w:t>
            </w:r>
            <w:r>
              <w:rPr>
                <w:rFonts w:ascii="宋体" w:eastAsia="宋体" w:hAnsi="宋体" w:cs="Times New Roman"/>
                <w:kern w:val="0"/>
                <w:szCs w:val="21"/>
              </w:rPr>
              <w:t>部分：</w:t>
            </w:r>
            <w:r>
              <w:rPr>
                <w:rFonts w:ascii="宋体" w:eastAsia="宋体" w:hAnsi="宋体" w:cs="Times New Roman"/>
                <w:kern w:val="0"/>
                <w:szCs w:val="21"/>
              </w:rPr>
              <w:t>IVEF</w:t>
            </w:r>
            <w:r>
              <w:rPr>
                <w:rFonts w:ascii="宋体" w:eastAsia="宋体" w:hAnsi="宋体" w:cs="Times New Roman"/>
                <w:kern w:val="0"/>
                <w:szCs w:val="21"/>
              </w:rPr>
              <w:t>格式</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现行标准规定了船舶交通管理系统数据交换</w:t>
            </w:r>
            <w:r>
              <w:rPr>
                <w:rFonts w:ascii="宋体" w:eastAsia="宋体" w:hAnsi="宋体" w:cs="Times New Roman"/>
                <w:kern w:val="0"/>
                <w:szCs w:val="21"/>
              </w:rPr>
              <w:t>IVEF</w:t>
            </w:r>
            <w:r>
              <w:rPr>
                <w:rFonts w:ascii="宋体" w:eastAsia="宋体" w:hAnsi="宋体" w:cs="Times New Roman"/>
                <w:kern w:val="0"/>
                <w:szCs w:val="21"/>
              </w:rPr>
              <w:t>服务及其模型和消息格式</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适用于船舶交通管理系统之间以及船舶交通管理系统与其他信息系统之间进行数据交换。</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更改</w:t>
            </w:r>
            <w:r>
              <w:rPr>
                <w:rFonts w:ascii="宋体" w:eastAsia="宋体" w:hAnsi="宋体" w:cs="Times New Roman"/>
                <w:kern w:val="0"/>
                <w:szCs w:val="21"/>
              </w:rPr>
              <w:t>IVEF</w:t>
            </w:r>
            <w:r>
              <w:rPr>
                <w:rFonts w:ascii="宋体" w:eastAsia="宋体" w:hAnsi="宋体" w:cs="Times New Roman"/>
                <w:kern w:val="0"/>
                <w:szCs w:val="21"/>
              </w:rPr>
              <w:t>服务描述；</w:t>
            </w:r>
            <w:r>
              <w:rPr>
                <w:rFonts w:ascii="宋体" w:eastAsia="宋体" w:hAnsi="宋体" w:cs="Times New Roman"/>
                <w:kern w:val="0"/>
                <w:szCs w:val="21"/>
              </w:rPr>
              <w:t>2.</w:t>
            </w:r>
            <w:r>
              <w:rPr>
                <w:rFonts w:ascii="宋体" w:eastAsia="宋体" w:hAnsi="宋体" w:cs="Times New Roman"/>
                <w:kern w:val="0"/>
                <w:szCs w:val="21"/>
              </w:rPr>
              <w:t>增加元素</w:t>
            </w:r>
            <w:r>
              <w:rPr>
                <w:rFonts w:ascii="宋体" w:eastAsia="宋体" w:hAnsi="宋体" w:cs="Times New Roman"/>
                <w:kern w:val="0"/>
                <w:szCs w:val="21"/>
              </w:rPr>
              <w:t>TrackData</w:t>
            </w:r>
            <w:r>
              <w:rPr>
                <w:rFonts w:ascii="宋体" w:eastAsia="宋体" w:hAnsi="宋体" w:cs="Times New Roman"/>
                <w:kern w:val="0"/>
                <w:szCs w:val="21"/>
              </w:rPr>
              <w:t>、</w:t>
            </w:r>
            <w:r>
              <w:rPr>
                <w:rFonts w:ascii="宋体" w:eastAsia="宋体" w:hAnsi="宋体" w:cs="Times New Roman"/>
                <w:kern w:val="0"/>
                <w:szCs w:val="21"/>
              </w:rPr>
              <w:t>Pos</w:t>
            </w:r>
            <w:r>
              <w:rPr>
                <w:rFonts w:ascii="宋体" w:eastAsia="宋体" w:hAnsi="宋体" w:cs="Times New Roman"/>
                <w:kern w:val="0"/>
                <w:szCs w:val="21"/>
              </w:rPr>
              <w:t>等的属性；</w:t>
            </w:r>
            <w:r>
              <w:rPr>
                <w:rFonts w:ascii="宋体" w:eastAsia="宋体" w:hAnsi="宋体" w:cs="Times New Roman"/>
                <w:kern w:val="0"/>
                <w:szCs w:val="21"/>
              </w:rPr>
              <w:t>3.</w:t>
            </w:r>
            <w:r>
              <w:rPr>
                <w:rFonts w:ascii="宋体" w:eastAsia="宋体" w:hAnsi="宋体" w:cs="Times New Roman"/>
                <w:kern w:val="0"/>
                <w:szCs w:val="21"/>
              </w:rPr>
              <w:t>更改元素</w:t>
            </w:r>
            <w:r>
              <w:rPr>
                <w:rFonts w:ascii="宋体" w:eastAsia="宋体" w:hAnsi="宋体" w:cs="Times New Roman"/>
                <w:kern w:val="0"/>
                <w:szCs w:val="21"/>
              </w:rPr>
              <w:t>NavStatus</w:t>
            </w:r>
            <w:r>
              <w:rPr>
                <w:rFonts w:ascii="宋体" w:eastAsia="宋体" w:hAnsi="宋体" w:cs="Times New Roman"/>
                <w:kern w:val="0"/>
                <w:szCs w:val="21"/>
              </w:rPr>
              <w:t>、</w:t>
            </w:r>
            <w:r>
              <w:rPr>
                <w:rFonts w:ascii="宋体" w:eastAsia="宋体" w:hAnsi="宋体" w:cs="Times New Roman"/>
                <w:kern w:val="0"/>
                <w:szCs w:val="21"/>
              </w:rPr>
              <w:t>VoyageData</w:t>
            </w:r>
            <w:r>
              <w:rPr>
                <w:rFonts w:ascii="宋体" w:eastAsia="宋体" w:hAnsi="宋体" w:cs="Times New Roman"/>
                <w:kern w:val="0"/>
                <w:szCs w:val="21"/>
              </w:rPr>
              <w:t>等的属性；</w:t>
            </w:r>
            <w:r>
              <w:rPr>
                <w:rFonts w:ascii="宋体" w:eastAsia="宋体" w:hAnsi="宋体" w:cs="Times New Roman"/>
                <w:kern w:val="0"/>
                <w:szCs w:val="21"/>
              </w:rPr>
              <w:t>4.</w:t>
            </w:r>
            <w:r>
              <w:rPr>
                <w:rFonts w:ascii="宋体" w:eastAsia="宋体" w:hAnsi="宋体" w:cs="Times New Roman"/>
                <w:kern w:val="0"/>
                <w:szCs w:val="21"/>
              </w:rPr>
              <w:t>增加属性</w:t>
            </w:r>
            <w:r>
              <w:rPr>
                <w:rFonts w:ascii="宋体" w:eastAsia="宋体" w:hAnsi="宋体" w:cs="Times New Roman"/>
                <w:kern w:val="0"/>
                <w:szCs w:val="21"/>
              </w:rPr>
              <w:t>Beido</w:t>
            </w:r>
            <w:r>
              <w:rPr>
                <w:rFonts w:ascii="宋体" w:eastAsia="宋体" w:hAnsi="宋体" w:cs="Times New Roman" w:hint="eastAsia"/>
                <w:kern w:val="0"/>
                <w:szCs w:val="21"/>
              </w:rPr>
              <w:t>u</w:t>
            </w:r>
            <w:r>
              <w:rPr>
                <w:rFonts w:ascii="宋体" w:eastAsia="宋体" w:hAnsi="宋体" w:cs="Times New Roman"/>
                <w:kern w:val="0"/>
                <w:szCs w:val="21"/>
              </w:rPr>
              <w:t>Id</w:t>
            </w:r>
            <w:r>
              <w:rPr>
                <w:rFonts w:ascii="宋体" w:eastAsia="宋体" w:hAnsi="宋体" w:cs="Times New Roman"/>
                <w:kern w:val="0"/>
                <w:szCs w:val="21"/>
              </w:rPr>
              <w:t>、</w:t>
            </w:r>
            <w:r>
              <w:rPr>
                <w:rFonts w:ascii="宋体" w:eastAsia="宋体" w:hAnsi="宋体" w:cs="Times New Roman"/>
                <w:kern w:val="0"/>
                <w:szCs w:val="21"/>
              </w:rPr>
              <w:t>BeidouIndicationPos</w:t>
            </w:r>
            <w:r>
              <w:rPr>
                <w:rFonts w:ascii="宋体" w:eastAsia="宋体" w:hAnsi="宋体" w:cs="Times New Roman"/>
                <w:kern w:val="0"/>
                <w:szCs w:val="21"/>
              </w:rPr>
              <w:t>等的定义；</w:t>
            </w:r>
            <w:r>
              <w:rPr>
                <w:rFonts w:ascii="宋体" w:eastAsia="宋体" w:hAnsi="宋体" w:cs="Times New Roman"/>
                <w:kern w:val="0"/>
                <w:szCs w:val="21"/>
              </w:rPr>
              <w:t>5.</w:t>
            </w:r>
            <w:r>
              <w:rPr>
                <w:rFonts w:ascii="宋体" w:eastAsia="宋体" w:hAnsi="宋体" w:cs="Times New Roman"/>
                <w:kern w:val="0"/>
                <w:szCs w:val="21"/>
              </w:rPr>
              <w:t>更改属性</w:t>
            </w:r>
            <w:r>
              <w:rPr>
                <w:rFonts w:ascii="宋体" w:eastAsia="宋体" w:hAnsi="宋体" w:cs="Times New Roman"/>
                <w:kern w:val="0"/>
                <w:szCs w:val="21"/>
              </w:rPr>
              <w:t>BlackListed</w:t>
            </w:r>
            <w:r>
              <w:rPr>
                <w:rFonts w:ascii="宋体" w:eastAsia="宋体" w:hAnsi="宋体" w:cs="Times New Roman"/>
                <w:kern w:val="0"/>
                <w:szCs w:val="21"/>
              </w:rPr>
              <w:t>、</w:t>
            </w:r>
            <w:r>
              <w:rPr>
                <w:rFonts w:ascii="宋体" w:eastAsia="宋体" w:hAnsi="宋体" w:cs="Times New Roman"/>
                <w:kern w:val="0"/>
                <w:szCs w:val="21"/>
              </w:rPr>
              <w:t>Class</w:t>
            </w:r>
            <w:r>
              <w:rPr>
                <w:rFonts w:ascii="宋体" w:eastAsia="宋体" w:hAnsi="宋体" w:cs="Times New Roman"/>
                <w:kern w:val="0"/>
                <w:szCs w:val="21"/>
              </w:rPr>
              <w:t>、</w:t>
            </w:r>
            <w:r>
              <w:rPr>
                <w:rFonts w:ascii="宋体" w:eastAsia="宋体" w:hAnsi="宋体" w:cs="Times New Roman"/>
                <w:kern w:val="0"/>
                <w:szCs w:val="21"/>
              </w:rPr>
              <w:t>Deadweight</w:t>
            </w:r>
            <w:r>
              <w:rPr>
                <w:rFonts w:ascii="宋体" w:eastAsia="宋体" w:hAnsi="宋体" w:cs="Times New Roman"/>
                <w:kern w:val="0"/>
                <w:szCs w:val="21"/>
              </w:rPr>
              <w:t>、</w:t>
            </w:r>
            <w:r>
              <w:rPr>
                <w:rFonts w:ascii="宋体" w:eastAsia="宋体" w:hAnsi="宋体" w:cs="Times New Roman"/>
                <w:kern w:val="0"/>
                <w:szCs w:val="21"/>
              </w:rPr>
              <w:t>Flag</w:t>
            </w:r>
            <w:r>
              <w:rPr>
                <w:rFonts w:ascii="宋体" w:eastAsia="宋体" w:hAnsi="宋体" w:cs="Times New Roman"/>
                <w:kern w:val="0"/>
                <w:szCs w:val="21"/>
              </w:rPr>
              <w:t>等的定义。</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1142.1</w:t>
            </w:r>
            <w:r>
              <w:rPr>
                <w:rFonts w:ascii="宋体" w:eastAsia="宋体" w:hAnsi="宋体" w:cs="宋体" w:hint="eastAsia"/>
                <w:kern w:val="0"/>
                <w:szCs w:val="21"/>
              </w:rPr>
              <w:t>—</w:t>
            </w:r>
            <w:r>
              <w:rPr>
                <w:rFonts w:ascii="宋体" w:eastAsia="宋体" w:hAnsi="宋体" w:cs="宋体"/>
                <w:kern w:val="0"/>
                <w:szCs w:val="21"/>
              </w:rPr>
              <w:t>2017</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航测标委会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深圳海事局</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23</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2024-23</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船舶交通管理系统数据交换</w:t>
            </w:r>
            <w:r>
              <w:rPr>
                <w:rFonts w:ascii="宋体" w:eastAsia="宋体" w:hAnsi="宋体" w:cs="Times New Roman"/>
                <w:kern w:val="0"/>
                <w:szCs w:val="21"/>
              </w:rPr>
              <w:t xml:space="preserve">  </w:t>
            </w:r>
            <w:r>
              <w:rPr>
                <w:rFonts w:ascii="宋体" w:eastAsia="宋体" w:hAnsi="宋体" w:cs="Times New Roman"/>
                <w:kern w:val="0"/>
                <w:szCs w:val="21"/>
              </w:rPr>
              <w:t>第</w:t>
            </w:r>
            <w:r>
              <w:rPr>
                <w:rFonts w:ascii="宋体" w:eastAsia="宋体" w:hAnsi="宋体" w:cs="Times New Roman"/>
                <w:kern w:val="0"/>
                <w:szCs w:val="21"/>
              </w:rPr>
              <w:t>2</w:t>
            </w:r>
            <w:r>
              <w:rPr>
                <w:rFonts w:ascii="宋体" w:eastAsia="宋体" w:hAnsi="宋体" w:cs="Times New Roman"/>
                <w:kern w:val="0"/>
                <w:szCs w:val="21"/>
              </w:rPr>
              <w:t>部分：电文格式</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现行标准规定了船舶交通管理系统数据交换标准电文的数据格式、数据内容和数据传输</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适用于船舶交通管理系统之间以及船舶交通管理系统与其他信息系统之间进行数据交换。</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更改船舶动态信息电文格式；</w:t>
            </w:r>
            <w:r>
              <w:rPr>
                <w:rFonts w:ascii="宋体" w:eastAsia="宋体" w:hAnsi="宋体" w:cs="Times New Roman"/>
                <w:kern w:val="0"/>
                <w:szCs w:val="21"/>
              </w:rPr>
              <w:t>2.</w:t>
            </w:r>
            <w:r>
              <w:rPr>
                <w:rFonts w:ascii="宋体" w:eastAsia="宋体" w:hAnsi="宋体" w:cs="Times New Roman"/>
                <w:kern w:val="0"/>
                <w:szCs w:val="21"/>
              </w:rPr>
              <w:t>更改部分船舶动态信息参数；</w:t>
            </w:r>
            <w:r>
              <w:rPr>
                <w:rFonts w:ascii="宋体" w:eastAsia="宋体" w:hAnsi="宋体" w:cs="Times New Roman"/>
                <w:kern w:val="0"/>
                <w:szCs w:val="21"/>
              </w:rPr>
              <w:t>3.</w:t>
            </w:r>
            <w:r>
              <w:rPr>
                <w:rFonts w:ascii="宋体" w:eastAsia="宋体" w:hAnsi="宋体" w:cs="Times New Roman"/>
                <w:kern w:val="0"/>
                <w:szCs w:val="21"/>
              </w:rPr>
              <w:t>增加船舶动态信息参数；</w:t>
            </w:r>
            <w:r>
              <w:rPr>
                <w:rFonts w:ascii="宋体" w:eastAsia="宋体" w:hAnsi="宋体" w:cs="Times New Roman"/>
                <w:kern w:val="0"/>
                <w:szCs w:val="21"/>
              </w:rPr>
              <w:t>4.</w:t>
            </w:r>
            <w:r>
              <w:rPr>
                <w:rFonts w:ascii="宋体" w:eastAsia="宋体" w:hAnsi="宋体" w:cs="Times New Roman"/>
                <w:kern w:val="0"/>
                <w:szCs w:val="21"/>
              </w:rPr>
              <w:t>删除部分船舶动态信息参数；</w:t>
            </w:r>
            <w:r>
              <w:rPr>
                <w:rFonts w:ascii="宋体" w:eastAsia="宋体" w:hAnsi="宋体" w:cs="Times New Roman"/>
                <w:kern w:val="0"/>
                <w:szCs w:val="21"/>
              </w:rPr>
              <w:t>5.</w:t>
            </w:r>
            <w:r>
              <w:rPr>
                <w:rFonts w:ascii="宋体" w:eastAsia="宋体" w:hAnsi="宋体" w:cs="Times New Roman"/>
                <w:kern w:val="0"/>
                <w:szCs w:val="21"/>
              </w:rPr>
              <w:t>更改航程信息电文格式；</w:t>
            </w:r>
            <w:r>
              <w:rPr>
                <w:rFonts w:ascii="宋体" w:eastAsia="宋体" w:hAnsi="宋体" w:cs="Times New Roman"/>
                <w:kern w:val="0"/>
                <w:szCs w:val="21"/>
              </w:rPr>
              <w:t>6.</w:t>
            </w:r>
            <w:r>
              <w:rPr>
                <w:rFonts w:ascii="宋体" w:eastAsia="宋体" w:hAnsi="宋体" w:cs="Times New Roman"/>
                <w:kern w:val="0"/>
                <w:szCs w:val="21"/>
              </w:rPr>
              <w:t>更改部分航程信息参数；</w:t>
            </w:r>
            <w:r>
              <w:rPr>
                <w:rFonts w:ascii="宋体" w:eastAsia="宋体" w:hAnsi="宋体" w:cs="Times New Roman"/>
                <w:kern w:val="0"/>
                <w:szCs w:val="21"/>
              </w:rPr>
              <w:t>7.</w:t>
            </w:r>
            <w:r>
              <w:rPr>
                <w:rFonts w:ascii="宋体" w:eastAsia="宋体" w:hAnsi="宋体" w:cs="Times New Roman"/>
                <w:kern w:val="0"/>
                <w:szCs w:val="21"/>
              </w:rPr>
              <w:t>补充航程信息参数；</w:t>
            </w:r>
            <w:r>
              <w:rPr>
                <w:rFonts w:ascii="宋体" w:eastAsia="宋体" w:hAnsi="宋体" w:cs="Times New Roman"/>
                <w:kern w:val="0"/>
                <w:szCs w:val="21"/>
              </w:rPr>
              <w:t>8.</w:t>
            </w:r>
            <w:r>
              <w:rPr>
                <w:rFonts w:ascii="宋体" w:eastAsia="宋体" w:hAnsi="宋体" w:cs="Times New Roman"/>
                <w:kern w:val="0"/>
                <w:szCs w:val="21"/>
              </w:rPr>
              <w:t>增加航线计划；</w:t>
            </w:r>
            <w:r>
              <w:rPr>
                <w:rFonts w:ascii="宋体" w:eastAsia="宋体" w:hAnsi="宋体" w:cs="Times New Roman"/>
                <w:kern w:val="0"/>
                <w:szCs w:val="21"/>
              </w:rPr>
              <w:t>9.</w:t>
            </w:r>
            <w:r>
              <w:rPr>
                <w:rFonts w:ascii="宋体" w:eastAsia="宋体" w:hAnsi="宋体" w:cs="Times New Roman"/>
                <w:kern w:val="0"/>
                <w:szCs w:val="21"/>
              </w:rPr>
              <w:t>补充数据传输方式；</w:t>
            </w:r>
            <w:r>
              <w:rPr>
                <w:rFonts w:ascii="宋体" w:eastAsia="宋体" w:hAnsi="宋体" w:cs="Times New Roman"/>
                <w:kern w:val="0"/>
                <w:szCs w:val="21"/>
              </w:rPr>
              <w:t>10.</w:t>
            </w:r>
            <w:r>
              <w:rPr>
                <w:rFonts w:ascii="宋体" w:eastAsia="宋体" w:hAnsi="宋体" w:cs="Times New Roman" w:hint="eastAsia"/>
                <w:kern w:val="0"/>
                <w:szCs w:val="21"/>
              </w:rPr>
              <w:t>更改</w:t>
            </w:r>
            <w:r>
              <w:rPr>
                <w:rFonts w:ascii="宋体" w:eastAsia="宋体" w:hAnsi="宋体" w:cs="Times New Roman"/>
                <w:kern w:val="0"/>
                <w:szCs w:val="21"/>
              </w:rPr>
              <w:t>发送时间间隔；</w:t>
            </w:r>
            <w:r>
              <w:rPr>
                <w:rFonts w:ascii="宋体" w:eastAsia="宋体" w:hAnsi="宋体" w:cs="Times New Roman"/>
                <w:kern w:val="0"/>
                <w:szCs w:val="21"/>
              </w:rPr>
              <w:t>11.</w:t>
            </w:r>
            <w:r>
              <w:rPr>
                <w:rFonts w:ascii="宋体" w:eastAsia="宋体" w:hAnsi="宋体" w:cs="Times New Roman" w:hint="eastAsia"/>
                <w:kern w:val="0"/>
                <w:szCs w:val="21"/>
              </w:rPr>
              <w:t>更改</w:t>
            </w:r>
            <w:r>
              <w:rPr>
                <w:rFonts w:ascii="宋体" w:eastAsia="宋体" w:hAnsi="宋体" w:cs="Times New Roman"/>
                <w:kern w:val="0"/>
                <w:szCs w:val="21"/>
              </w:rPr>
              <w:t>附录</w:t>
            </w:r>
            <w:r>
              <w:rPr>
                <w:rFonts w:ascii="宋体" w:eastAsia="宋体" w:hAnsi="宋体" w:cs="Times New Roman"/>
                <w:kern w:val="0"/>
                <w:szCs w:val="21"/>
              </w:rPr>
              <w:t>B</w:t>
            </w:r>
            <w:r>
              <w:rPr>
                <w:rFonts w:ascii="宋体" w:eastAsia="宋体" w:hAnsi="宋体" w:cs="Times New Roman"/>
                <w:kern w:val="0"/>
                <w:szCs w:val="21"/>
              </w:rPr>
              <w:t>的船舶动态信息示例、航程信息示例。</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1142.2</w:t>
            </w:r>
            <w:r>
              <w:rPr>
                <w:rFonts w:ascii="宋体" w:eastAsia="宋体" w:hAnsi="宋体" w:cs="宋体" w:hint="eastAsia"/>
                <w:kern w:val="0"/>
                <w:szCs w:val="21"/>
              </w:rPr>
              <w:t>—</w:t>
            </w:r>
            <w:r>
              <w:rPr>
                <w:rFonts w:ascii="宋体" w:eastAsia="宋体" w:hAnsi="宋体" w:cs="宋体"/>
                <w:kern w:val="0"/>
                <w:szCs w:val="21"/>
              </w:rPr>
              <w:t>2017</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航测标委会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深圳海事局</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24</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2024-24</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交通建设工程电子证照</w:t>
            </w:r>
            <w:r>
              <w:rPr>
                <w:rFonts w:ascii="宋体" w:eastAsia="宋体" w:hAnsi="宋体" w:cs="Times New Roman"/>
                <w:kern w:val="0"/>
                <w:szCs w:val="21"/>
              </w:rPr>
              <w:t xml:space="preserve"> </w:t>
            </w:r>
            <w:r>
              <w:rPr>
                <w:rFonts w:ascii="宋体" w:eastAsia="宋体" w:hAnsi="宋体" w:cs="Times New Roman"/>
                <w:kern w:val="0"/>
                <w:szCs w:val="21"/>
              </w:rPr>
              <w:t>第</w:t>
            </w:r>
            <w:r>
              <w:rPr>
                <w:rFonts w:ascii="宋体" w:eastAsia="宋体" w:hAnsi="宋体" w:cs="Times New Roman"/>
                <w:kern w:val="0"/>
                <w:szCs w:val="21"/>
              </w:rPr>
              <w:t>3</w:t>
            </w:r>
            <w:r>
              <w:rPr>
                <w:rFonts w:ascii="宋体" w:eastAsia="宋体" w:hAnsi="宋体" w:cs="Times New Roman"/>
                <w:kern w:val="0"/>
                <w:szCs w:val="21"/>
              </w:rPr>
              <w:t>部分：交通运输工程造价工程师注册证书</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拟规定交通运输工程造价工程师注册证书电子证照文件要求、外观样式及信息内容。</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适用于交通运输工程造价工程师注册证书电子证照的生成、数据处理、交换与共享。</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信息通导标委会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交通运输部职业资格中心</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25</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2024-25</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交通地理信息数据服务技术规范</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拟规定交通地理信息数据服务的命名规则、服务分类、服务调用方式和数据更新要求。</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适用于信息系统中交通地理信息数据服务的发布、调用、数据更新和标准化管理，其他地理信息数据服务的发布、调用和数据更新参照使用。</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信息通导标委会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交通运输部科学研究院</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26</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2024-26</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公路安全预警与应急信息管理要求</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拟规定公路安全预警与应急的</w:t>
            </w:r>
            <w:r>
              <w:rPr>
                <w:rFonts w:ascii="宋体" w:eastAsia="宋体" w:hAnsi="宋体" w:cs="Times New Roman" w:hint="eastAsia"/>
                <w:kern w:val="0"/>
                <w:szCs w:val="21"/>
              </w:rPr>
              <w:t>体系</w:t>
            </w:r>
            <w:r>
              <w:rPr>
                <w:rFonts w:ascii="宋体" w:eastAsia="宋体" w:hAnsi="宋体" w:cs="Times New Roman"/>
                <w:kern w:val="0"/>
                <w:szCs w:val="21"/>
              </w:rPr>
              <w:t>架构</w:t>
            </w:r>
            <w:r>
              <w:rPr>
                <w:rFonts w:ascii="宋体" w:eastAsia="宋体" w:hAnsi="宋体" w:cs="Times New Roman" w:hint="eastAsia"/>
                <w:kern w:val="0"/>
                <w:szCs w:val="21"/>
              </w:rPr>
              <w:t>、基本</w:t>
            </w:r>
            <w:r>
              <w:rPr>
                <w:rFonts w:ascii="宋体" w:eastAsia="宋体" w:hAnsi="宋体" w:cs="Times New Roman"/>
                <w:kern w:val="0"/>
                <w:szCs w:val="21"/>
              </w:rPr>
              <w:t>要求，以及公路安全预警、应急处置、应急队伍、应急装备物资、应急预案制修订、应急培训与演练</w:t>
            </w:r>
            <w:r>
              <w:rPr>
                <w:rFonts w:ascii="宋体" w:eastAsia="宋体" w:hAnsi="宋体" w:cs="Times New Roman" w:hint="eastAsia"/>
                <w:kern w:val="0"/>
                <w:szCs w:val="21"/>
              </w:rPr>
              <w:t>和</w:t>
            </w:r>
            <w:r>
              <w:rPr>
                <w:rFonts w:ascii="宋体" w:eastAsia="宋体" w:hAnsi="宋体" w:cs="Times New Roman"/>
                <w:kern w:val="0"/>
                <w:szCs w:val="21"/>
              </w:rPr>
              <w:t>车辆应急救援</w:t>
            </w:r>
            <w:r>
              <w:rPr>
                <w:rFonts w:ascii="宋体" w:eastAsia="宋体" w:hAnsi="宋体" w:cs="Times New Roman" w:hint="eastAsia"/>
                <w:kern w:val="0"/>
                <w:szCs w:val="21"/>
              </w:rPr>
              <w:t>的</w:t>
            </w:r>
            <w:r>
              <w:rPr>
                <w:rFonts w:ascii="宋体" w:eastAsia="宋体" w:hAnsi="宋体" w:cs="Times New Roman"/>
                <w:kern w:val="0"/>
                <w:szCs w:val="21"/>
              </w:rPr>
              <w:t>信息管理要求。</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w:t>
            </w:r>
            <w:r>
              <w:rPr>
                <w:rFonts w:ascii="宋体" w:eastAsia="宋体" w:hAnsi="宋体" w:cs="Times New Roman" w:hint="eastAsia"/>
                <w:kern w:val="0"/>
                <w:szCs w:val="21"/>
              </w:rPr>
              <w:t>高速公路、普通干线公路的管理和运营单位</w:t>
            </w:r>
            <w:r>
              <w:rPr>
                <w:rFonts w:ascii="宋体" w:eastAsia="宋体" w:hAnsi="宋体" w:cs="Times New Roman"/>
                <w:kern w:val="0"/>
                <w:szCs w:val="21"/>
              </w:rPr>
              <w:t>开展公路安全预警与应急</w:t>
            </w:r>
            <w:r>
              <w:rPr>
                <w:rFonts w:ascii="宋体" w:eastAsia="宋体" w:hAnsi="宋体" w:cs="Times New Roman" w:hint="eastAsia"/>
                <w:kern w:val="0"/>
                <w:szCs w:val="21"/>
              </w:rPr>
              <w:t>信息管理</w:t>
            </w:r>
            <w:r>
              <w:rPr>
                <w:rFonts w:ascii="宋体" w:eastAsia="宋体" w:hAnsi="宋体" w:cs="Times New Roman"/>
                <w:kern w:val="0"/>
                <w:szCs w:val="21"/>
              </w:rPr>
              <w:t>工作</w:t>
            </w:r>
            <w:r>
              <w:rPr>
                <w:rFonts w:ascii="宋体" w:eastAsia="宋体" w:hAnsi="宋体" w:cs="Times New Roman" w:hint="eastAsia"/>
                <w:kern w:val="0"/>
                <w:szCs w:val="21"/>
              </w:rPr>
              <w:t>，农村公路的管理单位开展公路安全预警与应急信息管理工作参照使用</w:t>
            </w:r>
            <w:r>
              <w:rPr>
                <w:rFonts w:ascii="宋体" w:eastAsia="宋体" w:hAnsi="宋体" w:cs="Times New Roman"/>
                <w:kern w:val="0"/>
                <w:szCs w:val="21"/>
              </w:rPr>
              <w:t>。</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信息通导标委会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路网监测与应急处置中心、交通运输部科学研究院、行云数聚（北京）科技有限公司、北京新桥技术发展有限公司、四川省公路交通应急装备物资储备中心、江苏高速公路联网营运管理有限公司、广西计算中心有限责任公司</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27</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2024-27</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航运大数据平台技术架构总体要求</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拟规定智慧航运大数据平台的总体架构、数据架构、功能要求和性能要求。</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适用于航运、港口、货运代理等航运产业链领域内企业或相关管理单位大数据平台的规划、设计、建设和管理。</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信息通导标委会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中远海运科技（北京）有限公司、中国远洋海运集团有限公司、交通运输部科学研究院</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28</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2024-28</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船闸控制系统安全监控技术规范</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拟规定船闸控制系统的安全监控系统构成、监控、功能要求、性能要求、软硬件组态配置、安全与网络管理及功能测试等。</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适用于新建</w:t>
            </w:r>
            <w:r>
              <w:rPr>
                <w:rFonts w:ascii="宋体" w:eastAsia="宋体" w:hAnsi="宋体" w:cs="Times New Roman" w:hint="eastAsia"/>
                <w:kern w:val="0"/>
                <w:szCs w:val="21"/>
              </w:rPr>
              <w:t>或</w:t>
            </w:r>
            <w:r>
              <w:rPr>
                <w:rFonts w:ascii="宋体" w:eastAsia="宋体" w:hAnsi="宋体" w:cs="Times New Roman"/>
                <w:kern w:val="0"/>
                <w:szCs w:val="21"/>
              </w:rPr>
              <w:t>增建多、单级船闸控制</w:t>
            </w:r>
            <w:r>
              <w:rPr>
                <w:rFonts w:ascii="宋体" w:eastAsia="宋体" w:hAnsi="宋体" w:cs="Times New Roman" w:hint="eastAsia"/>
                <w:kern w:val="0"/>
                <w:szCs w:val="21"/>
              </w:rPr>
              <w:t>安全监控</w:t>
            </w:r>
            <w:r>
              <w:rPr>
                <w:rFonts w:ascii="宋体" w:eastAsia="宋体" w:hAnsi="宋体" w:cs="Times New Roman"/>
                <w:kern w:val="0"/>
                <w:szCs w:val="21"/>
              </w:rPr>
              <w:t>系统的</w:t>
            </w:r>
            <w:r>
              <w:rPr>
                <w:rFonts w:ascii="宋体" w:eastAsia="宋体" w:hAnsi="宋体" w:cs="Times New Roman" w:hint="eastAsia"/>
                <w:kern w:val="0"/>
                <w:szCs w:val="21"/>
              </w:rPr>
              <w:t>设计、开发和测试</w:t>
            </w:r>
            <w:r>
              <w:rPr>
                <w:rFonts w:ascii="宋体" w:eastAsia="宋体" w:hAnsi="宋体" w:cs="Times New Roman"/>
                <w:kern w:val="0"/>
                <w:szCs w:val="21"/>
              </w:rPr>
              <w:t>。</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信息通导标委会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长江三峡通航管理局、交通运输部水运科学研究所</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29</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2024-29</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内河多功能船载终端技术要求</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拟规定内河多功能船载终端的一般要求、功能要求、硬件要求、软件要求、操作系统管理要求和其他要求。</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适用于内河船多功能载终端的设计、生产、检测、使用、管理。</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信息通导标委会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交通运输部水运科学研究所、长江三峡通航管理局、交通运输部长江航务管理局、中国船级社、华大北斗科技有限公司、华为终端有限公司、软通动力信息技术（集团）股份有限公司</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30</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2024-30</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交通运输信息系统</w:t>
            </w:r>
            <w:r>
              <w:rPr>
                <w:rFonts w:ascii="宋体" w:eastAsia="宋体" w:hAnsi="宋体" w:cs="Times New Roman"/>
                <w:kern w:val="0"/>
                <w:szCs w:val="21"/>
              </w:rPr>
              <w:t xml:space="preserve">  </w:t>
            </w:r>
            <w:r>
              <w:rPr>
                <w:rFonts w:ascii="宋体" w:eastAsia="宋体" w:hAnsi="宋体" w:cs="Times New Roman"/>
                <w:kern w:val="0"/>
                <w:szCs w:val="21"/>
              </w:rPr>
              <w:t>数据库字段命名及属性定义</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现行标准规定了交通运输信息系统数据库字段命名及字段属性定义的规则</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适用于公路、水路交通运输信息系统关系型数据库的字段命名和属性定义</w:t>
            </w:r>
            <w:r>
              <w:rPr>
                <w:rFonts w:ascii="宋体" w:eastAsia="宋体" w:hAnsi="宋体" w:cs="Times New Roman" w:hint="eastAsia"/>
                <w:kern w:val="0"/>
                <w:szCs w:val="21"/>
              </w:rPr>
              <w:t>，其他类型数据库的字段命名和属性定义可参照使用</w:t>
            </w:r>
            <w:r>
              <w:rPr>
                <w:rFonts w:ascii="宋体" w:eastAsia="宋体" w:hAnsi="宋体" w:cs="Times New Roman"/>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增加航标数据元的缩写；</w:t>
            </w:r>
            <w:r>
              <w:rPr>
                <w:rFonts w:ascii="宋体" w:eastAsia="宋体" w:hAnsi="宋体" w:cs="Times New Roman"/>
                <w:kern w:val="0"/>
                <w:szCs w:val="21"/>
              </w:rPr>
              <w:t>2.</w:t>
            </w:r>
            <w:r>
              <w:rPr>
                <w:rFonts w:ascii="宋体" w:eastAsia="宋体" w:hAnsi="宋体" w:cs="Times New Roman"/>
                <w:kern w:val="0"/>
                <w:szCs w:val="21"/>
              </w:rPr>
              <w:t>更改常用数据库类型；</w:t>
            </w:r>
            <w:r>
              <w:rPr>
                <w:rFonts w:ascii="宋体" w:eastAsia="宋体" w:hAnsi="宋体" w:cs="Times New Roman"/>
                <w:kern w:val="0"/>
                <w:szCs w:val="21"/>
              </w:rPr>
              <w:t>3.</w:t>
            </w:r>
            <w:r>
              <w:rPr>
                <w:rFonts w:ascii="宋体" w:eastAsia="宋体" w:hAnsi="宋体" w:cs="Times New Roman"/>
                <w:kern w:val="0"/>
                <w:szCs w:val="21"/>
              </w:rPr>
              <w:t>更改常用数据库类型的推荐属性。</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1058</w:t>
            </w:r>
            <w:r>
              <w:rPr>
                <w:rFonts w:ascii="宋体" w:eastAsia="宋体" w:hAnsi="宋体" w:cs="宋体" w:hint="eastAsia"/>
                <w:kern w:val="0"/>
                <w:szCs w:val="21"/>
              </w:rPr>
              <w:t>—</w:t>
            </w:r>
            <w:r>
              <w:rPr>
                <w:rFonts w:ascii="宋体" w:eastAsia="宋体" w:hAnsi="宋体" w:cs="宋体"/>
                <w:kern w:val="0"/>
                <w:szCs w:val="21"/>
              </w:rPr>
              <w:t>2016</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信息通导标委会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长安大学、陕西省交通运行监测中心、中交水运规划设计院有限公司</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31</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2024-31</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交通运输专项规划环境影响评价技术规范</w:t>
            </w:r>
            <w:r>
              <w:rPr>
                <w:rFonts w:ascii="宋体" w:eastAsia="宋体" w:hAnsi="宋体" w:cs="Times New Roman"/>
                <w:kern w:val="0"/>
                <w:szCs w:val="21"/>
              </w:rPr>
              <w:t xml:space="preserve"> </w:t>
            </w:r>
            <w:r>
              <w:rPr>
                <w:rFonts w:ascii="宋体" w:eastAsia="宋体" w:hAnsi="宋体" w:cs="Times New Roman"/>
                <w:kern w:val="0"/>
                <w:szCs w:val="21"/>
              </w:rPr>
              <w:t>第</w:t>
            </w:r>
            <w:r>
              <w:rPr>
                <w:rFonts w:ascii="宋体" w:eastAsia="宋体" w:hAnsi="宋体" w:cs="Times New Roman"/>
                <w:kern w:val="0"/>
                <w:szCs w:val="21"/>
              </w:rPr>
              <w:t>4</w:t>
            </w:r>
            <w:r>
              <w:rPr>
                <w:rFonts w:ascii="宋体" w:eastAsia="宋体" w:hAnsi="宋体" w:cs="Times New Roman"/>
                <w:kern w:val="0"/>
                <w:szCs w:val="21"/>
              </w:rPr>
              <w:t>部分：综合交通运输枢纽规划</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综合交通运输枢纽规划环境影响评价的规划分析、现状调查与评价、环境影响识别与评价指标体系构建、环境影响预测与评价、规划方案综合论证和优化调整建议、环境影响减缓对策和措施、环境影响跟踪评价、公众参与等内容和要求。</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适用于综合交通运输枢纽港站（港口除外）规划的环境影响评价，城市的交通枢纽规划和单一运输方式的交通运输枢纽规划的环境影响评价参照使用。</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环境保护标委会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交通运输部公路科学研究所、交通运输部规划研究院</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32</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2024-32</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公路绿化养护废弃植生材料循环利用技术要求</w:t>
            </w:r>
          </w:p>
        </w:tc>
        <w:tc>
          <w:tcPr>
            <w:tcW w:w="5528"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拟规定公路绿化养护过程中产生的废弃植生材料循环利用的基本要求，包括收集和运输、收集处理点设置、循环利用技术</w:t>
            </w:r>
            <w:r>
              <w:rPr>
                <w:rFonts w:ascii="宋体" w:eastAsia="宋体" w:hAnsi="宋体" w:cs="Times New Roman" w:hint="eastAsia"/>
                <w:kern w:val="0"/>
                <w:szCs w:val="21"/>
              </w:rPr>
              <w:t>和</w:t>
            </w:r>
            <w:r>
              <w:rPr>
                <w:rFonts w:ascii="宋体" w:eastAsia="宋体" w:hAnsi="宋体" w:cs="Times New Roman"/>
                <w:kern w:val="0"/>
                <w:szCs w:val="21"/>
              </w:rPr>
              <w:t>生产</w:t>
            </w:r>
            <w:r>
              <w:rPr>
                <w:rFonts w:ascii="宋体" w:eastAsia="宋体" w:hAnsi="宋体" w:cs="Times New Roman" w:hint="eastAsia"/>
                <w:kern w:val="0"/>
                <w:szCs w:val="21"/>
              </w:rPr>
              <w:t>要求</w:t>
            </w:r>
            <w:r>
              <w:rPr>
                <w:rFonts w:ascii="宋体" w:eastAsia="宋体" w:hAnsi="宋体" w:cs="Times New Roman"/>
                <w:kern w:val="0"/>
                <w:szCs w:val="21"/>
              </w:rPr>
              <w:t>等内容。</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适用于二级及以上等级公路绿化养护过程产生的废弃植生材料的循环利用，其他公路参照使用。</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hint="eastAsia"/>
                <w:kern w:val="0"/>
                <w:szCs w:val="21"/>
              </w:rPr>
              <w:t>制定</w:t>
            </w:r>
          </w:p>
        </w:tc>
        <w:tc>
          <w:tcPr>
            <w:tcW w:w="1121" w:type="dxa"/>
            <w:vAlign w:val="center"/>
          </w:tcPr>
          <w:p w:rsidR="0043638C" w:rsidRDefault="0043638C">
            <w:pPr>
              <w:jc w:val="center"/>
              <w:rPr>
                <w:rFonts w:ascii="宋体" w:eastAsia="宋体" w:hAnsi="宋体" w:cs="宋体"/>
                <w:kern w:val="0"/>
                <w:szCs w:val="21"/>
              </w:rPr>
            </w:pP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环境保护标委会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四川省交通勘察设计研究院有限公司、交通运输部公路科学研究所、北京林业大学、交通运输部科学研究院、中交第二公路勘察设计研究院</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33</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2024-33</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公路服务区污水再生利用</w:t>
            </w:r>
            <w:r>
              <w:rPr>
                <w:rFonts w:ascii="宋体" w:eastAsia="宋体" w:hAnsi="宋体" w:cs="Times New Roman"/>
                <w:kern w:val="0"/>
                <w:szCs w:val="21"/>
              </w:rPr>
              <w:t xml:space="preserve">  </w:t>
            </w:r>
            <w:r>
              <w:rPr>
                <w:rFonts w:ascii="宋体" w:eastAsia="宋体" w:hAnsi="宋体" w:cs="Times New Roman"/>
                <w:kern w:val="0"/>
                <w:szCs w:val="21"/>
              </w:rPr>
              <w:t>第</w:t>
            </w:r>
            <w:r>
              <w:rPr>
                <w:rFonts w:ascii="宋体" w:eastAsia="宋体" w:hAnsi="宋体" w:cs="Times New Roman"/>
                <w:kern w:val="0"/>
                <w:szCs w:val="21"/>
              </w:rPr>
              <w:t>1</w:t>
            </w:r>
            <w:r>
              <w:rPr>
                <w:rFonts w:ascii="宋体" w:eastAsia="宋体" w:hAnsi="宋体" w:cs="Times New Roman"/>
                <w:kern w:val="0"/>
                <w:szCs w:val="21"/>
              </w:rPr>
              <w:t>部分：水质</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现行标准规定了公路服务区污水再生利用水质的技术要求</w:t>
            </w:r>
            <w:r>
              <w:rPr>
                <w:rFonts w:ascii="宋体" w:eastAsia="宋体" w:hAnsi="宋体" w:cs="Times New Roman" w:hint="eastAsia"/>
                <w:kern w:val="0"/>
                <w:szCs w:val="21"/>
              </w:rPr>
              <w:t>、</w:t>
            </w:r>
            <w:r>
              <w:rPr>
                <w:rFonts w:ascii="宋体" w:eastAsia="宋体" w:hAnsi="宋体" w:cs="Times New Roman"/>
                <w:kern w:val="0"/>
                <w:szCs w:val="21"/>
              </w:rPr>
              <w:t>取样及分析方法</w:t>
            </w:r>
            <w:r>
              <w:rPr>
                <w:rFonts w:ascii="宋体" w:eastAsia="宋体" w:hAnsi="宋体" w:cs="Times New Roman" w:hint="eastAsia"/>
                <w:kern w:val="0"/>
                <w:szCs w:val="21"/>
              </w:rPr>
              <w:t>、</w:t>
            </w:r>
            <w:r>
              <w:rPr>
                <w:rFonts w:ascii="宋体" w:eastAsia="宋体" w:hAnsi="宋体" w:cs="Times New Roman"/>
                <w:kern w:val="0"/>
                <w:szCs w:val="21"/>
              </w:rPr>
              <w:t>水质监控管理。</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适用于公路服务区冲厕、道路清扫、绿化、消防等用水。</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增加水质再用的范围，分用途提出水质要求，在原水质要求中增加选择性控制和跟踪指标；</w:t>
            </w:r>
            <w:r>
              <w:rPr>
                <w:rFonts w:ascii="宋体" w:eastAsia="宋体" w:hAnsi="宋体" w:cs="Times New Roman"/>
                <w:kern w:val="0"/>
                <w:szCs w:val="21"/>
              </w:rPr>
              <w:t>2.</w:t>
            </w:r>
            <w:r>
              <w:rPr>
                <w:rFonts w:ascii="宋体" w:eastAsia="宋体" w:hAnsi="宋体" w:cs="Times New Roman"/>
                <w:kern w:val="0"/>
                <w:szCs w:val="21"/>
              </w:rPr>
              <w:t>更改部分用水类别的部分水质指标值，优化调整杂用水等非饮用用途的再生水水质用途；</w:t>
            </w:r>
            <w:r>
              <w:rPr>
                <w:rFonts w:ascii="宋体" w:eastAsia="宋体" w:hAnsi="宋体" w:cs="Times New Roman"/>
                <w:kern w:val="0"/>
                <w:szCs w:val="21"/>
              </w:rPr>
              <w:t>3.</w:t>
            </w:r>
            <w:r>
              <w:rPr>
                <w:rFonts w:ascii="宋体" w:eastAsia="宋体" w:hAnsi="宋体" w:cs="Times New Roman"/>
                <w:kern w:val="0"/>
                <w:szCs w:val="21"/>
              </w:rPr>
              <w:t>增加部分水质指标监测频率和监测分析方法。</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645.1</w:t>
            </w:r>
            <w:r>
              <w:rPr>
                <w:rFonts w:ascii="宋体" w:eastAsia="宋体" w:hAnsi="宋体" w:cs="宋体" w:hint="eastAsia"/>
                <w:kern w:val="0"/>
                <w:szCs w:val="21"/>
              </w:rPr>
              <w:t>—</w:t>
            </w:r>
            <w:r>
              <w:rPr>
                <w:rFonts w:ascii="宋体" w:eastAsia="宋体" w:hAnsi="宋体" w:cs="宋体"/>
                <w:kern w:val="0"/>
                <w:szCs w:val="21"/>
              </w:rPr>
              <w:t>2016</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环境保护标委会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交通运输部公路科学研究所</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34</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2024-34</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公路服务区污水再生利用</w:t>
            </w:r>
            <w:r>
              <w:rPr>
                <w:rFonts w:ascii="宋体" w:eastAsia="宋体" w:hAnsi="宋体" w:cs="Times New Roman"/>
                <w:kern w:val="0"/>
                <w:szCs w:val="21"/>
              </w:rPr>
              <w:t xml:space="preserve">  </w:t>
            </w:r>
            <w:r>
              <w:rPr>
                <w:rFonts w:ascii="宋体" w:eastAsia="宋体" w:hAnsi="宋体" w:cs="Times New Roman"/>
                <w:kern w:val="0"/>
                <w:szCs w:val="21"/>
              </w:rPr>
              <w:t>第</w:t>
            </w:r>
            <w:r>
              <w:rPr>
                <w:rFonts w:ascii="宋体" w:eastAsia="宋体" w:hAnsi="宋体" w:cs="Times New Roman"/>
                <w:kern w:val="0"/>
                <w:szCs w:val="21"/>
              </w:rPr>
              <w:t>2</w:t>
            </w:r>
            <w:r>
              <w:rPr>
                <w:rFonts w:ascii="宋体" w:eastAsia="宋体" w:hAnsi="宋体" w:cs="Times New Roman"/>
                <w:kern w:val="0"/>
                <w:szCs w:val="21"/>
              </w:rPr>
              <w:t>部分：处理系统技术要求</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现行标准规定了公路服务区污水再生利用处理系统的设置原则、处理工艺、系统设施、构筑物设计、污水再生利用系统等技术要求</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适用于各类公路服务区污水再生利用处理工程。</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增加</w:t>
            </w:r>
            <w:r>
              <w:rPr>
                <w:rFonts w:ascii="宋体" w:eastAsia="宋体" w:hAnsi="宋体" w:cs="Times New Roman"/>
                <w:kern w:val="0"/>
                <w:szCs w:val="21"/>
              </w:rPr>
              <w:t>“</w:t>
            </w:r>
            <w:r>
              <w:rPr>
                <w:rFonts w:ascii="宋体" w:eastAsia="宋体" w:hAnsi="宋体" w:cs="Times New Roman"/>
                <w:kern w:val="0"/>
                <w:szCs w:val="21"/>
              </w:rPr>
              <w:t>处理工艺</w:t>
            </w:r>
            <w:r>
              <w:rPr>
                <w:rFonts w:ascii="宋体" w:eastAsia="宋体" w:hAnsi="宋体" w:cs="Times New Roman"/>
                <w:kern w:val="0"/>
                <w:szCs w:val="21"/>
              </w:rPr>
              <w:t>”</w:t>
            </w:r>
            <w:r>
              <w:rPr>
                <w:rFonts w:ascii="宋体" w:eastAsia="宋体" w:hAnsi="宋体" w:cs="Times New Roman"/>
                <w:kern w:val="0"/>
                <w:szCs w:val="21"/>
              </w:rPr>
              <w:t>的内容和技术手段，补充</w:t>
            </w:r>
            <w:r>
              <w:rPr>
                <w:rFonts w:ascii="宋体" w:eastAsia="宋体" w:hAnsi="宋体" w:cs="Times New Roman"/>
                <w:kern w:val="0"/>
                <w:szCs w:val="21"/>
              </w:rPr>
              <w:t>MABR</w:t>
            </w:r>
            <w:r>
              <w:rPr>
                <w:rFonts w:ascii="宋体" w:eastAsia="宋体" w:hAnsi="宋体" w:cs="Times New Roman"/>
                <w:kern w:val="0"/>
                <w:szCs w:val="21"/>
              </w:rPr>
              <w:t>膜曝气处理工艺等新型工艺技术；</w:t>
            </w:r>
            <w:r>
              <w:rPr>
                <w:rFonts w:ascii="宋体" w:eastAsia="宋体" w:hAnsi="宋体" w:cs="Times New Roman"/>
                <w:kern w:val="0"/>
                <w:szCs w:val="21"/>
              </w:rPr>
              <w:t>2.</w:t>
            </w:r>
            <w:r>
              <w:rPr>
                <w:rFonts w:ascii="宋体" w:eastAsia="宋体" w:hAnsi="宋体" w:cs="Times New Roman"/>
                <w:kern w:val="0"/>
                <w:szCs w:val="21"/>
              </w:rPr>
              <w:t>调整优化部分工艺路线设计要求；</w:t>
            </w:r>
            <w:r>
              <w:rPr>
                <w:rFonts w:ascii="宋体" w:eastAsia="宋体" w:hAnsi="宋体" w:cs="Times New Roman"/>
                <w:kern w:val="0"/>
                <w:szCs w:val="21"/>
              </w:rPr>
              <w:t>3.</w:t>
            </w:r>
            <w:r>
              <w:rPr>
                <w:rFonts w:ascii="宋体" w:eastAsia="宋体" w:hAnsi="宋体" w:cs="Times New Roman"/>
                <w:kern w:val="0"/>
                <w:szCs w:val="21"/>
              </w:rPr>
              <w:t>增加低能耗技术要求。</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645.2</w:t>
            </w:r>
            <w:r>
              <w:rPr>
                <w:rFonts w:ascii="宋体" w:eastAsia="宋体" w:hAnsi="宋体" w:cs="宋体" w:hint="eastAsia"/>
                <w:kern w:val="0"/>
                <w:szCs w:val="21"/>
              </w:rPr>
              <w:t>—</w:t>
            </w:r>
            <w:r>
              <w:rPr>
                <w:rFonts w:ascii="宋体" w:eastAsia="宋体" w:hAnsi="宋体" w:cs="宋体"/>
                <w:kern w:val="0"/>
                <w:szCs w:val="21"/>
              </w:rPr>
              <w:t>2016</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环境保护标委会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交通运输部公路科学研究所</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35</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2024-35</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公路服务区污水再生利用</w:t>
            </w:r>
            <w:r>
              <w:rPr>
                <w:rFonts w:ascii="宋体" w:eastAsia="宋体" w:hAnsi="宋体" w:cs="Times New Roman"/>
                <w:kern w:val="0"/>
                <w:szCs w:val="21"/>
              </w:rPr>
              <w:t xml:space="preserve">  </w:t>
            </w:r>
            <w:r>
              <w:rPr>
                <w:rFonts w:ascii="宋体" w:eastAsia="宋体" w:hAnsi="宋体" w:cs="Times New Roman"/>
                <w:kern w:val="0"/>
                <w:szCs w:val="21"/>
              </w:rPr>
              <w:t>第</w:t>
            </w:r>
            <w:r>
              <w:rPr>
                <w:rFonts w:ascii="宋体" w:eastAsia="宋体" w:hAnsi="宋体" w:cs="Times New Roman"/>
                <w:kern w:val="0"/>
                <w:szCs w:val="21"/>
              </w:rPr>
              <w:t>3</w:t>
            </w:r>
            <w:r>
              <w:rPr>
                <w:rFonts w:ascii="宋体" w:eastAsia="宋体" w:hAnsi="宋体" w:cs="Times New Roman"/>
                <w:kern w:val="0"/>
                <w:szCs w:val="21"/>
              </w:rPr>
              <w:t>部分：处理系统操作管理要求</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现行标准规定了服务区污水再生利用处理系统操作管理的基本要求和主要设施操作管理要求</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适用于公路服务区污水再生利用处理系统的操作管理。</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增加能耗监管和运维保障技术措施要求；</w:t>
            </w:r>
            <w:r>
              <w:rPr>
                <w:rFonts w:ascii="宋体" w:eastAsia="宋体" w:hAnsi="宋体" w:cs="Times New Roman"/>
                <w:kern w:val="0"/>
                <w:szCs w:val="21"/>
              </w:rPr>
              <w:t>2.</w:t>
            </w:r>
            <w:r>
              <w:rPr>
                <w:rFonts w:ascii="宋体" w:eastAsia="宋体" w:hAnsi="宋体" w:cs="Times New Roman"/>
                <w:kern w:val="0"/>
                <w:szCs w:val="21"/>
              </w:rPr>
              <w:t>增加基本要求中运行要求信息化管理功能要求；</w:t>
            </w:r>
            <w:r>
              <w:rPr>
                <w:rFonts w:ascii="宋体" w:eastAsia="宋体" w:hAnsi="宋体" w:cs="Times New Roman"/>
                <w:kern w:val="0"/>
                <w:szCs w:val="21"/>
              </w:rPr>
              <w:t>3.</w:t>
            </w:r>
            <w:r>
              <w:rPr>
                <w:rFonts w:ascii="宋体" w:eastAsia="宋体" w:hAnsi="宋体" w:cs="Times New Roman"/>
                <w:kern w:val="0"/>
                <w:szCs w:val="21"/>
              </w:rPr>
              <w:t>完善</w:t>
            </w:r>
            <w:r>
              <w:rPr>
                <w:rFonts w:ascii="宋体" w:eastAsia="宋体" w:hAnsi="宋体" w:cs="Times New Roman"/>
                <w:kern w:val="0"/>
                <w:szCs w:val="21"/>
              </w:rPr>
              <w:t>“</w:t>
            </w:r>
            <w:r>
              <w:rPr>
                <w:rFonts w:ascii="宋体" w:eastAsia="宋体" w:hAnsi="宋体" w:cs="Times New Roman"/>
                <w:kern w:val="0"/>
                <w:szCs w:val="21"/>
              </w:rPr>
              <w:t>安全利用要求</w:t>
            </w:r>
            <w:r>
              <w:rPr>
                <w:rFonts w:ascii="宋体" w:eastAsia="宋体" w:hAnsi="宋体" w:cs="Times New Roman"/>
                <w:kern w:val="0"/>
                <w:szCs w:val="21"/>
              </w:rPr>
              <w:t>”</w:t>
            </w:r>
            <w:r>
              <w:rPr>
                <w:rFonts w:ascii="宋体" w:eastAsia="宋体" w:hAnsi="宋体" w:cs="Times New Roman"/>
                <w:kern w:val="0"/>
                <w:szCs w:val="21"/>
              </w:rPr>
              <w:t>。</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645.3</w:t>
            </w:r>
            <w:r>
              <w:rPr>
                <w:rFonts w:ascii="宋体" w:eastAsia="宋体" w:hAnsi="宋体" w:cs="宋体" w:hint="eastAsia"/>
                <w:kern w:val="0"/>
                <w:szCs w:val="21"/>
              </w:rPr>
              <w:t>—</w:t>
            </w:r>
            <w:r>
              <w:rPr>
                <w:rFonts w:ascii="宋体" w:eastAsia="宋体" w:hAnsi="宋体" w:cs="宋体"/>
                <w:kern w:val="0"/>
                <w:szCs w:val="21"/>
              </w:rPr>
              <w:t>2016</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环境保护标委会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交通运输部公路科学研究所</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36</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2024-36</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交通运输专项规划环境影响评价技术规范</w:t>
            </w:r>
            <w:r>
              <w:rPr>
                <w:rFonts w:ascii="宋体" w:eastAsia="宋体" w:hAnsi="宋体" w:cs="Times New Roman"/>
                <w:kern w:val="0"/>
                <w:szCs w:val="21"/>
              </w:rPr>
              <w:t xml:space="preserve">  </w:t>
            </w:r>
            <w:r>
              <w:rPr>
                <w:rFonts w:ascii="宋体" w:eastAsia="宋体" w:hAnsi="宋体" w:cs="Times New Roman"/>
                <w:kern w:val="0"/>
                <w:szCs w:val="21"/>
              </w:rPr>
              <w:t>第</w:t>
            </w:r>
            <w:r>
              <w:rPr>
                <w:rFonts w:ascii="宋体" w:eastAsia="宋体" w:hAnsi="宋体" w:cs="Times New Roman"/>
                <w:kern w:val="0"/>
                <w:szCs w:val="21"/>
              </w:rPr>
              <w:t>2</w:t>
            </w:r>
            <w:r>
              <w:rPr>
                <w:rFonts w:ascii="宋体" w:eastAsia="宋体" w:hAnsi="宋体" w:cs="Times New Roman"/>
                <w:kern w:val="0"/>
                <w:szCs w:val="21"/>
              </w:rPr>
              <w:t>部分：港口总体规划</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港口总体规划环境影响评价的规划分析、资源环境现状调查与评价、环境影响识别与评价指标体系构建、环境影响评价、规划方案综合论证和优化调整建议、环境影响减缓措施、环境影响跟踪评价、公众参与和评价结论等要求</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适用于港口总体规划的环境影响评价。</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增加与港口海域生物安全、</w:t>
            </w:r>
            <w:r>
              <w:rPr>
                <w:rFonts w:ascii="宋体" w:eastAsia="宋体" w:hAnsi="宋体" w:cs="Times New Roman"/>
                <w:kern w:val="0"/>
                <w:szCs w:val="21"/>
              </w:rPr>
              <w:t>“</w:t>
            </w:r>
            <w:r>
              <w:rPr>
                <w:rFonts w:ascii="宋体" w:eastAsia="宋体" w:hAnsi="宋体" w:cs="Times New Roman"/>
                <w:kern w:val="0"/>
                <w:szCs w:val="21"/>
              </w:rPr>
              <w:t>三线一单</w:t>
            </w:r>
            <w:r>
              <w:rPr>
                <w:rFonts w:ascii="宋体" w:eastAsia="宋体" w:hAnsi="宋体" w:cs="Times New Roman"/>
                <w:kern w:val="0"/>
                <w:szCs w:val="21"/>
              </w:rPr>
              <w:t>”</w:t>
            </w:r>
            <w:r>
              <w:rPr>
                <w:rFonts w:ascii="宋体" w:eastAsia="宋体" w:hAnsi="宋体" w:cs="Times New Roman"/>
                <w:kern w:val="0"/>
                <w:szCs w:val="21"/>
              </w:rPr>
              <w:t>等相关术语和定义；</w:t>
            </w:r>
            <w:r>
              <w:rPr>
                <w:rFonts w:ascii="宋体" w:eastAsia="宋体" w:hAnsi="宋体" w:cs="Times New Roman"/>
                <w:kern w:val="0"/>
                <w:szCs w:val="21"/>
              </w:rPr>
              <w:t>2.</w:t>
            </w:r>
            <w:r>
              <w:rPr>
                <w:rFonts w:ascii="宋体" w:eastAsia="宋体" w:hAnsi="宋体" w:cs="Times New Roman"/>
                <w:kern w:val="0"/>
                <w:szCs w:val="21"/>
              </w:rPr>
              <w:t>规划分析章节，删除规划不确定性分析内容等；</w:t>
            </w:r>
            <w:r>
              <w:rPr>
                <w:rFonts w:ascii="宋体" w:eastAsia="宋体" w:hAnsi="宋体" w:cs="Times New Roman"/>
                <w:kern w:val="0"/>
                <w:szCs w:val="21"/>
              </w:rPr>
              <w:t>3.</w:t>
            </w:r>
            <w:r>
              <w:rPr>
                <w:rFonts w:ascii="宋体" w:eastAsia="宋体" w:hAnsi="宋体" w:cs="Times New Roman"/>
                <w:kern w:val="0"/>
                <w:szCs w:val="21"/>
              </w:rPr>
              <w:t>资源环境调查与评价章节，增加港口海域生物安全、分析区域</w:t>
            </w:r>
            <w:r>
              <w:rPr>
                <w:rFonts w:ascii="宋体" w:eastAsia="宋体" w:hAnsi="宋体" w:cs="Times New Roman"/>
                <w:kern w:val="0"/>
                <w:szCs w:val="21"/>
              </w:rPr>
              <w:t>“</w:t>
            </w:r>
            <w:r>
              <w:rPr>
                <w:rFonts w:ascii="宋体" w:eastAsia="宋体" w:hAnsi="宋体" w:cs="Times New Roman"/>
                <w:kern w:val="0"/>
                <w:szCs w:val="21"/>
              </w:rPr>
              <w:t>三线一单</w:t>
            </w:r>
            <w:r>
              <w:rPr>
                <w:rFonts w:ascii="宋体" w:eastAsia="宋体" w:hAnsi="宋体" w:cs="Times New Roman"/>
                <w:kern w:val="0"/>
                <w:szCs w:val="21"/>
              </w:rPr>
              <w:t>”</w:t>
            </w:r>
            <w:r>
              <w:rPr>
                <w:rFonts w:ascii="宋体" w:eastAsia="宋体" w:hAnsi="宋体" w:cs="Times New Roman"/>
                <w:kern w:val="0"/>
                <w:szCs w:val="21"/>
              </w:rPr>
              <w:t>等内容；</w:t>
            </w:r>
            <w:r>
              <w:rPr>
                <w:rFonts w:ascii="宋体" w:eastAsia="宋体" w:hAnsi="宋体" w:cs="Times New Roman"/>
                <w:kern w:val="0"/>
                <w:szCs w:val="21"/>
              </w:rPr>
              <w:t>4.</w:t>
            </w:r>
            <w:r>
              <w:rPr>
                <w:rFonts w:ascii="宋体" w:eastAsia="宋体" w:hAnsi="宋体" w:cs="Times New Roman"/>
                <w:kern w:val="0"/>
                <w:szCs w:val="21"/>
              </w:rPr>
              <w:t>环境影响评价章节，增加外来生物对水生生态的影响分析、碳排放影</w:t>
            </w:r>
            <w:r>
              <w:rPr>
                <w:rFonts w:ascii="宋体" w:eastAsia="宋体" w:hAnsi="宋体" w:cs="Times New Roman"/>
                <w:kern w:val="0"/>
                <w:szCs w:val="21"/>
              </w:rPr>
              <w:t>响预测与评价等；</w:t>
            </w:r>
            <w:r>
              <w:rPr>
                <w:rFonts w:ascii="宋体" w:eastAsia="宋体" w:hAnsi="宋体" w:cs="Times New Roman"/>
                <w:kern w:val="0"/>
                <w:szCs w:val="21"/>
              </w:rPr>
              <w:t>5.</w:t>
            </w:r>
            <w:r>
              <w:rPr>
                <w:rFonts w:ascii="宋体" w:eastAsia="宋体" w:hAnsi="宋体" w:cs="Times New Roman"/>
                <w:kern w:val="0"/>
                <w:szCs w:val="21"/>
              </w:rPr>
              <w:t>细化规划所包含建设项目的环评简化要求及关注重点等内容。</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1146.2</w:t>
            </w:r>
            <w:r>
              <w:rPr>
                <w:rFonts w:ascii="宋体" w:eastAsia="宋体" w:hAnsi="宋体" w:cs="宋体" w:hint="eastAsia"/>
                <w:kern w:val="0"/>
                <w:szCs w:val="21"/>
              </w:rPr>
              <w:t>—</w:t>
            </w:r>
            <w:r>
              <w:rPr>
                <w:rFonts w:ascii="宋体" w:eastAsia="宋体" w:hAnsi="宋体" w:cs="宋体"/>
                <w:kern w:val="0"/>
                <w:szCs w:val="21"/>
              </w:rPr>
              <w:t>2018</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环境保护标委会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交通运输部天津水运工程科学研究所、宁波舟山港股份有限公司、北部湾港股份有限公司、江苏省港口集团有限公司</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37</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2024-37</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交通运输专项规划环境影响评价技术规范</w:t>
            </w:r>
            <w:r>
              <w:rPr>
                <w:rFonts w:ascii="宋体" w:eastAsia="宋体" w:hAnsi="宋体" w:cs="Times New Roman"/>
                <w:kern w:val="0"/>
                <w:szCs w:val="21"/>
              </w:rPr>
              <w:t xml:space="preserve">  </w:t>
            </w:r>
            <w:r>
              <w:rPr>
                <w:rFonts w:ascii="宋体" w:eastAsia="宋体" w:hAnsi="宋体" w:cs="Times New Roman"/>
                <w:kern w:val="0"/>
                <w:szCs w:val="21"/>
              </w:rPr>
              <w:t>第</w:t>
            </w:r>
            <w:r>
              <w:rPr>
                <w:rFonts w:ascii="宋体" w:eastAsia="宋体" w:hAnsi="宋体" w:cs="Times New Roman"/>
                <w:kern w:val="0"/>
                <w:szCs w:val="21"/>
              </w:rPr>
              <w:t>3</w:t>
            </w:r>
            <w:r>
              <w:rPr>
                <w:rFonts w:ascii="宋体" w:eastAsia="宋体" w:hAnsi="宋体" w:cs="Times New Roman"/>
                <w:kern w:val="0"/>
                <w:szCs w:val="21"/>
              </w:rPr>
              <w:t>部分：内河航道建设规划</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现行标准规定了内河航道建设规划环境影响评价的</w:t>
            </w:r>
            <w:r>
              <w:rPr>
                <w:rFonts w:ascii="宋体" w:eastAsia="宋体" w:hAnsi="宋体" w:cs="Times New Roman" w:hint="eastAsia"/>
                <w:kern w:val="0"/>
                <w:szCs w:val="21"/>
              </w:rPr>
              <w:t>规划分析、现状调查与评价、环境影响识别与评价指标体系、环境影响预测与评价、规划方案综合论证和优化调整建议、环境影响减缓对策和措施、环境影响跟踪评价计划、公众参与、评价结论和环境影响评价文件目录及</w:t>
            </w:r>
            <w:r>
              <w:rPr>
                <w:rFonts w:ascii="宋体" w:eastAsia="宋体" w:hAnsi="宋体" w:cs="Times New Roman"/>
                <w:kern w:val="0"/>
                <w:szCs w:val="21"/>
              </w:rPr>
              <w:t>编制要求</w:t>
            </w:r>
            <w:r>
              <w:rPr>
                <w:rFonts w:ascii="宋体" w:eastAsia="宋体" w:hAnsi="宋体" w:cs="Times New Roman" w:hint="eastAsia"/>
                <w:kern w:val="0"/>
                <w:szCs w:val="21"/>
              </w:rPr>
              <w:t>等。</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适用于内河航道建设规划的环境影响评价。</w:t>
            </w:r>
          </w:p>
          <w:p w:rsidR="0043638C" w:rsidRDefault="00E67C5B" w:rsidP="005124F2">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删除不确定性分析；</w:t>
            </w:r>
            <w:r>
              <w:rPr>
                <w:rFonts w:ascii="宋体" w:eastAsia="宋体" w:hAnsi="宋体" w:cs="Times New Roman"/>
                <w:kern w:val="0"/>
                <w:szCs w:val="21"/>
              </w:rPr>
              <w:t>2.</w:t>
            </w:r>
            <w:r>
              <w:rPr>
                <w:rFonts w:ascii="宋体" w:eastAsia="宋体" w:hAnsi="宋体" w:cs="Times New Roman"/>
                <w:kern w:val="0"/>
                <w:szCs w:val="21"/>
              </w:rPr>
              <w:t>增加对国控、省考断面的预测影响分析；</w:t>
            </w:r>
            <w:r>
              <w:rPr>
                <w:rFonts w:ascii="宋体" w:eastAsia="宋体" w:hAnsi="宋体" w:cs="Times New Roman"/>
                <w:kern w:val="0"/>
                <w:szCs w:val="21"/>
              </w:rPr>
              <w:t>3.</w:t>
            </w:r>
            <w:r>
              <w:rPr>
                <w:rFonts w:ascii="宋体" w:eastAsia="宋体" w:hAnsi="宋体" w:cs="Times New Roman"/>
                <w:kern w:val="0"/>
                <w:szCs w:val="21"/>
              </w:rPr>
              <w:t>增加环保</w:t>
            </w:r>
            <w:r w:rsidR="005124F2">
              <w:rPr>
                <w:rFonts w:ascii="宋体" w:eastAsia="宋体" w:hAnsi="宋体" w:cs="Times New Roman" w:hint="eastAsia"/>
                <w:kern w:val="0"/>
                <w:szCs w:val="21"/>
              </w:rPr>
              <w:t>督察</w:t>
            </w:r>
            <w:bookmarkStart w:id="0" w:name="_GoBack"/>
            <w:bookmarkEnd w:id="0"/>
            <w:r>
              <w:rPr>
                <w:rFonts w:ascii="宋体" w:eastAsia="宋体" w:hAnsi="宋体" w:cs="Times New Roman"/>
                <w:kern w:val="0"/>
                <w:szCs w:val="21"/>
              </w:rPr>
              <w:t>、环保投诉及整改情况；</w:t>
            </w:r>
            <w:r>
              <w:rPr>
                <w:rFonts w:ascii="宋体" w:eastAsia="宋体" w:hAnsi="宋体" w:cs="Times New Roman"/>
                <w:kern w:val="0"/>
                <w:szCs w:val="21"/>
              </w:rPr>
              <w:t>4.</w:t>
            </w:r>
            <w:r>
              <w:rPr>
                <w:rFonts w:ascii="宋体" w:eastAsia="宋体" w:hAnsi="宋体" w:cs="Times New Roman"/>
                <w:kern w:val="0"/>
                <w:szCs w:val="21"/>
              </w:rPr>
              <w:t>增加规划方案环境效益的论证；</w:t>
            </w:r>
            <w:r>
              <w:rPr>
                <w:rFonts w:ascii="宋体" w:eastAsia="宋体" w:hAnsi="宋体" w:cs="Times New Roman"/>
                <w:kern w:val="0"/>
                <w:szCs w:val="21"/>
              </w:rPr>
              <w:t>5.“</w:t>
            </w:r>
            <w:r>
              <w:rPr>
                <w:rFonts w:ascii="宋体" w:eastAsia="宋体" w:hAnsi="宋体" w:cs="Times New Roman"/>
                <w:kern w:val="0"/>
                <w:szCs w:val="21"/>
              </w:rPr>
              <w:t>三线一单</w:t>
            </w:r>
            <w:r>
              <w:rPr>
                <w:rFonts w:ascii="宋体" w:eastAsia="宋体" w:hAnsi="宋体" w:cs="Times New Roman"/>
                <w:kern w:val="0"/>
                <w:szCs w:val="21"/>
              </w:rPr>
              <w:t>”</w:t>
            </w:r>
            <w:r>
              <w:rPr>
                <w:rFonts w:ascii="宋体" w:eastAsia="宋体" w:hAnsi="宋体" w:cs="Times New Roman"/>
                <w:kern w:val="0"/>
                <w:szCs w:val="21"/>
              </w:rPr>
              <w:t>管控要求章节，加强与各省市</w:t>
            </w:r>
            <w:r>
              <w:rPr>
                <w:rFonts w:ascii="宋体" w:eastAsia="宋体" w:hAnsi="宋体" w:cs="Times New Roman"/>
                <w:kern w:val="0"/>
                <w:szCs w:val="21"/>
              </w:rPr>
              <w:t>“</w:t>
            </w:r>
            <w:r>
              <w:rPr>
                <w:rFonts w:ascii="宋体" w:eastAsia="宋体" w:hAnsi="宋体" w:cs="Times New Roman"/>
                <w:kern w:val="0"/>
                <w:szCs w:val="21"/>
              </w:rPr>
              <w:t>三线一单</w:t>
            </w:r>
            <w:r>
              <w:rPr>
                <w:rFonts w:ascii="宋体" w:eastAsia="宋体" w:hAnsi="宋体" w:cs="Times New Roman"/>
                <w:kern w:val="0"/>
                <w:szCs w:val="21"/>
              </w:rPr>
              <w:t>”</w:t>
            </w:r>
            <w:r>
              <w:rPr>
                <w:rFonts w:ascii="宋体" w:eastAsia="宋体" w:hAnsi="宋体" w:cs="Times New Roman"/>
                <w:kern w:val="0"/>
                <w:szCs w:val="21"/>
              </w:rPr>
              <w:t>管控要求相符性进行分析，不再制定</w:t>
            </w:r>
            <w:r>
              <w:rPr>
                <w:rFonts w:ascii="宋体" w:eastAsia="宋体" w:hAnsi="宋体" w:cs="Times New Roman"/>
                <w:kern w:val="0"/>
                <w:szCs w:val="21"/>
              </w:rPr>
              <w:t>“</w:t>
            </w:r>
            <w:r>
              <w:rPr>
                <w:rFonts w:ascii="宋体" w:eastAsia="宋体" w:hAnsi="宋体" w:cs="Times New Roman"/>
                <w:kern w:val="0"/>
                <w:szCs w:val="21"/>
              </w:rPr>
              <w:t>三线一单</w:t>
            </w:r>
            <w:r>
              <w:rPr>
                <w:rFonts w:ascii="宋体" w:eastAsia="宋体" w:hAnsi="宋体" w:cs="Times New Roman"/>
                <w:kern w:val="0"/>
                <w:szCs w:val="21"/>
              </w:rPr>
              <w:t>”</w:t>
            </w:r>
            <w:r>
              <w:rPr>
                <w:rFonts w:ascii="宋体" w:eastAsia="宋体" w:hAnsi="宋体" w:cs="Times New Roman"/>
                <w:kern w:val="0"/>
                <w:szCs w:val="21"/>
              </w:rPr>
              <w:t>管控要求；</w:t>
            </w:r>
            <w:r>
              <w:rPr>
                <w:rFonts w:ascii="宋体" w:eastAsia="宋体" w:hAnsi="宋体" w:cs="Times New Roman"/>
                <w:kern w:val="0"/>
                <w:szCs w:val="21"/>
              </w:rPr>
              <w:t>6.</w:t>
            </w:r>
            <w:r>
              <w:rPr>
                <w:rFonts w:ascii="宋体" w:eastAsia="宋体" w:hAnsi="宋体" w:cs="Times New Roman"/>
                <w:kern w:val="0"/>
                <w:szCs w:val="21"/>
              </w:rPr>
              <w:t>增加生</w:t>
            </w:r>
            <w:r>
              <w:rPr>
                <w:rFonts w:ascii="宋体" w:eastAsia="宋体" w:hAnsi="宋体" w:cs="Times New Roman"/>
                <w:kern w:val="0"/>
                <w:szCs w:val="21"/>
              </w:rPr>
              <w:t>态环境管控要求和生态环境准入清单。</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w:t>
            </w:r>
            <w:r>
              <w:rPr>
                <w:rFonts w:ascii="宋体" w:eastAsia="宋体" w:hAnsi="宋体" w:cs="宋体"/>
                <w:kern w:val="0"/>
                <w:szCs w:val="21"/>
              </w:rPr>
              <w:t>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1146.3</w:t>
            </w:r>
            <w:r>
              <w:rPr>
                <w:rFonts w:ascii="宋体" w:eastAsia="宋体" w:hAnsi="宋体" w:cs="宋体" w:hint="eastAsia"/>
                <w:kern w:val="0"/>
                <w:szCs w:val="21"/>
              </w:rPr>
              <w:t>—</w:t>
            </w:r>
            <w:r>
              <w:rPr>
                <w:rFonts w:ascii="宋体" w:eastAsia="宋体" w:hAnsi="宋体" w:cs="宋体"/>
                <w:kern w:val="0"/>
                <w:szCs w:val="21"/>
              </w:rPr>
              <w:t>2018</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环境保护标委会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华设设计集团股份有限公司</w:t>
            </w:r>
          </w:p>
        </w:tc>
      </w:tr>
      <w:tr w:rsidR="0043638C">
        <w:trPr>
          <w:cantSplit/>
          <w:trHeight w:val="568"/>
        </w:trPr>
        <w:tc>
          <w:tcPr>
            <w:tcW w:w="562" w:type="dxa"/>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38</w:t>
            </w:r>
          </w:p>
        </w:tc>
        <w:tc>
          <w:tcPr>
            <w:tcW w:w="1134" w:type="dxa"/>
            <w:vAlign w:val="center"/>
          </w:tcPr>
          <w:p w:rsidR="0043638C" w:rsidRDefault="00E67C5B">
            <w:pPr>
              <w:jc w:val="center"/>
              <w:rPr>
                <w:rFonts w:ascii="宋体" w:eastAsia="宋体" w:hAnsi="宋体" w:cs="宋体"/>
                <w:color w:val="000000"/>
                <w:kern w:val="0"/>
                <w:szCs w:val="21"/>
              </w:rPr>
            </w:pPr>
            <w:r>
              <w:rPr>
                <w:rFonts w:ascii="宋体" w:eastAsia="宋体" w:hAnsi="宋体" w:hint="eastAsia"/>
                <w:kern w:val="0"/>
                <w:szCs w:val="21"/>
              </w:rPr>
              <w:t>JT 2024-38</w:t>
            </w:r>
          </w:p>
        </w:tc>
        <w:tc>
          <w:tcPr>
            <w:tcW w:w="1560" w:type="dxa"/>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绿色交通设施评估技术要求</w:t>
            </w:r>
            <w:r>
              <w:rPr>
                <w:rFonts w:ascii="宋体" w:eastAsia="宋体" w:hAnsi="宋体" w:cs="Times New Roman"/>
                <w:kern w:val="0"/>
                <w:szCs w:val="21"/>
              </w:rPr>
              <w:t xml:space="preserve">  </w:t>
            </w:r>
            <w:r>
              <w:rPr>
                <w:rFonts w:ascii="宋体" w:eastAsia="宋体" w:hAnsi="宋体" w:cs="Times New Roman"/>
                <w:kern w:val="0"/>
                <w:szCs w:val="21"/>
              </w:rPr>
              <w:t>第</w:t>
            </w:r>
            <w:r>
              <w:rPr>
                <w:rFonts w:ascii="宋体" w:eastAsia="宋体" w:hAnsi="宋体" w:cs="Times New Roman"/>
                <w:kern w:val="0"/>
                <w:szCs w:val="21"/>
              </w:rPr>
              <w:t>3</w:t>
            </w:r>
            <w:r>
              <w:rPr>
                <w:rFonts w:ascii="宋体" w:eastAsia="宋体" w:hAnsi="宋体" w:cs="Times New Roman"/>
                <w:kern w:val="0"/>
                <w:szCs w:val="21"/>
              </w:rPr>
              <w:t>部分：绿色航道</w:t>
            </w:r>
          </w:p>
        </w:tc>
        <w:tc>
          <w:tcPr>
            <w:tcW w:w="5528" w:type="dxa"/>
            <w:vAlign w:val="center"/>
          </w:tcPr>
          <w:p w:rsidR="0043638C" w:rsidRDefault="00E67C5B">
            <w:pPr>
              <w:widowControl/>
              <w:rPr>
                <w:rFonts w:ascii="宋体" w:eastAsia="宋体" w:hAnsi="宋体" w:cs="Times New Roman"/>
                <w:kern w:val="0"/>
                <w:szCs w:val="21"/>
              </w:rPr>
            </w:pPr>
            <w:r>
              <w:rPr>
                <w:rFonts w:ascii="宋体" w:eastAsia="宋体" w:hAnsi="宋体" w:cs="Times New Roman"/>
                <w:kern w:val="0"/>
                <w:szCs w:val="21"/>
              </w:rPr>
              <w:t>现行标准规定了绿色航道和绿色船闸评估的基本要求、评估指标体系及评估方法</w:t>
            </w:r>
            <w:r>
              <w:rPr>
                <w:rFonts w:ascii="宋体" w:eastAsia="宋体" w:hAnsi="宋体" w:cs="Times New Roman" w:hint="eastAsia"/>
                <w:kern w:val="0"/>
                <w:szCs w:val="21"/>
              </w:rPr>
              <w:t>。</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适用于新建、改扩建的内河航道和船闸。</w:t>
            </w:r>
          </w:p>
          <w:p w:rsidR="0043638C" w:rsidRDefault="00E67C5B">
            <w:pPr>
              <w:widowControl/>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kern w:val="0"/>
                <w:szCs w:val="21"/>
              </w:rPr>
              <w:t>更改适用范围为适用于运营期的内河航道和船闸；</w:t>
            </w:r>
            <w:r>
              <w:rPr>
                <w:rFonts w:ascii="宋体" w:eastAsia="宋体" w:hAnsi="宋体" w:cs="Times New Roman" w:hint="eastAsia"/>
                <w:kern w:val="0"/>
                <w:szCs w:val="21"/>
              </w:rPr>
              <w:t>2</w:t>
            </w:r>
            <w:r>
              <w:rPr>
                <w:rFonts w:ascii="宋体" w:eastAsia="宋体" w:hAnsi="宋体" w:cs="Times New Roman"/>
                <w:kern w:val="0"/>
                <w:szCs w:val="21"/>
              </w:rPr>
              <w:t>.</w:t>
            </w:r>
            <w:r>
              <w:rPr>
                <w:rFonts w:ascii="宋体" w:eastAsia="宋体" w:hAnsi="宋体" w:cs="Times New Roman"/>
                <w:kern w:val="0"/>
                <w:szCs w:val="21"/>
              </w:rPr>
              <w:t>补充航道和船闸的总体要求；</w:t>
            </w:r>
            <w:r>
              <w:rPr>
                <w:rFonts w:ascii="宋体" w:eastAsia="宋体" w:hAnsi="宋体" w:cs="Times New Roman" w:hint="eastAsia"/>
                <w:kern w:val="0"/>
                <w:szCs w:val="21"/>
              </w:rPr>
              <w:t>3</w:t>
            </w:r>
            <w:r>
              <w:rPr>
                <w:rFonts w:ascii="宋体" w:eastAsia="宋体" w:hAnsi="宋体" w:cs="Times New Roman"/>
                <w:kern w:val="0"/>
                <w:szCs w:val="21"/>
              </w:rPr>
              <w:t>.</w:t>
            </w:r>
            <w:r>
              <w:rPr>
                <w:rFonts w:ascii="宋体" w:eastAsia="宋体" w:hAnsi="宋体" w:cs="Times New Roman"/>
                <w:kern w:val="0"/>
                <w:szCs w:val="21"/>
              </w:rPr>
              <w:t>对原有的绿色航道、绿色船闸的评估指标及评分标准进行增改和完善，包括但不限于</w:t>
            </w:r>
            <w:r>
              <w:rPr>
                <w:rFonts w:ascii="宋体" w:eastAsia="宋体" w:hAnsi="宋体" w:cs="Times New Roman"/>
                <w:kern w:val="0"/>
                <w:szCs w:val="21"/>
              </w:rPr>
              <w:t>“</w:t>
            </w:r>
            <w:r>
              <w:rPr>
                <w:rFonts w:ascii="宋体" w:eastAsia="宋体" w:hAnsi="宋体" w:cs="Times New Roman"/>
                <w:kern w:val="0"/>
                <w:szCs w:val="21"/>
              </w:rPr>
              <w:t>碳排放核算、评定与控制</w:t>
            </w:r>
            <w:r>
              <w:rPr>
                <w:rFonts w:ascii="宋体" w:eastAsia="宋体" w:hAnsi="宋体" w:cs="Times New Roman"/>
                <w:kern w:val="0"/>
                <w:szCs w:val="21"/>
              </w:rPr>
              <w:t>”</w:t>
            </w:r>
            <w:r>
              <w:rPr>
                <w:rFonts w:ascii="宋体" w:eastAsia="宋体" w:hAnsi="宋体" w:cs="Times New Roman"/>
                <w:kern w:val="0"/>
                <w:szCs w:val="21"/>
              </w:rPr>
              <w:t>、</w:t>
            </w:r>
            <w:r>
              <w:rPr>
                <w:rFonts w:ascii="宋体" w:eastAsia="宋体" w:hAnsi="宋体" w:cs="Times New Roman"/>
                <w:kern w:val="0"/>
                <w:szCs w:val="21"/>
              </w:rPr>
              <w:t>“</w:t>
            </w:r>
            <w:r>
              <w:rPr>
                <w:rFonts w:ascii="宋体" w:eastAsia="宋体" w:hAnsi="宋体" w:cs="Times New Roman"/>
                <w:kern w:val="0"/>
                <w:szCs w:val="21"/>
              </w:rPr>
              <w:t>智慧工地</w:t>
            </w:r>
            <w:r>
              <w:rPr>
                <w:rFonts w:ascii="宋体" w:eastAsia="宋体" w:hAnsi="宋体" w:cs="Times New Roman"/>
                <w:kern w:val="0"/>
                <w:szCs w:val="21"/>
              </w:rPr>
              <w:t>”</w:t>
            </w:r>
            <w:r>
              <w:rPr>
                <w:rFonts w:ascii="宋体" w:eastAsia="宋体" w:hAnsi="宋体" w:cs="Times New Roman"/>
                <w:kern w:val="0"/>
                <w:szCs w:val="21"/>
              </w:rPr>
              <w:t>等；</w:t>
            </w:r>
            <w:r>
              <w:rPr>
                <w:rFonts w:ascii="宋体" w:eastAsia="宋体" w:hAnsi="宋体" w:cs="Times New Roman" w:hint="eastAsia"/>
                <w:kern w:val="0"/>
                <w:szCs w:val="21"/>
              </w:rPr>
              <w:t>4</w:t>
            </w:r>
            <w:r>
              <w:rPr>
                <w:rFonts w:ascii="宋体" w:eastAsia="宋体" w:hAnsi="宋体" w:cs="Times New Roman"/>
                <w:kern w:val="0"/>
                <w:szCs w:val="21"/>
              </w:rPr>
              <w:t>.</w:t>
            </w:r>
            <w:r>
              <w:rPr>
                <w:rFonts w:ascii="宋体" w:eastAsia="宋体" w:hAnsi="宋体" w:cs="Times New Roman"/>
                <w:kern w:val="0"/>
                <w:szCs w:val="21"/>
              </w:rPr>
              <w:t>补充和修订绿色航道、绿色船闸评估指标体系中部分二级指标及三级指标的分值及评分方法。</w:t>
            </w:r>
          </w:p>
        </w:tc>
        <w:tc>
          <w:tcPr>
            <w:tcW w:w="709"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修订</w:t>
            </w:r>
          </w:p>
        </w:tc>
        <w:tc>
          <w:tcPr>
            <w:tcW w:w="1121"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JT/T 1199.3</w:t>
            </w:r>
            <w:r>
              <w:rPr>
                <w:rFonts w:ascii="宋体" w:eastAsia="宋体" w:hAnsi="宋体" w:cs="宋体" w:hint="eastAsia"/>
                <w:kern w:val="0"/>
                <w:szCs w:val="21"/>
              </w:rPr>
              <w:t>—</w:t>
            </w:r>
            <w:r>
              <w:rPr>
                <w:rFonts w:ascii="宋体" w:eastAsia="宋体" w:hAnsi="宋体" w:cs="宋体"/>
                <w:kern w:val="0"/>
                <w:szCs w:val="21"/>
              </w:rPr>
              <w:t>2018</w:t>
            </w:r>
          </w:p>
        </w:tc>
        <w:tc>
          <w:tcPr>
            <w:tcW w:w="846"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12</w:t>
            </w:r>
          </w:p>
        </w:tc>
        <w:tc>
          <w:tcPr>
            <w:tcW w:w="988" w:type="dxa"/>
            <w:vAlign w:val="center"/>
          </w:tcPr>
          <w:p w:rsidR="0043638C" w:rsidRDefault="00E67C5B">
            <w:pPr>
              <w:jc w:val="center"/>
              <w:rPr>
                <w:rFonts w:ascii="宋体" w:eastAsia="宋体" w:hAnsi="宋体" w:cs="宋体"/>
                <w:kern w:val="0"/>
                <w:szCs w:val="21"/>
              </w:rPr>
            </w:pPr>
            <w:r>
              <w:rPr>
                <w:rFonts w:ascii="宋体" w:eastAsia="宋体" w:hAnsi="宋体" w:cs="宋体"/>
                <w:kern w:val="0"/>
                <w:szCs w:val="21"/>
              </w:rPr>
              <w:t>环境保护标委会</w:t>
            </w:r>
          </w:p>
        </w:tc>
        <w:tc>
          <w:tcPr>
            <w:tcW w:w="2799" w:type="dxa"/>
            <w:vAlign w:val="center"/>
          </w:tcPr>
          <w:p w:rsidR="0043638C" w:rsidRDefault="00E67C5B">
            <w:pPr>
              <w:rPr>
                <w:rFonts w:ascii="宋体" w:eastAsia="宋体" w:hAnsi="宋体" w:cs="宋体"/>
                <w:kern w:val="0"/>
                <w:szCs w:val="21"/>
              </w:rPr>
            </w:pPr>
            <w:r>
              <w:rPr>
                <w:rFonts w:ascii="宋体" w:eastAsia="宋体" w:hAnsi="宋体" w:cs="宋体"/>
                <w:kern w:val="0"/>
                <w:szCs w:val="21"/>
              </w:rPr>
              <w:t>交通运输部天津水运工程科学研究所、交通运输部长江口航道管理局、长江航道规划设计研究院</w:t>
            </w:r>
          </w:p>
        </w:tc>
      </w:tr>
    </w:tbl>
    <w:p w:rsidR="0043638C" w:rsidRDefault="0043638C">
      <w:pPr>
        <w:widowControl/>
        <w:jc w:val="left"/>
        <w:rPr>
          <w:rFonts w:ascii="黑体" w:eastAsia="黑体" w:hAnsi="黑体" w:cs="Times New Roman"/>
          <w:b/>
          <w:bCs/>
          <w:sz w:val="32"/>
          <w:szCs w:val="32"/>
        </w:rPr>
      </w:pPr>
    </w:p>
    <w:p w:rsidR="0043638C" w:rsidRDefault="00E67C5B">
      <w:pPr>
        <w:spacing w:line="360" w:lineRule="auto"/>
        <w:rPr>
          <w:rFonts w:ascii="黑体" w:eastAsia="黑体" w:hAnsi="黑体" w:cs="Times New Roman"/>
          <w:b/>
          <w:bCs/>
          <w:sz w:val="32"/>
          <w:szCs w:val="32"/>
        </w:rPr>
      </w:pPr>
      <w:r>
        <w:rPr>
          <w:rFonts w:ascii="黑体" w:eastAsia="黑体" w:hAnsi="黑体" w:cs="Times New Roman" w:hint="eastAsia"/>
          <w:b/>
          <w:bCs/>
          <w:sz w:val="32"/>
          <w:szCs w:val="32"/>
        </w:rPr>
        <w:t>二、行业标准外文版</w:t>
      </w:r>
    </w:p>
    <w:tbl>
      <w:tblPr>
        <w:tblStyle w:val="a9"/>
        <w:tblW w:w="5000" w:type="pct"/>
        <w:tblCellMar>
          <w:left w:w="85" w:type="dxa"/>
          <w:right w:w="85" w:type="dxa"/>
        </w:tblCellMar>
        <w:tblLook w:val="04A0" w:firstRow="1" w:lastRow="0" w:firstColumn="1" w:lastColumn="0" w:noHBand="0" w:noVBand="1"/>
      </w:tblPr>
      <w:tblGrid>
        <w:gridCol w:w="705"/>
        <w:gridCol w:w="1558"/>
        <w:gridCol w:w="3261"/>
        <w:gridCol w:w="1703"/>
        <w:gridCol w:w="850"/>
        <w:gridCol w:w="1558"/>
        <w:gridCol w:w="2720"/>
        <w:gridCol w:w="2771"/>
      </w:tblGrid>
      <w:tr w:rsidR="0043638C">
        <w:trPr>
          <w:cantSplit/>
          <w:trHeight w:val="567"/>
          <w:tblHeader/>
        </w:trPr>
        <w:tc>
          <w:tcPr>
            <w:tcW w:w="233"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序号</w:t>
            </w:r>
          </w:p>
        </w:tc>
        <w:tc>
          <w:tcPr>
            <w:tcW w:w="515"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计划编号</w:t>
            </w:r>
          </w:p>
        </w:tc>
        <w:tc>
          <w:tcPr>
            <w:tcW w:w="1078"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标准名称</w:t>
            </w:r>
          </w:p>
        </w:tc>
        <w:tc>
          <w:tcPr>
            <w:tcW w:w="563"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标准编号</w:t>
            </w:r>
          </w:p>
        </w:tc>
        <w:tc>
          <w:tcPr>
            <w:tcW w:w="281"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语种</w:t>
            </w:r>
          </w:p>
        </w:tc>
        <w:tc>
          <w:tcPr>
            <w:tcW w:w="515"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完成周期</w:t>
            </w:r>
            <w:r>
              <w:rPr>
                <w:rFonts w:ascii="宋体" w:eastAsia="宋体" w:hAnsi="宋体" w:cs="Times New Roman" w:hint="eastAsia"/>
                <w:b/>
                <w:bCs/>
                <w:kern w:val="0"/>
                <w:szCs w:val="21"/>
              </w:rPr>
              <w:t>(</w:t>
            </w:r>
            <w:r>
              <w:rPr>
                <w:rFonts w:ascii="宋体" w:eastAsia="宋体" w:hAnsi="宋体" w:cs="Times New Roman" w:hint="eastAsia"/>
                <w:b/>
                <w:bCs/>
                <w:kern w:val="0"/>
                <w:szCs w:val="21"/>
              </w:rPr>
              <w:t>月</w:t>
            </w:r>
            <w:r>
              <w:rPr>
                <w:rFonts w:ascii="宋体" w:eastAsia="宋体" w:hAnsi="宋体" w:cs="Times New Roman" w:hint="eastAsia"/>
                <w:b/>
                <w:bCs/>
                <w:kern w:val="0"/>
                <w:szCs w:val="21"/>
              </w:rPr>
              <w:t>)</w:t>
            </w:r>
          </w:p>
        </w:tc>
        <w:tc>
          <w:tcPr>
            <w:tcW w:w="899"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技术归口单位</w:t>
            </w:r>
          </w:p>
        </w:tc>
        <w:tc>
          <w:tcPr>
            <w:tcW w:w="916"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翻译主要承担单位</w:t>
            </w:r>
          </w:p>
        </w:tc>
      </w:tr>
      <w:tr w:rsidR="0043638C">
        <w:trPr>
          <w:cantSplit/>
          <w:trHeight w:val="567"/>
        </w:trPr>
        <w:tc>
          <w:tcPr>
            <w:tcW w:w="233" w:type="pct"/>
            <w:vAlign w:val="center"/>
          </w:tcPr>
          <w:p w:rsidR="0043638C" w:rsidRDefault="0043638C">
            <w:pPr>
              <w:pStyle w:val="ae"/>
              <w:numPr>
                <w:ilvl w:val="0"/>
                <w:numId w:val="1"/>
              </w:numPr>
              <w:ind w:firstLineChars="0"/>
              <w:jc w:val="center"/>
              <w:rPr>
                <w:rFonts w:ascii="宋体" w:eastAsia="宋体" w:hAnsi="宋体" w:cs="Times New Roman"/>
                <w:bCs/>
                <w:kern w:val="0"/>
                <w:szCs w:val="21"/>
              </w:rPr>
            </w:pPr>
          </w:p>
        </w:tc>
        <w:tc>
          <w:tcPr>
            <w:tcW w:w="515"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J</w:t>
            </w:r>
            <w:r>
              <w:rPr>
                <w:rFonts w:ascii="宋体" w:eastAsia="宋体" w:hAnsi="宋体" w:cs="Times New Roman"/>
                <w:kern w:val="0"/>
                <w:szCs w:val="21"/>
              </w:rPr>
              <w:t>TW 202</w:t>
            </w:r>
            <w:r>
              <w:rPr>
                <w:rFonts w:ascii="宋体" w:eastAsia="宋体" w:hAnsi="宋体" w:cs="Times New Roman" w:hint="eastAsia"/>
                <w:kern w:val="0"/>
                <w:szCs w:val="21"/>
              </w:rPr>
              <w:t>4</w:t>
            </w:r>
            <w:r>
              <w:rPr>
                <w:rFonts w:ascii="宋体" w:eastAsia="宋体" w:hAnsi="宋体" w:cs="Times New Roman"/>
                <w:kern w:val="0"/>
                <w:szCs w:val="21"/>
              </w:rPr>
              <w:t>-01</w:t>
            </w:r>
          </w:p>
        </w:tc>
        <w:tc>
          <w:tcPr>
            <w:tcW w:w="1078" w:type="pct"/>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散粮港口作业减损技术要求</w:t>
            </w:r>
          </w:p>
        </w:tc>
        <w:tc>
          <w:tcPr>
            <w:tcW w:w="563" w:type="pct"/>
            <w:vAlign w:val="center"/>
          </w:tcPr>
          <w:p w:rsidR="0043638C" w:rsidRDefault="00E67C5B">
            <w:pPr>
              <w:widowControl/>
              <w:jc w:val="center"/>
              <w:rPr>
                <w:rFonts w:ascii="宋体" w:eastAsia="宋体" w:hAnsi="宋体" w:cs="Times New Roman"/>
                <w:kern w:val="0"/>
                <w:szCs w:val="21"/>
              </w:rPr>
            </w:pPr>
            <w:r>
              <w:rPr>
                <w:rFonts w:ascii="宋体" w:eastAsia="宋体" w:hAnsi="宋体" w:cs="Times New Roman"/>
                <w:kern w:val="0"/>
                <w:szCs w:val="21"/>
              </w:rPr>
              <w:t>JT/T 1491</w:t>
            </w:r>
            <w:r>
              <w:rPr>
                <w:rFonts w:ascii="宋体" w:eastAsia="宋体" w:hAnsi="宋体" w:cs="Times New Roman" w:hint="eastAsia"/>
                <w:kern w:val="0"/>
                <w:szCs w:val="21"/>
              </w:rPr>
              <w:t>—</w:t>
            </w:r>
            <w:r>
              <w:rPr>
                <w:rFonts w:ascii="宋体" w:eastAsia="宋体" w:hAnsi="宋体" w:cs="Times New Roman"/>
                <w:kern w:val="0"/>
                <w:szCs w:val="21"/>
              </w:rPr>
              <w:t>2024</w:t>
            </w:r>
          </w:p>
        </w:tc>
        <w:tc>
          <w:tcPr>
            <w:tcW w:w="281"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kern w:val="0"/>
                <w:szCs w:val="21"/>
              </w:rPr>
              <w:t>英文</w:t>
            </w:r>
          </w:p>
        </w:tc>
        <w:tc>
          <w:tcPr>
            <w:tcW w:w="515"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899"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kern w:val="0"/>
                <w:szCs w:val="21"/>
              </w:rPr>
              <w:t>港口标委会</w:t>
            </w:r>
          </w:p>
        </w:tc>
        <w:tc>
          <w:tcPr>
            <w:tcW w:w="916" w:type="pct"/>
            <w:vAlign w:val="center"/>
          </w:tcPr>
          <w:p w:rsidR="0043638C" w:rsidRDefault="00E67C5B">
            <w:pPr>
              <w:rPr>
                <w:rFonts w:ascii="宋体" w:eastAsia="宋体" w:hAnsi="宋体" w:cs="Times New Roman"/>
                <w:bCs/>
                <w:kern w:val="0"/>
                <w:szCs w:val="21"/>
              </w:rPr>
            </w:pPr>
            <w:r>
              <w:rPr>
                <w:rFonts w:ascii="宋体" w:eastAsia="宋体" w:hAnsi="宋体" w:cs="宋体" w:hint="eastAsia"/>
                <w:kern w:val="0"/>
                <w:szCs w:val="21"/>
              </w:rPr>
              <w:t>交通运输部水运科学研究所</w:t>
            </w:r>
          </w:p>
        </w:tc>
      </w:tr>
    </w:tbl>
    <w:p w:rsidR="0043638C" w:rsidRDefault="0043638C">
      <w:pPr>
        <w:rPr>
          <w:rFonts w:ascii="黑体" w:eastAsia="黑体" w:hAnsi="黑体" w:cs="Times New Roman"/>
          <w:b/>
          <w:bCs/>
          <w:sz w:val="32"/>
          <w:szCs w:val="32"/>
        </w:rPr>
      </w:pPr>
    </w:p>
    <w:p w:rsidR="0043638C" w:rsidRDefault="00E67C5B">
      <w:pPr>
        <w:spacing w:line="360" w:lineRule="auto"/>
        <w:rPr>
          <w:rFonts w:ascii="黑体" w:eastAsia="黑体" w:hAnsi="黑体" w:cs="Times New Roman"/>
          <w:b/>
          <w:bCs/>
          <w:sz w:val="32"/>
          <w:szCs w:val="32"/>
        </w:rPr>
      </w:pPr>
      <w:r>
        <w:rPr>
          <w:rFonts w:ascii="黑体" w:eastAsia="黑体" w:hAnsi="黑体" w:cs="Times New Roman" w:hint="eastAsia"/>
          <w:b/>
          <w:bCs/>
          <w:sz w:val="32"/>
          <w:szCs w:val="32"/>
        </w:rPr>
        <w:t>三、部门计量检定规程</w:t>
      </w:r>
    </w:p>
    <w:tbl>
      <w:tblPr>
        <w:tblStyle w:val="a9"/>
        <w:tblW w:w="5000" w:type="pct"/>
        <w:tblCellMar>
          <w:left w:w="85" w:type="dxa"/>
          <w:right w:w="85" w:type="dxa"/>
        </w:tblCellMar>
        <w:tblLook w:val="04A0" w:firstRow="1" w:lastRow="0" w:firstColumn="1" w:lastColumn="0" w:noHBand="0" w:noVBand="1"/>
      </w:tblPr>
      <w:tblGrid>
        <w:gridCol w:w="615"/>
        <w:gridCol w:w="1365"/>
        <w:gridCol w:w="1476"/>
        <w:gridCol w:w="4193"/>
        <w:gridCol w:w="711"/>
        <w:gridCol w:w="1134"/>
        <w:gridCol w:w="1134"/>
        <w:gridCol w:w="1700"/>
        <w:gridCol w:w="2798"/>
      </w:tblGrid>
      <w:tr w:rsidR="0043638C">
        <w:trPr>
          <w:cantSplit/>
          <w:trHeight w:val="567"/>
          <w:tblHeader/>
        </w:trPr>
        <w:tc>
          <w:tcPr>
            <w:tcW w:w="203"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序号</w:t>
            </w:r>
          </w:p>
        </w:tc>
        <w:tc>
          <w:tcPr>
            <w:tcW w:w="451"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计划编号</w:t>
            </w:r>
          </w:p>
        </w:tc>
        <w:tc>
          <w:tcPr>
            <w:tcW w:w="488"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项目名称</w:t>
            </w:r>
          </w:p>
        </w:tc>
        <w:tc>
          <w:tcPr>
            <w:tcW w:w="1386"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范围和主要技术内容</w:t>
            </w:r>
          </w:p>
        </w:tc>
        <w:tc>
          <w:tcPr>
            <w:tcW w:w="235"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制修订</w:t>
            </w:r>
          </w:p>
        </w:tc>
        <w:tc>
          <w:tcPr>
            <w:tcW w:w="375"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代替规程</w:t>
            </w:r>
          </w:p>
        </w:tc>
        <w:tc>
          <w:tcPr>
            <w:tcW w:w="375"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完成周期</w:t>
            </w:r>
            <w:r>
              <w:rPr>
                <w:rFonts w:ascii="宋体" w:eastAsia="宋体" w:hAnsi="宋体" w:cs="Times New Roman" w:hint="eastAsia"/>
                <w:b/>
                <w:bCs/>
                <w:kern w:val="0"/>
                <w:szCs w:val="21"/>
              </w:rPr>
              <w:t>(</w:t>
            </w:r>
            <w:r>
              <w:rPr>
                <w:rFonts w:ascii="宋体" w:eastAsia="宋体" w:hAnsi="宋体" w:cs="Times New Roman" w:hint="eastAsia"/>
                <w:b/>
                <w:bCs/>
                <w:kern w:val="0"/>
                <w:szCs w:val="21"/>
              </w:rPr>
              <w:t>月</w:t>
            </w:r>
            <w:r>
              <w:rPr>
                <w:rFonts w:ascii="宋体" w:eastAsia="宋体" w:hAnsi="宋体" w:cs="Times New Roman" w:hint="eastAsia"/>
                <w:b/>
                <w:bCs/>
                <w:kern w:val="0"/>
                <w:szCs w:val="21"/>
              </w:rPr>
              <w:t>)</w:t>
            </w:r>
          </w:p>
        </w:tc>
        <w:tc>
          <w:tcPr>
            <w:tcW w:w="562"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技术归口单位</w:t>
            </w:r>
          </w:p>
        </w:tc>
        <w:tc>
          <w:tcPr>
            <w:tcW w:w="925" w:type="pct"/>
            <w:vAlign w:val="center"/>
          </w:tcPr>
          <w:p w:rsidR="0043638C" w:rsidRDefault="00E67C5B">
            <w:pPr>
              <w:jc w:val="center"/>
              <w:rPr>
                <w:rFonts w:ascii="宋体" w:eastAsia="宋体" w:hAnsi="宋体" w:cs="Times New Roman"/>
                <w:b/>
                <w:bCs/>
                <w:kern w:val="0"/>
                <w:szCs w:val="21"/>
              </w:rPr>
            </w:pPr>
            <w:r>
              <w:rPr>
                <w:rFonts w:ascii="宋体" w:eastAsia="宋体" w:hAnsi="宋体" w:cs="Times New Roman" w:hint="eastAsia"/>
                <w:b/>
                <w:bCs/>
                <w:kern w:val="0"/>
                <w:szCs w:val="21"/>
              </w:rPr>
              <w:t>主要起草单位</w:t>
            </w:r>
          </w:p>
        </w:tc>
      </w:tr>
      <w:tr w:rsidR="0043638C">
        <w:trPr>
          <w:cantSplit/>
          <w:trHeight w:val="567"/>
        </w:trPr>
        <w:tc>
          <w:tcPr>
            <w:tcW w:w="203"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bCs/>
                <w:kern w:val="0"/>
                <w:szCs w:val="21"/>
              </w:rPr>
              <w:t>1</w:t>
            </w:r>
          </w:p>
        </w:tc>
        <w:tc>
          <w:tcPr>
            <w:tcW w:w="451" w:type="pct"/>
            <w:vAlign w:val="center"/>
          </w:tcPr>
          <w:p w:rsidR="0043638C" w:rsidRDefault="00E67C5B">
            <w:pPr>
              <w:jc w:val="center"/>
              <w:rPr>
                <w:rFonts w:ascii="宋体" w:eastAsia="宋体" w:hAnsi="宋体" w:cs="Times New Roman"/>
                <w:kern w:val="0"/>
                <w:szCs w:val="21"/>
              </w:rPr>
            </w:pPr>
            <w:r>
              <w:rPr>
                <w:rFonts w:ascii="宋体" w:eastAsia="宋体" w:hAnsi="宋体" w:hint="eastAsia"/>
                <w:kern w:val="0"/>
                <w:szCs w:val="21"/>
              </w:rPr>
              <w:t>JJG 2024-01</w:t>
            </w:r>
          </w:p>
        </w:tc>
        <w:tc>
          <w:tcPr>
            <w:tcW w:w="488" w:type="pct"/>
            <w:vAlign w:val="center"/>
          </w:tcPr>
          <w:p w:rsidR="0043638C" w:rsidRDefault="00E67C5B">
            <w:pPr>
              <w:jc w:val="left"/>
              <w:rPr>
                <w:rFonts w:ascii="宋体" w:eastAsia="宋体" w:hAnsi="宋体"/>
                <w:kern w:val="0"/>
                <w:szCs w:val="21"/>
              </w:rPr>
            </w:pPr>
            <w:r>
              <w:rPr>
                <w:rFonts w:ascii="宋体" w:eastAsia="宋体" w:hAnsi="宋体"/>
                <w:kern w:val="0"/>
                <w:szCs w:val="21"/>
              </w:rPr>
              <w:t>沥青弯曲梁流变仪</w:t>
            </w:r>
          </w:p>
        </w:tc>
        <w:tc>
          <w:tcPr>
            <w:tcW w:w="1386" w:type="pct"/>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拟规定沥青弯曲梁流变仪的概述、计量性能要求、通用技术要求、计量器具控制等。</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适用于沥青弯曲梁流变仪的首次检定、后续检定和使用中检验。</w:t>
            </w:r>
          </w:p>
        </w:tc>
        <w:tc>
          <w:tcPr>
            <w:tcW w:w="235" w:type="pct"/>
            <w:vAlign w:val="center"/>
          </w:tcPr>
          <w:p w:rsidR="0043638C" w:rsidRDefault="00E67C5B">
            <w:pPr>
              <w:widowControl/>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375" w:type="pct"/>
            <w:vAlign w:val="center"/>
          </w:tcPr>
          <w:p w:rsidR="0043638C" w:rsidRDefault="0043638C">
            <w:pPr>
              <w:widowControl/>
              <w:jc w:val="center"/>
              <w:rPr>
                <w:rFonts w:ascii="宋体" w:eastAsia="宋体" w:hAnsi="宋体" w:cs="Times New Roman"/>
                <w:kern w:val="0"/>
                <w:szCs w:val="21"/>
              </w:rPr>
            </w:pPr>
          </w:p>
        </w:tc>
        <w:tc>
          <w:tcPr>
            <w:tcW w:w="375"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562"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公路计量委员会</w:t>
            </w:r>
          </w:p>
        </w:tc>
        <w:tc>
          <w:tcPr>
            <w:tcW w:w="925" w:type="pct"/>
            <w:vAlign w:val="center"/>
          </w:tcPr>
          <w:p w:rsidR="0043638C" w:rsidRDefault="00E67C5B">
            <w:pPr>
              <w:jc w:val="left"/>
              <w:rPr>
                <w:rFonts w:ascii="宋体" w:eastAsia="宋体" w:hAnsi="宋体"/>
                <w:kern w:val="0"/>
                <w:szCs w:val="21"/>
              </w:rPr>
            </w:pPr>
            <w:r>
              <w:rPr>
                <w:rFonts w:ascii="宋体" w:eastAsia="宋体" w:hAnsi="宋体"/>
                <w:kern w:val="0"/>
                <w:szCs w:val="21"/>
              </w:rPr>
              <w:t>福建省交通科研院有限公司、交通运输部公路科学研究所、广东华路交通科技有限公司、江西省交通工程质量监督站试验检测中心</w:t>
            </w:r>
          </w:p>
        </w:tc>
      </w:tr>
      <w:tr w:rsidR="0043638C">
        <w:trPr>
          <w:cantSplit/>
          <w:trHeight w:val="567"/>
        </w:trPr>
        <w:tc>
          <w:tcPr>
            <w:tcW w:w="203"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2</w:t>
            </w:r>
          </w:p>
        </w:tc>
        <w:tc>
          <w:tcPr>
            <w:tcW w:w="451" w:type="pct"/>
            <w:vAlign w:val="center"/>
          </w:tcPr>
          <w:p w:rsidR="0043638C" w:rsidRDefault="00E67C5B">
            <w:pPr>
              <w:jc w:val="center"/>
              <w:rPr>
                <w:rFonts w:ascii="宋体" w:eastAsia="宋体" w:hAnsi="宋体" w:cs="Times New Roman"/>
                <w:kern w:val="0"/>
                <w:szCs w:val="21"/>
              </w:rPr>
            </w:pPr>
            <w:r>
              <w:rPr>
                <w:rFonts w:ascii="宋体" w:eastAsia="宋体" w:hAnsi="宋体" w:hint="eastAsia"/>
                <w:kern w:val="0"/>
                <w:szCs w:val="21"/>
              </w:rPr>
              <w:t>JJG 2024-02</w:t>
            </w:r>
          </w:p>
        </w:tc>
        <w:tc>
          <w:tcPr>
            <w:tcW w:w="488" w:type="pct"/>
            <w:vAlign w:val="center"/>
          </w:tcPr>
          <w:p w:rsidR="0043638C" w:rsidRDefault="00E67C5B">
            <w:pPr>
              <w:jc w:val="left"/>
              <w:rPr>
                <w:rFonts w:ascii="宋体" w:eastAsia="宋体" w:hAnsi="宋体"/>
                <w:kern w:val="0"/>
                <w:szCs w:val="21"/>
              </w:rPr>
            </w:pPr>
            <w:r>
              <w:rPr>
                <w:rFonts w:ascii="宋体" w:eastAsia="宋体" w:hAnsi="宋体"/>
                <w:kern w:val="0"/>
                <w:szCs w:val="21"/>
              </w:rPr>
              <w:t>垂直渗透系数测定仪</w:t>
            </w:r>
          </w:p>
        </w:tc>
        <w:tc>
          <w:tcPr>
            <w:tcW w:w="1386" w:type="pct"/>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拟规定垂直渗透系数测定仪的概述、计量性能要求、通用技术要求、计量器具控制、检定方法、检定结果处理、检定周期等。</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适用于垂直渗透系数测定仪的首次检定、后续检定和使用中检验。</w:t>
            </w:r>
          </w:p>
        </w:tc>
        <w:tc>
          <w:tcPr>
            <w:tcW w:w="235"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375" w:type="pct"/>
            <w:vAlign w:val="center"/>
          </w:tcPr>
          <w:p w:rsidR="0043638C" w:rsidRDefault="0043638C">
            <w:pPr>
              <w:jc w:val="center"/>
              <w:rPr>
                <w:rFonts w:ascii="宋体" w:eastAsia="宋体" w:hAnsi="宋体" w:cs="Times New Roman"/>
                <w:bCs/>
                <w:kern w:val="0"/>
                <w:szCs w:val="21"/>
              </w:rPr>
            </w:pPr>
          </w:p>
        </w:tc>
        <w:tc>
          <w:tcPr>
            <w:tcW w:w="375"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562"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kern w:val="0"/>
                <w:szCs w:val="21"/>
              </w:rPr>
              <w:t>公路计量委员会</w:t>
            </w:r>
          </w:p>
        </w:tc>
        <w:tc>
          <w:tcPr>
            <w:tcW w:w="925" w:type="pct"/>
            <w:vAlign w:val="center"/>
          </w:tcPr>
          <w:p w:rsidR="0043638C" w:rsidRDefault="00E67C5B">
            <w:pPr>
              <w:jc w:val="left"/>
              <w:rPr>
                <w:rFonts w:ascii="宋体" w:eastAsia="宋体" w:hAnsi="宋体"/>
                <w:kern w:val="0"/>
                <w:szCs w:val="21"/>
              </w:rPr>
            </w:pPr>
            <w:r>
              <w:rPr>
                <w:rFonts w:ascii="宋体" w:eastAsia="宋体" w:hAnsi="宋体"/>
                <w:kern w:val="0"/>
                <w:szCs w:val="21"/>
              </w:rPr>
              <w:t>天津市交通科学研究院</w:t>
            </w:r>
          </w:p>
        </w:tc>
      </w:tr>
      <w:tr w:rsidR="0043638C">
        <w:trPr>
          <w:cantSplit/>
          <w:trHeight w:val="567"/>
        </w:trPr>
        <w:tc>
          <w:tcPr>
            <w:tcW w:w="203"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3</w:t>
            </w:r>
          </w:p>
        </w:tc>
        <w:tc>
          <w:tcPr>
            <w:tcW w:w="451" w:type="pct"/>
            <w:vAlign w:val="center"/>
          </w:tcPr>
          <w:p w:rsidR="0043638C" w:rsidRDefault="00E67C5B">
            <w:pPr>
              <w:jc w:val="center"/>
              <w:rPr>
                <w:rFonts w:ascii="宋体" w:eastAsia="宋体" w:hAnsi="宋体" w:cs="Times New Roman"/>
                <w:kern w:val="0"/>
                <w:szCs w:val="21"/>
              </w:rPr>
            </w:pPr>
            <w:r>
              <w:rPr>
                <w:rFonts w:ascii="宋体" w:eastAsia="宋体" w:hAnsi="宋体" w:hint="eastAsia"/>
                <w:kern w:val="0"/>
                <w:szCs w:val="21"/>
              </w:rPr>
              <w:t>JJG 2024-03</w:t>
            </w:r>
          </w:p>
        </w:tc>
        <w:tc>
          <w:tcPr>
            <w:tcW w:w="488" w:type="pct"/>
            <w:vAlign w:val="center"/>
          </w:tcPr>
          <w:p w:rsidR="0043638C" w:rsidRDefault="00E67C5B">
            <w:pPr>
              <w:jc w:val="left"/>
              <w:rPr>
                <w:rFonts w:ascii="宋体" w:eastAsia="宋体" w:hAnsi="宋体"/>
                <w:kern w:val="0"/>
                <w:szCs w:val="21"/>
              </w:rPr>
            </w:pPr>
            <w:r>
              <w:rPr>
                <w:rFonts w:ascii="宋体" w:eastAsia="宋体" w:hAnsi="宋体"/>
                <w:kern w:val="0"/>
                <w:szCs w:val="21"/>
              </w:rPr>
              <w:t>沥青混合料真空密度测试仪</w:t>
            </w:r>
          </w:p>
        </w:tc>
        <w:tc>
          <w:tcPr>
            <w:tcW w:w="1386" w:type="pct"/>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拟规定沥青混合料真空密度测试仪的概述、计量性能要求、通用技术要求、计量器具控制等。</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适用于沥青混合料真空密度测试仪的首次检定、后续检定和使用中检查。</w:t>
            </w:r>
          </w:p>
        </w:tc>
        <w:tc>
          <w:tcPr>
            <w:tcW w:w="235"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375" w:type="pct"/>
            <w:vAlign w:val="center"/>
          </w:tcPr>
          <w:p w:rsidR="0043638C" w:rsidRDefault="0043638C">
            <w:pPr>
              <w:jc w:val="center"/>
              <w:rPr>
                <w:rFonts w:ascii="宋体" w:eastAsia="宋体" w:hAnsi="宋体" w:cs="Times New Roman"/>
                <w:bCs/>
                <w:kern w:val="0"/>
                <w:szCs w:val="21"/>
              </w:rPr>
            </w:pPr>
          </w:p>
        </w:tc>
        <w:tc>
          <w:tcPr>
            <w:tcW w:w="375"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562"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公路计量委员会</w:t>
            </w:r>
          </w:p>
        </w:tc>
        <w:tc>
          <w:tcPr>
            <w:tcW w:w="925" w:type="pct"/>
            <w:vAlign w:val="center"/>
          </w:tcPr>
          <w:p w:rsidR="0043638C" w:rsidRDefault="00E67C5B">
            <w:pPr>
              <w:jc w:val="left"/>
              <w:rPr>
                <w:rFonts w:ascii="宋体" w:eastAsia="宋体" w:hAnsi="宋体"/>
                <w:kern w:val="0"/>
                <w:szCs w:val="21"/>
              </w:rPr>
            </w:pPr>
            <w:r>
              <w:rPr>
                <w:rFonts w:ascii="宋体" w:eastAsia="宋体" w:hAnsi="宋体"/>
                <w:kern w:val="0"/>
                <w:szCs w:val="21"/>
              </w:rPr>
              <w:t>交通运输部公路科学研究所、中路高科交通检测检验认证有限公司、安徽省高速公路试验检测科研中心有限公司</w:t>
            </w:r>
          </w:p>
        </w:tc>
      </w:tr>
      <w:tr w:rsidR="0043638C">
        <w:trPr>
          <w:cantSplit/>
          <w:trHeight w:val="567"/>
        </w:trPr>
        <w:tc>
          <w:tcPr>
            <w:tcW w:w="203"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4</w:t>
            </w:r>
          </w:p>
        </w:tc>
        <w:tc>
          <w:tcPr>
            <w:tcW w:w="451" w:type="pct"/>
            <w:vAlign w:val="center"/>
          </w:tcPr>
          <w:p w:rsidR="0043638C" w:rsidRDefault="00E67C5B">
            <w:pPr>
              <w:jc w:val="center"/>
              <w:rPr>
                <w:rFonts w:ascii="宋体" w:eastAsia="宋体" w:hAnsi="宋体" w:cs="Times New Roman"/>
                <w:kern w:val="0"/>
                <w:szCs w:val="21"/>
              </w:rPr>
            </w:pPr>
            <w:r>
              <w:rPr>
                <w:rFonts w:ascii="宋体" w:eastAsia="宋体" w:hAnsi="宋体" w:hint="eastAsia"/>
                <w:kern w:val="0"/>
                <w:szCs w:val="21"/>
              </w:rPr>
              <w:t>JJG 2024-04</w:t>
            </w:r>
          </w:p>
        </w:tc>
        <w:tc>
          <w:tcPr>
            <w:tcW w:w="488" w:type="pct"/>
            <w:vAlign w:val="center"/>
          </w:tcPr>
          <w:p w:rsidR="0043638C" w:rsidRDefault="00E67C5B">
            <w:pPr>
              <w:jc w:val="left"/>
              <w:rPr>
                <w:rFonts w:ascii="宋体" w:eastAsia="宋体" w:hAnsi="宋体"/>
                <w:kern w:val="0"/>
                <w:szCs w:val="21"/>
              </w:rPr>
            </w:pPr>
            <w:r>
              <w:rPr>
                <w:rFonts w:ascii="宋体" w:eastAsia="宋体" w:hAnsi="宋体"/>
                <w:kern w:val="0"/>
                <w:szCs w:val="21"/>
              </w:rPr>
              <w:t>水泥标准筛</w:t>
            </w:r>
          </w:p>
        </w:tc>
        <w:tc>
          <w:tcPr>
            <w:tcW w:w="1386" w:type="pct"/>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现行规程规定了水泥标准筛的概述、计量性能要求、通用技术要求、计量器具控制等</w:t>
            </w:r>
            <w:r>
              <w:rPr>
                <w:rFonts w:ascii="宋体" w:eastAsia="宋体" w:hAnsi="宋体" w:cs="Times New Roman" w:hint="eastAsia"/>
                <w:kern w:val="0"/>
                <w:szCs w:val="21"/>
              </w:rPr>
              <w:t>。</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适用于水泥标准筛的首次检定、后续检定和使用中检验。</w:t>
            </w:r>
          </w:p>
          <w:p w:rsidR="0043638C" w:rsidRDefault="00E67C5B">
            <w:pPr>
              <w:rPr>
                <w:rFonts w:ascii="宋体" w:eastAsia="宋体" w:hAnsi="宋体" w:cs="Times New Roman"/>
                <w:kern w:val="0"/>
                <w:szCs w:val="21"/>
              </w:rPr>
            </w:pPr>
            <w:r>
              <w:rPr>
                <w:rFonts w:ascii="宋体" w:eastAsia="宋体" w:hAnsi="宋体" w:cs="Times New Roman"/>
                <w:kern w:val="0"/>
                <w:szCs w:val="21"/>
              </w:rPr>
              <w:t>主要修订内容：</w:t>
            </w:r>
            <w:r>
              <w:rPr>
                <w:rFonts w:ascii="宋体" w:eastAsia="宋体" w:hAnsi="宋体" w:cs="Times New Roman"/>
                <w:kern w:val="0"/>
                <w:szCs w:val="21"/>
              </w:rPr>
              <w:t>1.</w:t>
            </w:r>
            <w:r>
              <w:rPr>
                <w:rFonts w:ascii="宋体" w:eastAsia="宋体" w:hAnsi="宋体" w:cs="Times New Roman" w:hint="eastAsia"/>
                <w:kern w:val="0"/>
                <w:szCs w:val="21"/>
              </w:rPr>
              <w:t>更改</w:t>
            </w:r>
            <w:r>
              <w:rPr>
                <w:rFonts w:ascii="宋体" w:eastAsia="宋体" w:hAnsi="宋体" w:cs="Times New Roman"/>
                <w:kern w:val="0"/>
                <w:szCs w:val="21"/>
              </w:rPr>
              <w:t>水泥标准筛计量性能要求，包括水泥标准筛筛孔尺寸（任意筛孔最大尺寸、筛孔平均尺寸、丝直径）；</w:t>
            </w:r>
            <w:r>
              <w:rPr>
                <w:rFonts w:ascii="宋体" w:eastAsia="宋体" w:hAnsi="宋体" w:cs="Times New Roman"/>
                <w:kern w:val="0"/>
                <w:szCs w:val="21"/>
              </w:rPr>
              <w:t>2.</w:t>
            </w:r>
            <w:r>
              <w:rPr>
                <w:rFonts w:ascii="宋体" w:eastAsia="宋体" w:hAnsi="宋体" w:cs="Times New Roman"/>
                <w:kern w:val="0"/>
                <w:szCs w:val="21"/>
              </w:rPr>
              <w:t>增加水泥标准筛修正系数；</w:t>
            </w:r>
            <w:r>
              <w:rPr>
                <w:rFonts w:ascii="宋体" w:eastAsia="宋体" w:hAnsi="宋体" w:cs="Times New Roman"/>
                <w:kern w:val="0"/>
                <w:szCs w:val="21"/>
              </w:rPr>
              <w:t>3.</w:t>
            </w:r>
            <w:r>
              <w:rPr>
                <w:rFonts w:ascii="宋体" w:eastAsia="宋体" w:hAnsi="宋体" w:cs="Times New Roman"/>
                <w:kern w:val="0"/>
                <w:szCs w:val="21"/>
              </w:rPr>
              <w:t>删除原规程中关于筛框的要求；</w:t>
            </w:r>
            <w:r>
              <w:rPr>
                <w:rFonts w:ascii="宋体" w:eastAsia="宋体" w:hAnsi="宋体" w:cs="Times New Roman"/>
                <w:kern w:val="0"/>
                <w:szCs w:val="21"/>
              </w:rPr>
              <w:t>4.</w:t>
            </w:r>
            <w:r>
              <w:rPr>
                <w:rFonts w:ascii="宋体" w:eastAsia="宋体" w:hAnsi="宋体" w:cs="Times New Roman" w:hint="eastAsia"/>
                <w:kern w:val="0"/>
                <w:szCs w:val="21"/>
              </w:rPr>
              <w:t>更改</w:t>
            </w:r>
            <w:r>
              <w:rPr>
                <w:rFonts w:ascii="宋体" w:eastAsia="宋体" w:hAnsi="宋体" w:cs="Times New Roman"/>
                <w:kern w:val="0"/>
                <w:szCs w:val="21"/>
              </w:rPr>
              <w:t>通用技术要求；</w:t>
            </w:r>
            <w:r>
              <w:rPr>
                <w:rFonts w:ascii="宋体" w:eastAsia="宋体" w:hAnsi="宋体" w:cs="Times New Roman"/>
                <w:kern w:val="0"/>
                <w:szCs w:val="21"/>
              </w:rPr>
              <w:t>5.</w:t>
            </w:r>
            <w:r>
              <w:rPr>
                <w:rFonts w:ascii="宋体" w:eastAsia="宋体" w:hAnsi="宋体" w:cs="Times New Roman" w:hint="eastAsia"/>
                <w:kern w:val="0"/>
                <w:szCs w:val="21"/>
              </w:rPr>
              <w:t>更改</w:t>
            </w:r>
            <w:r>
              <w:rPr>
                <w:rFonts w:ascii="宋体" w:eastAsia="宋体" w:hAnsi="宋体" w:cs="Times New Roman"/>
                <w:kern w:val="0"/>
                <w:szCs w:val="21"/>
              </w:rPr>
              <w:t>水泥标准筛筛孔测量设备的要求；</w:t>
            </w:r>
            <w:r>
              <w:rPr>
                <w:rFonts w:ascii="宋体" w:eastAsia="宋体" w:hAnsi="宋体" w:cs="Times New Roman"/>
                <w:kern w:val="0"/>
                <w:szCs w:val="21"/>
              </w:rPr>
              <w:t>6.</w:t>
            </w:r>
            <w:r>
              <w:rPr>
                <w:rFonts w:ascii="宋体" w:eastAsia="宋体" w:hAnsi="宋体" w:cs="Times New Roman"/>
                <w:kern w:val="0"/>
                <w:szCs w:val="21"/>
              </w:rPr>
              <w:t>增加水泥细度（筛析法）标准样品的要求；</w:t>
            </w:r>
            <w:r>
              <w:rPr>
                <w:rFonts w:ascii="宋体" w:eastAsia="宋体" w:hAnsi="宋体" w:cs="Times New Roman"/>
                <w:kern w:val="0"/>
                <w:szCs w:val="21"/>
              </w:rPr>
              <w:t>7.</w:t>
            </w:r>
            <w:r>
              <w:rPr>
                <w:rFonts w:ascii="宋体" w:eastAsia="宋体" w:hAnsi="宋体" w:cs="Times New Roman"/>
                <w:kern w:val="0"/>
                <w:szCs w:val="21"/>
              </w:rPr>
              <w:t>删除钢板尺；</w:t>
            </w:r>
            <w:r>
              <w:rPr>
                <w:rFonts w:ascii="宋体" w:eastAsia="宋体" w:hAnsi="宋体" w:cs="Times New Roman"/>
                <w:kern w:val="0"/>
                <w:szCs w:val="21"/>
              </w:rPr>
              <w:t>8.</w:t>
            </w:r>
            <w:r>
              <w:rPr>
                <w:rFonts w:ascii="宋体" w:eastAsia="宋体" w:hAnsi="宋体" w:cs="Times New Roman" w:hint="eastAsia"/>
                <w:kern w:val="0"/>
                <w:szCs w:val="21"/>
              </w:rPr>
              <w:t>更改</w:t>
            </w:r>
            <w:r>
              <w:rPr>
                <w:rFonts w:ascii="宋体" w:eastAsia="宋体" w:hAnsi="宋体" w:cs="Times New Roman"/>
                <w:kern w:val="0"/>
                <w:szCs w:val="21"/>
              </w:rPr>
              <w:t>水泥标准筛筛孔尺寸检定方法；</w:t>
            </w:r>
            <w:r>
              <w:rPr>
                <w:rFonts w:ascii="宋体" w:eastAsia="宋体" w:hAnsi="宋体" w:cs="Times New Roman"/>
                <w:kern w:val="0"/>
                <w:szCs w:val="21"/>
              </w:rPr>
              <w:t>9.</w:t>
            </w:r>
            <w:r>
              <w:rPr>
                <w:rFonts w:ascii="宋体" w:eastAsia="宋体" w:hAnsi="宋体" w:cs="Times New Roman"/>
                <w:kern w:val="0"/>
                <w:szCs w:val="21"/>
              </w:rPr>
              <w:t>增加水泥标准筛修正系数的检定方法；</w:t>
            </w:r>
            <w:r>
              <w:rPr>
                <w:rFonts w:ascii="宋体" w:eastAsia="宋体" w:hAnsi="宋体" w:cs="Times New Roman"/>
                <w:kern w:val="0"/>
                <w:szCs w:val="21"/>
              </w:rPr>
              <w:t>10.</w:t>
            </w:r>
            <w:r>
              <w:rPr>
                <w:rFonts w:ascii="宋体" w:eastAsia="宋体" w:hAnsi="宋体" w:cs="Times New Roman" w:hint="eastAsia"/>
                <w:kern w:val="0"/>
                <w:szCs w:val="21"/>
              </w:rPr>
              <w:t>更改</w:t>
            </w:r>
            <w:r>
              <w:rPr>
                <w:rFonts w:ascii="宋体" w:eastAsia="宋体" w:hAnsi="宋体" w:cs="Times New Roman"/>
                <w:kern w:val="0"/>
                <w:szCs w:val="21"/>
              </w:rPr>
              <w:t>附录</w:t>
            </w:r>
            <w:r>
              <w:rPr>
                <w:rFonts w:ascii="宋体" w:eastAsia="宋体" w:hAnsi="宋体" w:cs="Times New Roman"/>
                <w:kern w:val="0"/>
                <w:szCs w:val="21"/>
              </w:rPr>
              <w:t>A</w:t>
            </w:r>
            <w:r>
              <w:rPr>
                <w:rFonts w:ascii="宋体" w:eastAsia="宋体" w:hAnsi="宋体" w:cs="Times New Roman"/>
                <w:kern w:val="0"/>
                <w:szCs w:val="21"/>
              </w:rPr>
              <w:t>、附录</w:t>
            </w:r>
            <w:r>
              <w:rPr>
                <w:rFonts w:ascii="宋体" w:eastAsia="宋体" w:hAnsi="宋体" w:cs="Times New Roman"/>
                <w:kern w:val="0"/>
                <w:szCs w:val="21"/>
              </w:rPr>
              <w:t>B</w:t>
            </w:r>
            <w:r>
              <w:rPr>
                <w:rFonts w:ascii="宋体" w:eastAsia="宋体" w:hAnsi="宋体" w:cs="Times New Roman"/>
                <w:kern w:val="0"/>
                <w:szCs w:val="21"/>
              </w:rPr>
              <w:t>、附录</w:t>
            </w:r>
            <w:r>
              <w:rPr>
                <w:rFonts w:ascii="宋体" w:eastAsia="宋体" w:hAnsi="宋体" w:cs="Times New Roman"/>
                <w:kern w:val="0"/>
                <w:szCs w:val="21"/>
              </w:rPr>
              <w:t>C</w:t>
            </w:r>
            <w:r>
              <w:rPr>
                <w:rFonts w:ascii="宋体" w:eastAsia="宋体" w:hAnsi="宋体" w:cs="Times New Roman"/>
                <w:kern w:val="0"/>
                <w:szCs w:val="21"/>
              </w:rPr>
              <w:t>的表格样式。</w:t>
            </w:r>
          </w:p>
        </w:tc>
        <w:tc>
          <w:tcPr>
            <w:tcW w:w="235"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修订</w:t>
            </w:r>
          </w:p>
        </w:tc>
        <w:tc>
          <w:tcPr>
            <w:tcW w:w="375" w:type="pct"/>
            <w:vAlign w:val="center"/>
          </w:tcPr>
          <w:p w:rsidR="0043638C" w:rsidRDefault="00E67C5B">
            <w:pPr>
              <w:jc w:val="center"/>
              <w:rPr>
                <w:rFonts w:ascii="宋体" w:eastAsia="宋体" w:hAnsi="宋体" w:cs="Times New Roman"/>
                <w:bCs/>
                <w:kern w:val="0"/>
                <w:szCs w:val="21"/>
              </w:rPr>
            </w:pPr>
            <w:r>
              <w:rPr>
                <w:rFonts w:ascii="宋体" w:eastAsia="宋体" w:hAnsi="宋体" w:cs="宋体"/>
                <w:kern w:val="0"/>
                <w:szCs w:val="21"/>
              </w:rPr>
              <w:t>JJG(</w:t>
            </w:r>
            <w:r>
              <w:rPr>
                <w:rFonts w:ascii="宋体" w:eastAsia="宋体" w:hAnsi="宋体" w:cs="宋体"/>
                <w:kern w:val="0"/>
                <w:szCs w:val="21"/>
              </w:rPr>
              <w:t>交通</w:t>
            </w:r>
            <w:r>
              <w:rPr>
                <w:rFonts w:ascii="宋体" w:eastAsia="宋体" w:hAnsi="宋体" w:cs="宋体"/>
                <w:kern w:val="0"/>
                <w:szCs w:val="21"/>
              </w:rPr>
              <w:t>) 049</w:t>
            </w:r>
            <w:r>
              <w:rPr>
                <w:rFonts w:ascii="宋体" w:eastAsia="宋体" w:hAnsi="宋体" w:cs="宋体" w:hint="eastAsia"/>
                <w:kern w:val="0"/>
                <w:szCs w:val="21"/>
              </w:rPr>
              <w:t>—</w:t>
            </w:r>
            <w:r>
              <w:rPr>
                <w:rFonts w:ascii="宋体" w:eastAsia="宋体" w:hAnsi="宋体" w:cs="宋体"/>
                <w:kern w:val="0"/>
                <w:szCs w:val="21"/>
              </w:rPr>
              <w:t>2004</w:t>
            </w:r>
          </w:p>
        </w:tc>
        <w:tc>
          <w:tcPr>
            <w:tcW w:w="375"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562"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公路计量委员会</w:t>
            </w:r>
          </w:p>
        </w:tc>
        <w:tc>
          <w:tcPr>
            <w:tcW w:w="925" w:type="pct"/>
            <w:vAlign w:val="center"/>
          </w:tcPr>
          <w:p w:rsidR="0043638C" w:rsidRDefault="00E67C5B">
            <w:pPr>
              <w:jc w:val="left"/>
              <w:rPr>
                <w:rFonts w:ascii="宋体" w:eastAsia="宋体" w:hAnsi="宋体"/>
                <w:kern w:val="0"/>
                <w:szCs w:val="21"/>
              </w:rPr>
            </w:pPr>
            <w:r>
              <w:rPr>
                <w:rFonts w:ascii="宋体" w:eastAsia="宋体" w:hAnsi="宋体"/>
                <w:kern w:val="0"/>
                <w:szCs w:val="21"/>
              </w:rPr>
              <w:t>交通运输部科学研究院</w:t>
            </w:r>
          </w:p>
        </w:tc>
      </w:tr>
      <w:tr w:rsidR="0043638C">
        <w:trPr>
          <w:cantSplit/>
          <w:trHeight w:val="567"/>
        </w:trPr>
        <w:tc>
          <w:tcPr>
            <w:tcW w:w="203"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bCs/>
                <w:kern w:val="0"/>
                <w:szCs w:val="21"/>
              </w:rPr>
              <w:t>5</w:t>
            </w:r>
          </w:p>
        </w:tc>
        <w:tc>
          <w:tcPr>
            <w:tcW w:w="451" w:type="pct"/>
            <w:vAlign w:val="center"/>
          </w:tcPr>
          <w:p w:rsidR="0043638C" w:rsidRDefault="00E67C5B">
            <w:pPr>
              <w:jc w:val="center"/>
              <w:rPr>
                <w:rFonts w:ascii="宋体" w:eastAsia="宋体" w:hAnsi="宋体" w:cs="Times New Roman"/>
                <w:kern w:val="0"/>
                <w:szCs w:val="21"/>
              </w:rPr>
            </w:pPr>
            <w:r>
              <w:rPr>
                <w:rFonts w:ascii="宋体" w:eastAsia="宋体" w:hAnsi="宋体" w:hint="eastAsia"/>
                <w:kern w:val="0"/>
                <w:szCs w:val="21"/>
              </w:rPr>
              <w:t>JJG 2024-05</w:t>
            </w:r>
          </w:p>
        </w:tc>
        <w:tc>
          <w:tcPr>
            <w:tcW w:w="488" w:type="pct"/>
            <w:vAlign w:val="center"/>
          </w:tcPr>
          <w:p w:rsidR="0043638C" w:rsidRDefault="00E67C5B">
            <w:pPr>
              <w:jc w:val="left"/>
              <w:rPr>
                <w:rFonts w:ascii="宋体" w:eastAsia="宋体" w:hAnsi="宋体"/>
                <w:kern w:val="0"/>
                <w:szCs w:val="21"/>
              </w:rPr>
            </w:pPr>
            <w:r>
              <w:rPr>
                <w:rFonts w:ascii="宋体" w:eastAsia="宋体" w:hAnsi="宋体"/>
                <w:kern w:val="0"/>
                <w:szCs w:val="21"/>
              </w:rPr>
              <w:t>港口机械</w:t>
            </w:r>
            <w:r>
              <w:rPr>
                <w:rFonts w:ascii="宋体" w:eastAsia="宋体" w:hAnsi="宋体"/>
                <w:kern w:val="0"/>
                <w:szCs w:val="21"/>
              </w:rPr>
              <w:t xml:space="preserve"> </w:t>
            </w:r>
            <w:r>
              <w:rPr>
                <w:rFonts w:ascii="宋体" w:eastAsia="宋体" w:hAnsi="宋体"/>
                <w:kern w:val="0"/>
                <w:szCs w:val="21"/>
              </w:rPr>
              <w:t xml:space="preserve"> </w:t>
            </w:r>
            <w:r>
              <w:rPr>
                <w:rFonts w:ascii="宋体" w:eastAsia="宋体" w:hAnsi="宋体"/>
                <w:kern w:val="0"/>
                <w:szCs w:val="21"/>
              </w:rPr>
              <w:t>重锤式角度检测仪</w:t>
            </w:r>
          </w:p>
        </w:tc>
        <w:tc>
          <w:tcPr>
            <w:tcW w:w="1386" w:type="pct"/>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拟规定港口机械重锤式角度检测仪的概述、计量性能要求、通用技术要求、计量器具控制等。</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适用于港口机械重锤式角度检测仪的首次检定、后续检定和使用中检查。</w:t>
            </w:r>
          </w:p>
        </w:tc>
        <w:tc>
          <w:tcPr>
            <w:tcW w:w="235"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375" w:type="pct"/>
            <w:vAlign w:val="center"/>
          </w:tcPr>
          <w:p w:rsidR="0043638C" w:rsidRDefault="0043638C">
            <w:pPr>
              <w:jc w:val="center"/>
              <w:rPr>
                <w:rFonts w:ascii="宋体" w:eastAsia="宋体" w:hAnsi="宋体" w:cs="Times New Roman"/>
                <w:bCs/>
                <w:kern w:val="0"/>
                <w:szCs w:val="21"/>
              </w:rPr>
            </w:pPr>
          </w:p>
        </w:tc>
        <w:tc>
          <w:tcPr>
            <w:tcW w:w="375"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2</w:t>
            </w:r>
          </w:p>
        </w:tc>
        <w:tc>
          <w:tcPr>
            <w:tcW w:w="562"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水运计量委员会</w:t>
            </w:r>
          </w:p>
        </w:tc>
        <w:tc>
          <w:tcPr>
            <w:tcW w:w="925" w:type="pct"/>
            <w:vAlign w:val="center"/>
          </w:tcPr>
          <w:p w:rsidR="0043638C" w:rsidRDefault="00E67C5B">
            <w:pPr>
              <w:jc w:val="left"/>
              <w:rPr>
                <w:rFonts w:ascii="宋体" w:eastAsia="宋体" w:hAnsi="宋体"/>
                <w:kern w:val="0"/>
                <w:szCs w:val="21"/>
              </w:rPr>
            </w:pPr>
            <w:r>
              <w:rPr>
                <w:rFonts w:ascii="宋体" w:eastAsia="宋体" w:hAnsi="宋体"/>
                <w:kern w:val="0"/>
                <w:szCs w:val="21"/>
              </w:rPr>
              <w:t>交通运输部天津水运工程科学研究所、交通运输部水运科学研究所、苏交科集团股份有限公司、宁波市计量测试研究院、北京锐科环宇科技有限公司</w:t>
            </w:r>
          </w:p>
        </w:tc>
      </w:tr>
      <w:tr w:rsidR="0043638C">
        <w:trPr>
          <w:cantSplit/>
          <w:trHeight w:val="567"/>
        </w:trPr>
        <w:tc>
          <w:tcPr>
            <w:tcW w:w="203"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lastRenderedPageBreak/>
              <w:t>6</w:t>
            </w:r>
          </w:p>
        </w:tc>
        <w:tc>
          <w:tcPr>
            <w:tcW w:w="451" w:type="pct"/>
            <w:vAlign w:val="center"/>
          </w:tcPr>
          <w:p w:rsidR="0043638C" w:rsidRDefault="00E67C5B">
            <w:pPr>
              <w:jc w:val="center"/>
              <w:rPr>
                <w:rFonts w:ascii="宋体" w:eastAsia="宋体" w:hAnsi="宋体"/>
                <w:kern w:val="0"/>
                <w:szCs w:val="21"/>
              </w:rPr>
            </w:pPr>
            <w:r>
              <w:rPr>
                <w:rFonts w:ascii="宋体" w:eastAsia="宋体" w:hAnsi="宋体" w:hint="eastAsia"/>
                <w:kern w:val="0"/>
                <w:szCs w:val="21"/>
              </w:rPr>
              <w:t>JJG 2024-06</w:t>
            </w:r>
          </w:p>
        </w:tc>
        <w:tc>
          <w:tcPr>
            <w:tcW w:w="488" w:type="pct"/>
            <w:vAlign w:val="center"/>
          </w:tcPr>
          <w:p w:rsidR="0043638C" w:rsidRDefault="00E67C5B">
            <w:pPr>
              <w:jc w:val="left"/>
              <w:rPr>
                <w:rFonts w:ascii="宋体" w:eastAsia="宋体" w:hAnsi="宋体"/>
                <w:kern w:val="0"/>
                <w:szCs w:val="21"/>
              </w:rPr>
            </w:pPr>
            <w:r>
              <w:rPr>
                <w:rFonts w:ascii="宋体" w:eastAsia="宋体" w:hAnsi="宋体"/>
                <w:kern w:val="0"/>
                <w:szCs w:val="21"/>
              </w:rPr>
              <w:t>混凝土电通量测定仪</w:t>
            </w:r>
          </w:p>
        </w:tc>
        <w:tc>
          <w:tcPr>
            <w:tcW w:w="1386" w:type="pct"/>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拟规定混凝土电通量测定仪的概述、计量性能要求、通用技术要求、计量器具控制等。</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适用于混凝土电通量测定仪的首次检定、后续检定和使用中检查。</w:t>
            </w:r>
          </w:p>
        </w:tc>
        <w:tc>
          <w:tcPr>
            <w:tcW w:w="235"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kern w:val="0"/>
                <w:szCs w:val="21"/>
              </w:rPr>
              <w:t>制定</w:t>
            </w:r>
          </w:p>
        </w:tc>
        <w:tc>
          <w:tcPr>
            <w:tcW w:w="375" w:type="pct"/>
            <w:vAlign w:val="center"/>
          </w:tcPr>
          <w:p w:rsidR="0043638C" w:rsidRDefault="0043638C">
            <w:pPr>
              <w:jc w:val="center"/>
              <w:rPr>
                <w:rFonts w:ascii="宋体" w:eastAsia="宋体" w:hAnsi="宋体" w:cs="Times New Roman"/>
                <w:bCs/>
                <w:kern w:val="0"/>
                <w:szCs w:val="21"/>
              </w:rPr>
            </w:pPr>
          </w:p>
        </w:tc>
        <w:tc>
          <w:tcPr>
            <w:tcW w:w="375"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kern w:val="0"/>
                <w:szCs w:val="21"/>
              </w:rPr>
              <w:t>12</w:t>
            </w:r>
          </w:p>
        </w:tc>
        <w:tc>
          <w:tcPr>
            <w:tcW w:w="562"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水运计量委员会</w:t>
            </w:r>
          </w:p>
        </w:tc>
        <w:tc>
          <w:tcPr>
            <w:tcW w:w="925" w:type="pct"/>
            <w:vAlign w:val="center"/>
          </w:tcPr>
          <w:p w:rsidR="0043638C" w:rsidRDefault="00E67C5B">
            <w:pPr>
              <w:jc w:val="left"/>
              <w:rPr>
                <w:rFonts w:ascii="宋体" w:eastAsia="宋体" w:hAnsi="宋体"/>
                <w:kern w:val="0"/>
                <w:szCs w:val="21"/>
              </w:rPr>
            </w:pPr>
            <w:r>
              <w:rPr>
                <w:rFonts w:ascii="宋体" w:eastAsia="宋体" w:hAnsi="宋体"/>
                <w:kern w:val="0"/>
                <w:szCs w:val="21"/>
              </w:rPr>
              <w:t>交通运输部天津水运工程科学研究所、江西省交通工程质量监督站试验检测中心、青海省交通检测有限公司、厦门合诚工程检测有限公司</w:t>
            </w:r>
          </w:p>
        </w:tc>
      </w:tr>
      <w:tr w:rsidR="0043638C">
        <w:trPr>
          <w:cantSplit/>
          <w:trHeight w:val="567"/>
        </w:trPr>
        <w:tc>
          <w:tcPr>
            <w:tcW w:w="203"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bCs/>
                <w:kern w:val="0"/>
                <w:szCs w:val="21"/>
              </w:rPr>
              <w:t>7</w:t>
            </w:r>
          </w:p>
        </w:tc>
        <w:tc>
          <w:tcPr>
            <w:tcW w:w="451" w:type="pct"/>
            <w:vAlign w:val="center"/>
          </w:tcPr>
          <w:p w:rsidR="0043638C" w:rsidRDefault="00E67C5B">
            <w:pPr>
              <w:jc w:val="center"/>
              <w:rPr>
                <w:rFonts w:ascii="宋体" w:eastAsia="宋体" w:hAnsi="宋体"/>
                <w:kern w:val="0"/>
                <w:szCs w:val="21"/>
              </w:rPr>
            </w:pPr>
            <w:r>
              <w:rPr>
                <w:rFonts w:ascii="宋体" w:eastAsia="宋体" w:hAnsi="宋体" w:hint="eastAsia"/>
                <w:kern w:val="0"/>
                <w:szCs w:val="21"/>
              </w:rPr>
              <w:t>JJG 2024-07</w:t>
            </w:r>
          </w:p>
        </w:tc>
        <w:tc>
          <w:tcPr>
            <w:tcW w:w="488" w:type="pct"/>
            <w:vAlign w:val="center"/>
          </w:tcPr>
          <w:p w:rsidR="0043638C" w:rsidRDefault="00E67C5B">
            <w:pPr>
              <w:rPr>
                <w:rFonts w:ascii="宋体" w:eastAsia="宋体" w:hAnsi="宋体" w:cs="Times New Roman"/>
                <w:kern w:val="0"/>
                <w:szCs w:val="21"/>
              </w:rPr>
            </w:pPr>
            <w:r>
              <w:rPr>
                <w:rFonts w:ascii="宋体" w:eastAsia="宋体" w:hAnsi="宋体"/>
                <w:kern w:val="0"/>
                <w:szCs w:val="21"/>
              </w:rPr>
              <w:t>原位自校低频振动传感器</w:t>
            </w:r>
          </w:p>
        </w:tc>
        <w:tc>
          <w:tcPr>
            <w:tcW w:w="1386" w:type="pct"/>
            <w:vAlign w:val="center"/>
          </w:tcPr>
          <w:p w:rsidR="0043638C" w:rsidRDefault="00E67C5B">
            <w:pPr>
              <w:rPr>
                <w:rFonts w:ascii="宋体" w:eastAsia="宋体" w:hAnsi="宋体" w:cs="Times New Roman"/>
                <w:kern w:val="0"/>
                <w:szCs w:val="21"/>
              </w:rPr>
            </w:pPr>
            <w:r>
              <w:rPr>
                <w:rFonts w:ascii="宋体" w:eastAsia="宋体" w:hAnsi="宋体" w:cs="Times New Roman"/>
                <w:kern w:val="0"/>
                <w:szCs w:val="21"/>
              </w:rPr>
              <w:t>拟规定原位自校低频振动传感器的计量性能要求、通用技术要求、计量器具控制等。</w:t>
            </w:r>
          </w:p>
          <w:p w:rsidR="0043638C" w:rsidRDefault="00E67C5B">
            <w:pPr>
              <w:rPr>
                <w:rFonts w:ascii="宋体" w:eastAsia="宋体" w:hAnsi="宋体" w:cs="Times New Roman"/>
                <w:kern w:val="0"/>
                <w:szCs w:val="21"/>
              </w:rPr>
            </w:pPr>
            <w:r>
              <w:rPr>
                <w:rFonts w:ascii="宋体" w:eastAsia="宋体" w:hAnsi="宋体" w:cs="Times New Roman"/>
                <w:kern w:val="0"/>
                <w:szCs w:val="21"/>
              </w:rPr>
              <w:t>适用于原位自校低频振动传感器的首次检定、后续检定和使用中检查。</w:t>
            </w:r>
          </w:p>
        </w:tc>
        <w:tc>
          <w:tcPr>
            <w:tcW w:w="235"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制定</w:t>
            </w:r>
          </w:p>
        </w:tc>
        <w:tc>
          <w:tcPr>
            <w:tcW w:w="375" w:type="pct"/>
            <w:vAlign w:val="center"/>
          </w:tcPr>
          <w:p w:rsidR="0043638C" w:rsidRDefault="0043638C">
            <w:pPr>
              <w:jc w:val="center"/>
              <w:rPr>
                <w:rFonts w:ascii="宋体" w:eastAsia="宋体" w:hAnsi="宋体" w:cs="Times New Roman"/>
                <w:bCs/>
                <w:kern w:val="0"/>
                <w:szCs w:val="21"/>
              </w:rPr>
            </w:pPr>
          </w:p>
        </w:tc>
        <w:tc>
          <w:tcPr>
            <w:tcW w:w="375" w:type="pct"/>
            <w:vAlign w:val="center"/>
          </w:tcPr>
          <w:p w:rsidR="0043638C" w:rsidRDefault="00E67C5B">
            <w:pPr>
              <w:jc w:val="center"/>
              <w:rPr>
                <w:rFonts w:ascii="宋体" w:eastAsia="宋体" w:hAnsi="宋体" w:cs="Times New Roman"/>
                <w:kern w:val="0"/>
                <w:szCs w:val="21"/>
              </w:rPr>
            </w:pPr>
            <w:r>
              <w:rPr>
                <w:rFonts w:ascii="宋体" w:eastAsia="宋体" w:hAnsi="宋体" w:cs="Times New Roman" w:hint="eastAsia"/>
                <w:kern w:val="0"/>
                <w:szCs w:val="21"/>
              </w:rPr>
              <w:t>12</w:t>
            </w:r>
          </w:p>
        </w:tc>
        <w:tc>
          <w:tcPr>
            <w:tcW w:w="562" w:type="pct"/>
            <w:vAlign w:val="center"/>
          </w:tcPr>
          <w:p w:rsidR="0043638C" w:rsidRDefault="00E67C5B">
            <w:pPr>
              <w:jc w:val="center"/>
              <w:rPr>
                <w:rFonts w:ascii="宋体" w:eastAsia="宋体" w:hAnsi="宋体" w:cs="Times New Roman"/>
                <w:bCs/>
                <w:kern w:val="0"/>
                <w:szCs w:val="21"/>
              </w:rPr>
            </w:pPr>
            <w:r>
              <w:rPr>
                <w:rFonts w:ascii="宋体" w:eastAsia="宋体" w:hAnsi="宋体" w:cs="Times New Roman" w:hint="eastAsia"/>
                <w:kern w:val="0"/>
                <w:szCs w:val="21"/>
              </w:rPr>
              <w:t>水运计量委员会</w:t>
            </w:r>
          </w:p>
        </w:tc>
        <w:tc>
          <w:tcPr>
            <w:tcW w:w="925" w:type="pct"/>
            <w:vAlign w:val="center"/>
          </w:tcPr>
          <w:p w:rsidR="0043638C" w:rsidRDefault="00E67C5B">
            <w:pPr>
              <w:jc w:val="left"/>
              <w:rPr>
                <w:rFonts w:ascii="宋体" w:eastAsia="宋体" w:hAnsi="宋体"/>
                <w:kern w:val="0"/>
                <w:szCs w:val="21"/>
              </w:rPr>
            </w:pPr>
            <w:r>
              <w:rPr>
                <w:rFonts w:ascii="宋体" w:eastAsia="宋体" w:hAnsi="宋体"/>
                <w:kern w:val="0"/>
                <w:szCs w:val="21"/>
              </w:rPr>
              <w:t>交通运输部天津水运工程科学研究所、中国计量科学研究院、东华测试技术股份有限公司</w:t>
            </w:r>
          </w:p>
        </w:tc>
      </w:tr>
    </w:tbl>
    <w:p w:rsidR="0043638C" w:rsidRDefault="0043638C">
      <w:pPr>
        <w:rPr>
          <w:rFonts w:ascii="仿宋_GB2312" w:eastAsia="仿宋_GB2312" w:hAnsi="Times New Roman"/>
          <w:sz w:val="30"/>
          <w:szCs w:val="30"/>
        </w:rPr>
      </w:pPr>
    </w:p>
    <w:p w:rsidR="0043638C" w:rsidRDefault="0043638C">
      <w:pPr>
        <w:widowControl/>
        <w:jc w:val="left"/>
        <w:rPr>
          <w:rFonts w:ascii="仿宋_GB2312" w:eastAsia="仿宋_GB2312" w:hAnsi="Times New Roman"/>
          <w:sz w:val="30"/>
          <w:szCs w:val="30"/>
        </w:rPr>
        <w:sectPr w:rsidR="0043638C">
          <w:headerReference w:type="default" r:id="rId8"/>
          <w:footerReference w:type="default" r:id="rId9"/>
          <w:pgSz w:w="16838" w:h="11906" w:orient="landscape"/>
          <w:pgMar w:top="850" w:right="851" w:bottom="850" w:left="851" w:header="851" w:footer="992" w:gutter="0"/>
          <w:cols w:space="0"/>
          <w:docGrid w:linePitch="326"/>
        </w:sectPr>
      </w:pPr>
    </w:p>
    <w:p w:rsidR="0043638C" w:rsidRDefault="0043638C">
      <w:pPr>
        <w:widowControl/>
        <w:jc w:val="left"/>
        <w:rPr>
          <w:rFonts w:ascii="仿宋_GB2312" w:eastAsia="仿宋_GB2312" w:hAnsi="Times New Roman"/>
          <w:sz w:val="30"/>
          <w:szCs w:val="30"/>
        </w:rPr>
      </w:pPr>
    </w:p>
    <w:p w:rsidR="0043638C" w:rsidRDefault="00E67C5B">
      <w:pPr>
        <w:rPr>
          <w:rFonts w:ascii="仿宋_GB2312" w:eastAsia="仿宋_GB2312" w:hAnsi="Times New Roman"/>
          <w:sz w:val="30"/>
          <w:szCs w:val="30"/>
        </w:rPr>
      </w:pPr>
      <w:r>
        <w:rPr>
          <w:rFonts w:ascii="仿宋_GB2312" w:eastAsia="仿宋_GB2312" w:hAnsi="Times New Roman" w:hint="eastAsia"/>
          <w:sz w:val="30"/>
          <w:szCs w:val="30"/>
        </w:rPr>
        <w:t>注：技术归口单位列仅列出了简称，其全称如下所示。</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846"/>
        <w:gridCol w:w="2977"/>
        <w:gridCol w:w="6257"/>
      </w:tblGrid>
      <w:tr w:rsidR="0043638C">
        <w:trPr>
          <w:trHeight w:val="364"/>
          <w:tblHeader/>
        </w:trPr>
        <w:tc>
          <w:tcPr>
            <w:tcW w:w="846" w:type="dxa"/>
            <w:vAlign w:val="center"/>
          </w:tcPr>
          <w:p w:rsidR="0043638C" w:rsidRDefault="00E67C5B">
            <w:pPr>
              <w:autoSpaceDN w:val="0"/>
              <w:spacing w:line="400" w:lineRule="exact"/>
              <w:jc w:val="center"/>
              <w:textAlignment w:val="center"/>
              <w:rPr>
                <w:rFonts w:ascii="仿宋_GB2312" w:eastAsia="仿宋_GB2312"/>
                <w:b/>
                <w:sz w:val="24"/>
              </w:rPr>
            </w:pPr>
            <w:r>
              <w:rPr>
                <w:rFonts w:ascii="仿宋_GB2312" w:eastAsia="仿宋_GB2312" w:hint="eastAsia"/>
                <w:b/>
                <w:sz w:val="24"/>
              </w:rPr>
              <w:t>序号</w:t>
            </w:r>
          </w:p>
        </w:tc>
        <w:tc>
          <w:tcPr>
            <w:tcW w:w="2977" w:type="dxa"/>
            <w:vAlign w:val="center"/>
          </w:tcPr>
          <w:p w:rsidR="0043638C" w:rsidRDefault="00E67C5B">
            <w:pPr>
              <w:autoSpaceDN w:val="0"/>
              <w:spacing w:line="400" w:lineRule="exact"/>
              <w:jc w:val="center"/>
              <w:textAlignment w:val="center"/>
              <w:rPr>
                <w:rFonts w:ascii="仿宋_GB2312" w:eastAsia="仿宋_GB2312"/>
                <w:b/>
                <w:sz w:val="24"/>
              </w:rPr>
            </w:pPr>
            <w:r>
              <w:rPr>
                <w:rFonts w:ascii="仿宋_GB2312" w:eastAsia="仿宋_GB2312" w:hint="eastAsia"/>
                <w:b/>
                <w:sz w:val="24"/>
              </w:rPr>
              <w:t>简称</w:t>
            </w:r>
          </w:p>
        </w:tc>
        <w:tc>
          <w:tcPr>
            <w:tcW w:w="6257" w:type="dxa"/>
            <w:vAlign w:val="center"/>
          </w:tcPr>
          <w:p w:rsidR="0043638C" w:rsidRDefault="00E67C5B">
            <w:pPr>
              <w:autoSpaceDN w:val="0"/>
              <w:spacing w:line="400" w:lineRule="exact"/>
              <w:jc w:val="center"/>
              <w:textAlignment w:val="center"/>
              <w:rPr>
                <w:rFonts w:ascii="仿宋_GB2312" w:eastAsia="仿宋_GB2312"/>
                <w:b/>
                <w:sz w:val="24"/>
              </w:rPr>
            </w:pPr>
            <w:r>
              <w:rPr>
                <w:rFonts w:ascii="仿宋_GB2312" w:eastAsia="仿宋_GB2312" w:hint="eastAsia"/>
                <w:b/>
                <w:sz w:val="24"/>
              </w:rPr>
              <w:t>全称</w:t>
            </w:r>
          </w:p>
        </w:tc>
      </w:tr>
      <w:tr w:rsidR="0043638C">
        <w:trPr>
          <w:trHeight w:val="424"/>
        </w:trPr>
        <w:tc>
          <w:tcPr>
            <w:tcW w:w="846"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sz w:val="24"/>
              </w:rPr>
              <w:t>1</w:t>
            </w:r>
          </w:p>
        </w:tc>
        <w:tc>
          <w:tcPr>
            <w:tcW w:w="2977"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综合运输标委会</w:t>
            </w:r>
          </w:p>
        </w:tc>
        <w:tc>
          <w:tcPr>
            <w:tcW w:w="6257" w:type="dxa"/>
          </w:tcPr>
          <w:p w:rsidR="0043638C" w:rsidRDefault="00E67C5B">
            <w:pPr>
              <w:autoSpaceDN w:val="0"/>
              <w:spacing w:line="400" w:lineRule="exact"/>
              <w:ind w:firstLineChars="50" w:firstLine="120"/>
              <w:jc w:val="center"/>
              <w:textAlignment w:val="center"/>
              <w:rPr>
                <w:rFonts w:ascii="仿宋_GB2312" w:eastAsia="仿宋_GB2312"/>
                <w:sz w:val="24"/>
              </w:rPr>
            </w:pPr>
            <w:r>
              <w:rPr>
                <w:rFonts w:ascii="仿宋_GB2312" w:eastAsia="仿宋_GB2312" w:hint="eastAsia"/>
                <w:sz w:val="24"/>
              </w:rPr>
              <w:t>全国综合交通运输标准化技术委员会</w:t>
            </w:r>
          </w:p>
        </w:tc>
      </w:tr>
      <w:tr w:rsidR="0043638C">
        <w:trPr>
          <w:trHeight w:val="424"/>
        </w:trPr>
        <w:tc>
          <w:tcPr>
            <w:tcW w:w="846"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sz w:val="24"/>
              </w:rPr>
              <w:t>2</w:t>
            </w:r>
          </w:p>
        </w:tc>
        <w:tc>
          <w:tcPr>
            <w:tcW w:w="2977"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内河船与水路运输标委会</w:t>
            </w:r>
          </w:p>
        </w:tc>
        <w:tc>
          <w:tcPr>
            <w:tcW w:w="6257" w:type="dxa"/>
            <w:vAlign w:val="center"/>
          </w:tcPr>
          <w:p w:rsidR="0043638C" w:rsidRDefault="00E67C5B">
            <w:pPr>
              <w:autoSpaceDN w:val="0"/>
              <w:spacing w:line="400" w:lineRule="exact"/>
              <w:ind w:firstLineChars="50" w:firstLine="120"/>
              <w:jc w:val="center"/>
              <w:textAlignment w:val="center"/>
              <w:rPr>
                <w:rFonts w:ascii="仿宋_GB2312" w:eastAsia="仿宋_GB2312"/>
                <w:sz w:val="24"/>
              </w:rPr>
            </w:pPr>
            <w:r>
              <w:rPr>
                <w:rFonts w:ascii="仿宋_GB2312" w:eastAsia="仿宋_GB2312" w:hint="eastAsia"/>
                <w:sz w:val="24"/>
              </w:rPr>
              <w:t>全国内河船与水路运输标准化技术委员会</w:t>
            </w:r>
          </w:p>
        </w:tc>
      </w:tr>
      <w:tr w:rsidR="0043638C">
        <w:trPr>
          <w:trHeight w:val="424"/>
        </w:trPr>
        <w:tc>
          <w:tcPr>
            <w:tcW w:w="846"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3</w:t>
            </w:r>
          </w:p>
        </w:tc>
        <w:tc>
          <w:tcPr>
            <w:tcW w:w="2977"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汽车维修标委会</w:t>
            </w:r>
          </w:p>
        </w:tc>
        <w:tc>
          <w:tcPr>
            <w:tcW w:w="6257" w:type="dxa"/>
            <w:vAlign w:val="center"/>
          </w:tcPr>
          <w:p w:rsidR="0043638C" w:rsidRDefault="00E67C5B">
            <w:pPr>
              <w:autoSpaceDN w:val="0"/>
              <w:spacing w:line="400" w:lineRule="exact"/>
              <w:ind w:firstLineChars="50" w:firstLine="120"/>
              <w:jc w:val="center"/>
              <w:textAlignment w:val="center"/>
              <w:rPr>
                <w:rFonts w:ascii="仿宋_GB2312" w:eastAsia="仿宋_GB2312"/>
                <w:sz w:val="24"/>
              </w:rPr>
            </w:pPr>
            <w:r>
              <w:rPr>
                <w:rFonts w:ascii="仿宋_GB2312" w:eastAsia="仿宋_GB2312" w:hint="eastAsia"/>
                <w:sz w:val="24"/>
              </w:rPr>
              <w:t>全国汽车维修标准化技术委员会</w:t>
            </w:r>
          </w:p>
        </w:tc>
      </w:tr>
      <w:tr w:rsidR="0043638C">
        <w:trPr>
          <w:trHeight w:val="409"/>
        </w:trPr>
        <w:tc>
          <w:tcPr>
            <w:tcW w:w="846"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4</w:t>
            </w:r>
          </w:p>
        </w:tc>
        <w:tc>
          <w:tcPr>
            <w:tcW w:w="2977"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智能运输标委会</w:t>
            </w:r>
          </w:p>
        </w:tc>
        <w:tc>
          <w:tcPr>
            <w:tcW w:w="6257" w:type="dxa"/>
            <w:vAlign w:val="center"/>
          </w:tcPr>
          <w:p w:rsidR="0043638C" w:rsidRDefault="00E67C5B">
            <w:pPr>
              <w:autoSpaceDN w:val="0"/>
              <w:spacing w:line="400" w:lineRule="exact"/>
              <w:ind w:firstLineChars="50" w:firstLine="120"/>
              <w:jc w:val="center"/>
              <w:textAlignment w:val="center"/>
              <w:rPr>
                <w:rFonts w:ascii="仿宋_GB2312" w:eastAsia="仿宋_GB2312"/>
                <w:sz w:val="24"/>
              </w:rPr>
            </w:pPr>
            <w:r>
              <w:rPr>
                <w:rFonts w:ascii="仿宋_GB2312" w:eastAsia="仿宋_GB2312" w:hint="eastAsia"/>
                <w:sz w:val="24"/>
              </w:rPr>
              <w:t>全国智能运输系统标准化技术委员会</w:t>
            </w:r>
          </w:p>
        </w:tc>
      </w:tr>
      <w:tr w:rsidR="0043638C">
        <w:trPr>
          <w:trHeight w:val="409"/>
        </w:trPr>
        <w:tc>
          <w:tcPr>
            <w:tcW w:w="846"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5</w:t>
            </w:r>
          </w:p>
        </w:tc>
        <w:tc>
          <w:tcPr>
            <w:tcW w:w="2977"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港口标委会</w:t>
            </w:r>
          </w:p>
        </w:tc>
        <w:tc>
          <w:tcPr>
            <w:tcW w:w="6257" w:type="dxa"/>
            <w:vAlign w:val="center"/>
          </w:tcPr>
          <w:p w:rsidR="0043638C" w:rsidRDefault="00E67C5B">
            <w:pPr>
              <w:autoSpaceDN w:val="0"/>
              <w:spacing w:line="400" w:lineRule="exact"/>
              <w:ind w:firstLineChars="50" w:firstLine="120"/>
              <w:jc w:val="center"/>
              <w:textAlignment w:val="center"/>
              <w:rPr>
                <w:rFonts w:ascii="仿宋_GB2312" w:eastAsia="仿宋_GB2312"/>
                <w:sz w:val="24"/>
              </w:rPr>
            </w:pPr>
            <w:r>
              <w:rPr>
                <w:rFonts w:ascii="仿宋_GB2312" w:eastAsia="仿宋_GB2312" w:hint="eastAsia"/>
                <w:sz w:val="24"/>
              </w:rPr>
              <w:t>全国港口标准化技术委员会</w:t>
            </w:r>
          </w:p>
        </w:tc>
      </w:tr>
      <w:tr w:rsidR="0043638C">
        <w:trPr>
          <w:trHeight w:val="379"/>
        </w:trPr>
        <w:tc>
          <w:tcPr>
            <w:tcW w:w="846"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6</w:t>
            </w:r>
          </w:p>
        </w:tc>
        <w:tc>
          <w:tcPr>
            <w:tcW w:w="2977"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臂架起重机分委会</w:t>
            </w:r>
          </w:p>
        </w:tc>
        <w:tc>
          <w:tcPr>
            <w:tcW w:w="6257" w:type="dxa"/>
            <w:vAlign w:val="center"/>
          </w:tcPr>
          <w:p w:rsidR="0043638C" w:rsidRDefault="00E67C5B">
            <w:pPr>
              <w:autoSpaceDN w:val="0"/>
              <w:spacing w:line="400" w:lineRule="exact"/>
              <w:ind w:firstLineChars="50" w:firstLine="120"/>
              <w:jc w:val="center"/>
              <w:textAlignment w:val="center"/>
              <w:rPr>
                <w:rFonts w:ascii="仿宋_GB2312" w:eastAsia="仿宋_GB2312"/>
                <w:sz w:val="24"/>
              </w:rPr>
            </w:pPr>
            <w:r>
              <w:rPr>
                <w:rFonts w:ascii="仿宋_GB2312" w:eastAsia="仿宋_GB2312" w:hint="eastAsia"/>
                <w:sz w:val="24"/>
              </w:rPr>
              <w:t>全国起重机械标准化技术委员会臂架起重机分技术委员会</w:t>
            </w:r>
          </w:p>
        </w:tc>
      </w:tr>
      <w:tr w:rsidR="0043638C">
        <w:trPr>
          <w:trHeight w:val="394"/>
        </w:trPr>
        <w:tc>
          <w:tcPr>
            <w:tcW w:w="846"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7</w:t>
            </w:r>
          </w:p>
        </w:tc>
        <w:tc>
          <w:tcPr>
            <w:tcW w:w="2977"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航测标委会</w:t>
            </w:r>
          </w:p>
        </w:tc>
        <w:tc>
          <w:tcPr>
            <w:tcW w:w="6257" w:type="dxa"/>
            <w:vAlign w:val="center"/>
          </w:tcPr>
          <w:p w:rsidR="0043638C" w:rsidRDefault="00E67C5B">
            <w:pPr>
              <w:autoSpaceDN w:val="0"/>
              <w:spacing w:line="400" w:lineRule="exact"/>
              <w:ind w:firstLineChars="50" w:firstLine="120"/>
              <w:jc w:val="center"/>
              <w:textAlignment w:val="center"/>
              <w:rPr>
                <w:rFonts w:ascii="仿宋_GB2312" w:eastAsia="仿宋_GB2312"/>
                <w:sz w:val="24"/>
              </w:rPr>
            </w:pPr>
            <w:r>
              <w:rPr>
                <w:rFonts w:ascii="仿宋_GB2312" w:eastAsia="仿宋_GB2312" w:hint="eastAsia"/>
                <w:sz w:val="24"/>
              </w:rPr>
              <w:t>交通运输航测标准化技术委员会</w:t>
            </w:r>
          </w:p>
        </w:tc>
      </w:tr>
      <w:tr w:rsidR="0043638C">
        <w:trPr>
          <w:trHeight w:val="394"/>
        </w:trPr>
        <w:tc>
          <w:tcPr>
            <w:tcW w:w="846"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8</w:t>
            </w:r>
          </w:p>
        </w:tc>
        <w:tc>
          <w:tcPr>
            <w:tcW w:w="2977"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信息通导标委会</w:t>
            </w:r>
          </w:p>
        </w:tc>
        <w:tc>
          <w:tcPr>
            <w:tcW w:w="6257" w:type="dxa"/>
            <w:vAlign w:val="center"/>
          </w:tcPr>
          <w:p w:rsidR="0043638C" w:rsidRDefault="00E67C5B">
            <w:pPr>
              <w:autoSpaceDN w:val="0"/>
              <w:spacing w:line="400" w:lineRule="exact"/>
              <w:ind w:firstLineChars="50" w:firstLine="120"/>
              <w:jc w:val="center"/>
              <w:textAlignment w:val="center"/>
              <w:rPr>
                <w:rFonts w:ascii="仿宋_GB2312" w:eastAsia="仿宋_GB2312"/>
                <w:sz w:val="24"/>
              </w:rPr>
            </w:pPr>
            <w:r>
              <w:rPr>
                <w:rFonts w:ascii="仿宋_GB2312" w:eastAsia="仿宋_GB2312" w:hint="eastAsia"/>
                <w:sz w:val="24"/>
              </w:rPr>
              <w:t>交通运输信息通信及导航标准化技术委员会</w:t>
            </w:r>
          </w:p>
        </w:tc>
      </w:tr>
      <w:tr w:rsidR="0043638C">
        <w:trPr>
          <w:trHeight w:val="424"/>
        </w:trPr>
        <w:tc>
          <w:tcPr>
            <w:tcW w:w="846"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9</w:t>
            </w:r>
          </w:p>
        </w:tc>
        <w:tc>
          <w:tcPr>
            <w:tcW w:w="2977"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环境保护标委会</w:t>
            </w:r>
          </w:p>
        </w:tc>
        <w:tc>
          <w:tcPr>
            <w:tcW w:w="6257" w:type="dxa"/>
            <w:vAlign w:val="center"/>
          </w:tcPr>
          <w:p w:rsidR="0043638C" w:rsidRDefault="00E67C5B">
            <w:pPr>
              <w:autoSpaceDN w:val="0"/>
              <w:spacing w:line="400" w:lineRule="exact"/>
              <w:ind w:firstLineChars="50" w:firstLine="120"/>
              <w:jc w:val="center"/>
              <w:textAlignment w:val="center"/>
              <w:rPr>
                <w:rFonts w:ascii="仿宋_GB2312" w:eastAsia="仿宋_GB2312"/>
                <w:sz w:val="24"/>
              </w:rPr>
            </w:pPr>
            <w:r>
              <w:rPr>
                <w:rFonts w:ascii="仿宋_GB2312" w:eastAsia="仿宋_GB2312" w:hint="eastAsia"/>
                <w:sz w:val="24"/>
              </w:rPr>
              <w:t>交通运输环境保护标准化技术委员会</w:t>
            </w:r>
          </w:p>
        </w:tc>
      </w:tr>
      <w:tr w:rsidR="0043638C">
        <w:trPr>
          <w:trHeight w:val="394"/>
        </w:trPr>
        <w:tc>
          <w:tcPr>
            <w:tcW w:w="846"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10</w:t>
            </w:r>
          </w:p>
        </w:tc>
        <w:tc>
          <w:tcPr>
            <w:tcW w:w="2977"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公路计量委员会</w:t>
            </w:r>
          </w:p>
        </w:tc>
        <w:tc>
          <w:tcPr>
            <w:tcW w:w="6257" w:type="dxa"/>
            <w:vAlign w:val="center"/>
          </w:tcPr>
          <w:p w:rsidR="0043638C" w:rsidRDefault="00E67C5B">
            <w:pPr>
              <w:autoSpaceDN w:val="0"/>
              <w:spacing w:line="400" w:lineRule="exact"/>
              <w:ind w:firstLineChars="50" w:firstLine="120"/>
              <w:jc w:val="center"/>
              <w:textAlignment w:val="center"/>
              <w:rPr>
                <w:rFonts w:ascii="仿宋_GB2312" w:eastAsia="仿宋_GB2312"/>
                <w:sz w:val="24"/>
              </w:rPr>
            </w:pPr>
            <w:r>
              <w:rPr>
                <w:rFonts w:ascii="仿宋_GB2312" w:eastAsia="仿宋_GB2312" w:hint="eastAsia"/>
                <w:sz w:val="24"/>
              </w:rPr>
              <w:t>全国公路专用计量器具计量技术委员会</w:t>
            </w:r>
          </w:p>
        </w:tc>
      </w:tr>
      <w:tr w:rsidR="0043638C">
        <w:trPr>
          <w:trHeight w:val="394"/>
        </w:trPr>
        <w:tc>
          <w:tcPr>
            <w:tcW w:w="846"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11</w:t>
            </w:r>
          </w:p>
        </w:tc>
        <w:tc>
          <w:tcPr>
            <w:tcW w:w="2977" w:type="dxa"/>
            <w:vAlign w:val="center"/>
          </w:tcPr>
          <w:p w:rsidR="0043638C" w:rsidRDefault="00E67C5B">
            <w:pPr>
              <w:autoSpaceDN w:val="0"/>
              <w:spacing w:line="400" w:lineRule="exact"/>
              <w:jc w:val="center"/>
              <w:textAlignment w:val="center"/>
              <w:rPr>
                <w:rFonts w:ascii="仿宋_GB2312" w:eastAsia="仿宋_GB2312"/>
                <w:sz w:val="24"/>
              </w:rPr>
            </w:pPr>
            <w:r>
              <w:rPr>
                <w:rFonts w:ascii="仿宋_GB2312" w:eastAsia="仿宋_GB2312" w:hint="eastAsia"/>
                <w:sz w:val="24"/>
              </w:rPr>
              <w:t>水运计量委员会</w:t>
            </w:r>
          </w:p>
        </w:tc>
        <w:tc>
          <w:tcPr>
            <w:tcW w:w="6257" w:type="dxa"/>
            <w:vAlign w:val="center"/>
          </w:tcPr>
          <w:p w:rsidR="0043638C" w:rsidRDefault="00E67C5B">
            <w:pPr>
              <w:autoSpaceDN w:val="0"/>
              <w:spacing w:line="400" w:lineRule="exact"/>
              <w:ind w:firstLineChars="50" w:firstLine="120"/>
              <w:jc w:val="center"/>
              <w:textAlignment w:val="center"/>
              <w:rPr>
                <w:rFonts w:ascii="仿宋_GB2312" w:eastAsia="仿宋_GB2312"/>
                <w:sz w:val="24"/>
              </w:rPr>
            </w:pPr>
            <w:r>
              <w:rPr>
                <w:rFonts w:ascii="仿宋_GB2312" w:eastAsia="仿宋_GB2312" w:hint="eastAsia"/>
                <w:sz w:val="24"/>
              </w:rPr>
              <w:t>全国水运专用计量器具计量技术委员会</w:t>
            </w:r>
          </w:p>
        </w:tc>
      </w:tr>
    </w:tbl>
    <w:p w:rsidR="0043638C" w:rsidRDefault="0043638C">
      <w:pPr>
        <w:widowControl/>
        <w:jc w:val="left"/>
        <w:rPr>
          <w:rFonts w:ascii="Times New Roman" w:eastAsia="仿宋_GB2312" w:hAnsi="Times New Roman" w:cs="Times New Roman"/>
          <w:sz w:val="32"/>
          <w:szCs w:val="32"/>
        </w:rPr>
      </w:pPr>
    </w:p>
    <w:sectPr w:rsidR="0043638C">
      <w:pgSz w:w="11906" w:h="16838"/>
      <w:pgMar w:top="851" w:right="850" w:bottom="851" w:left="850" w:header="851" w:footer="992"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C5B" w:rsidRDefault="00E67C5B">
      <w:r>
        <w:separator/>
      </w:r>
    </w:p>
  </w:endnote>
  <w:endnote w:type="continuationSeparator" w:id="0">
    <w:p w:rsidR="00E67C5B" w:rsidRDefault="00E6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altName w:val="方正黑体_GBK"/>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w:altName w:val="华文仿宋"/>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764318"/>
    </w:sdtPr>
    <w:sdtEndPr/>
    <w:sdtContent>
      <w:p w:rsidR="0043638C" w:rsidRDefault="00E67C5B">
        <w:pPr>
          <w:pStyle w:val="a5"/>
          <w:jc w:val="center"/>
        </w:pPr>
        <w:r>
          <w:fldChar w:fldCharType="begin"/>
        </w:r>
        <w:r>
          <w:instrText>PAGE   \* MERGEFORMAT</w:instrText>
        </w:r>
        <w:r>
          <w:fldChar w:fldCharType="separate"/>
        </w:r>
        <w:r w:rsidR="005124F2" w:rsidRPr="005124F2">
          <w:rPr>
            <w:noProof/>
            <w:lang w:val="zh-CN"/>
          </w:rPr>
          <w:t>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C5B" w:rsidRDefault="00E67C5B">
      <w:r>
        <w:separator/>
      </w:r>
    </w:p>
  </w:footnote>
  <w:footnote w:type="continuationSeparator" w:id="0">
    <w:p w:rsidR="00E67C5B" w:rsidRDefault="00E67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38C" w:rsidRDefault="0043638C">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F3648"/>
    <w:multiLevelType w:val="multilevel"/>
    <w:tmpl w:val="351F3648"/>
    <w:lvl w:ilvl="0">
      <w:start w:val="1"/>
      <w:numFmt w:val="decimal"/>
      <w:lvlText w:val="%1"/>
      <w:lvlJc w:val="left"/>
      <w:pPr>
        <w:ind w:left="440" w:hanging="440"/>
      </w:pPr>
      <w:rPr>
        <w:rFonts w:eastAsia="微软雅黑"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zMjlmZWNmZWUxZTQxNjRkMGRiNzU4YWU0OTY1MDEifQ=="/>
  </w:docVars>
  <w:rsids>
    <w:rsidRoot w:val="005933E3"/>
    <w:rsid w:val="85D6BB07"/>
    <w:rsid w:val="8FEF33DB"/>
    <w:rsid w:val="9D6E8B7E"/>
    <w:rsid w:val="9F6EF53A"/>
    <w:rsid w:val="9FCF404A"/>
    <w:rsid w:val="A73E2A82"/>
    <w:rsid w:val="ABFB4751"/>
    <w:rsid w:val="ADBE81A3"/>
    <w:rsid w:val="AF4F9C80"/>
    <w:rsid w:val="AFFF4DE7"/>
    <w:rsid w:val="B3C67109"/>
    <w:rsid w:val="B4DE94EB"/>
    <w:rsid w:val="B5DEE6D8"/>
    <w:rsid w:val="BAFF195F"/>
    <w:rsid w:val="BEA5BE6D"/>
    <w:rsid w:val="BFBDB795"/>
    <w:rsid w:val="CBFB8B46"/>
    <w:rsid w:val="CDBF59B0"/>
    <w:rsid w:val="CFCF5B15"/>
    <w:rsid w:val="D5F787CE"/>
    <w:rsid w:val="D63D03E7"/>
    <w:rsid w:val="D773DB70"/>
    <w:rsid w:val="D7DFCBBB"/>
    <w:rsid w:val="D7FF57D5"/>
    <w:rsid w:val="DA661EE1"/>
    <w:rsid w:val="DBCDBF0B"/>
    <w:rsid w:val="DDED3058"/>
    <w:rsid w:val="DEBDB9CD"/>
    <w:rsid w:val="DEDFC572"/>
    <w:rsid w:val="DEE282FF"/>
    <w:rsid w:val="DEFD1C5C"/>
    <w:rsid w:val="DF999B77"/>
    <w:rsid w:val="DFDB958D"/>
    <w:rsid w:val="DFFF53EF"/>
    <w:rsid w:val="E4FEB457"/>
    <w:rsid w:val="E7FCAAFF"/>
    <w:rsid w:val="E7FF1738"/>
    <w:rsid w:val="EA7FC693"/>
    <w:rsid w:val="EBE7C443"/>
    <w:rsid w:val="EBFF7F33"/>
    <w:rsid w:val="EDE770B2"/>
    <w:rsid w:val="EEEE21E4"/>
    <w:rsid w:val="EEEF0BAD"/>
    <w:rsid w:val="EEFA5EC0"/>
    <w:rsid w:val="EF75857D"/>
    <w:rsid w:val="EFBFB49E"/>
    <w:rsid w:val="EFF7A740"/>
    <w:rsid w:val="F1DE2247"/>
    <w:rsid w:val="F5B9954C"/>
    <w:rsid w:val="F5BEAE28"/>
    <w:rsid w:val="F69F0BAF"/>
    <w:rsid w:val="F6FB4BE5"/>
    <w:rsid w:val="F77F9E18"/>
    <w:rsid w:val="F7836608"/>
    <w:rsid w:val="F7DF5D44"/>
    <w:rsid w:val="F7DFDC6A"/>
    <w:rsid w:val="F7EF4329"/>
    <w:rsid w:val="F7FF17AE"/>
    <w:rsid w:val="FB6D2048"/>
    <w:rsid w:val="FB9A3FEF"/>
    <w:rsid w:val="FBAEF959"/>
    <w:rsid w:val="FC755660"/>
    <w:rsid w:val="FCFDEFAA"/>
    <w:rsid w:val="FDBD148E"/>
    <w:rsid w:val="FDBD79D4"/>
    <w:rsid w:val="FDF7FD48"/>
    <w:rsid w:val="FE4FB1D8"/>
    <w:rsid w:val="FE531B2C"/>
    <w:rsid w:val="FEBD0A1C"/>
    <w:rsid w:val="FEBEB224"/>
    <w:rsid w:val="FEF6199D"/>
    <w:rsid w:val="FF6F482F"/>
    <w:rsid w:val="FF789142"/>
    <w:rsid w:val="FF9FFE4B"/>
    <w:rsid w:val="FFAF6732"/>
    <w:rsid w:val="FFFE271D"/>
    <w:rsid w:val="FFFEEE1B"/>
    <w:rsid w:val="0000314B"/>
    <w:rsid w:val="00003981"/>
    <w:rsid w:val="000119B5"/>
    <w:rsid w:val="000135D4"/>
    <w:rsid w:val="0001368C"/>
    <w:rsid w:val="000155EB"/>
    <w:rsid w:val="00023F02"/>
    <w:rsid w:val="00030311"/>
    <w:rsid w:val="00030FE2"/>
    <w:rsid w:val="00032283"/>
    <w:rsid w:val="00033557"/>
    <w:rsid w:val="00042221"/>
    <w:rsid w:val="00042263"/>
    <w:rsid w:val="00043F0E"/>
    <w:rsid w:val="00043F1B"/>
    <w:rsid w:val="00044785"/>
    <w:rsid w:val="0005261A"/>
    <w:rsid w:val="00056BF1"/>
    <w:rsid w:val="000620A4"/>
    <w:rsid w:val="00065F78"/>
    <w:rsid w:val="000670B7"/>
    <w:rsid w:val="0008398A"/>
    <w:rsid w:val="0008626D"/>
    <w:rsid w:val="00093CA6"/>
    <w:rsid w:val="00094560"/>
    <w:rsid w:val="000A091F"/>
    <w:rsid w:val="000A3135"/>
    <w:rsid w:val="000A6851"/>
    <w:rsid w:val="000B0A0D"/>
    <w:rsid w:val="000D1648"/>
    <w:rsid w:val="000D6B5D"/>
    <w:rsid w:val="000E61B1"/>
    <w:rsid w:val="000E6711"/>
    <w:rsid w:val="000E7068"/>
    <w:rsid w:val="000F6169"/>
    <w:rsid w:val="00101255"/>
    <w:rsid w:val="0010666C"/>
    <w:rsid w:val="001167C8"/>
    <w:rsid w:val="00117C89"/>
    <w:rsid w:val="0012447B"/>
    <w:rsid w:val="001272D3"/>
    <w:rsid w:val="00145984"/>
    <w:rsid w:val="00151BAB"/>
    <w:rsid w:val="00155450"/>
    <w:rsid w:val="001659B5"/>
    <w:rsid w:val="0017125C"/>
    <w:rsid w:val="00171FD9"/>
    <w:rsid w:val="00173468"/>
    <w:rsid w:val="00180E0C"/>
    <w:rsid w:val="001946E7"/>
    <w:rsid w:val="00195B9F"/>
    <w:rsid w:val="00195F9F"/>
    <w:rsid w:val="001A0F15"/>
    <w:rsid w:val="001A2AFF"/>
    <w:rsid w:val="001B2149"/>
    <w:rsid w:val="001B574C"/>
    <w:rsid w:val="001C1B10"/>
    <w:rsid w:val="001C2838"/>
    <w:rsid w:val="001D7FDB"/>
    <w:rsid w:val="001E4D70"/>
    <w:rsid w:val="001F0A5A"/>
    <w:rsid w:val="001F3127"/>
    <w:rsid w:val="001F52A5"/>
    <w:rsid w:val="0020350A"/>
    <w:rsid w:val="00203592"/>
    <w:rsid w:val="002102EE"/>
    <w:rsid w:val="00211F23"/>
    <w:rsid w:val="00220F3B"/>
    <w:rsid w:val="00221560"/>
    <w:rsid w:val="00225BA1"/>
    <w:rsid w:val="00232EC4"/>
    <w:rsid w:val="002335EB"/>
    <w:rsid w:val="00234A31"/>
    <w:rsid w:val="00242316"/>
    <w:rsid w:val="00244D08"/>
    <w:rsid w:val="0024644A"/>
    <w:rsid w:val="0025203F"/>
    <w:rsid w:val="002524F2"/>
    <w:rsid w:val="002541DE"/>
    <w:rsid w:val="00254702"/>
    <w:rsid w:val="00264133"/>
    <w:rsid w:val="002651F7"/>
    <w:rsid w:val="00267F81"/>
    <w:rsid w:val="002755AF"/>
    <w:rsid w:val="00286E67"/>
    <w:rsid w:val="00293A3F"/>
    <w:rsid w:val="002971CD"/>
    <w:rsid w:val="00297ABD"/>
    <w:rsid w:val="002B028E"/>
    <w:rsid w:val="002B2BD2"/>
    <w:rsid w:val="002C7367"/>
    <w:rsid w:val="002D14B9"/>
    <w:rsid w:val="002E0C59"/>
    <w:rsid w:val="002F64AC"/>
    <w:rsid w:val="002F7D97"/>
    <w:rsid w:val="003026FC"/>
    <w:rsid w:val="003054D0"/>
    <w:rsid w:val="00310A48"/>
    <w:rsid w:val="00317B80"/>
    <w:rsid w:val="00317E4D"/>
    <w:rsid w:val="0032034F"/>
    <w:rsid w:val="003215F0"/>
    <w:rsid w:val="00324589"/>
    <w:rsid w:val="00325D6D"/>
    <w:rsid w:val="003304FB"/>
    <w:rsid w:val="00333016"/>
    <w:rsid w:val="00357939"/>
    <w:rsid w:val="003579ED"/>
    <w:rsid w:val="00363ED8"/>
    <w:rsid w:val="003677CA"/>
    <w:rsid w:val="00372BB8"/>
    <w:rsid w:val="00375165"/>
    <w:rsid w:val="00377AB1"/>
    <w:rsid w:val="00381106"/>
    <w:rsid w:val="0038658B"/>
    <w:rsid w:val="003976E3"/>
    <w:rsid w:val="003A334F"/>
    <w:rsid w:val="003B2421"/>
    <w:rsid w:val="003B341A"/>
    <w:rsid w:val="003B3C6A"/>
    <w:rsid w:val="003B565F"/>
    <w:rsid w:val="003C3AA4"/>
    <w:rsid w:val="003D02AF"/>
    <w:rsid w:val="003D087C"/>
    <w:rsid w:val="003E3D24"/>
    <w:rsid w:val="003E5250"/>
    <w:rsid w:val="003E6A97"/>
    <w:rsid w:val="003E72B6"/>
    <w:rsid w:val="003E7F9D"/>
    <w:rsid w:val="004039E1"/>
    <w:rsid w:val="00431436"/>
    <w:rsid w:val="00435ACA"/>
    <w:rsid w:val="0043638C"/>
    <w:rsid w:val="00436A6B"/>
    <w:rsid w:val="004400CA"/>
    <w:rsid w:val="0044113D"/>
    <w:rsid w:val="00447719"/>
    <w:rsid w:val="004522E8"/>
    <w:rsid w:val="004539CC"/>
    <w:rsid w:val="004542B1"/>
    <w:rsid w:val="004554F2"/>
    <w:rsid w:val="00456A15"/>
    <w:rsid w:val="00461183"/>
    <w:rsid w:val="004616AD"/>
    <w:rsid w:val="0046634C"/>
    <w:rsid w:val="004729CC"/>
    <w:rsid w:val="00474FC8"/>
    <w:rsid w:val="004834FB"/>
    <w:rsid w:val="004909B0"/>
    <w:rsid w:val="00495ED1"/>
    <w:rsid w:val="004B22C8"/>
    <w:rsid w:val="004B4FEB"/>
    <w:rsid w:val="004C583C"/>
    <w:rsid w:val="004C61DA"/>
    <w:rsid w:val="004E013C"/>
    <w:rsid w:val="004E3C4D"/>
    <w:rsid w:val="004E467B"/>
    <w:rsid w:val="004E49FA"/>
    <w:rsid w:val="004E506B"/>
    <w:rsid w:val="004E647A"/>
    <w:rsid w:val="004F096F"/>
    <w:rsid w:val="0050185A"/>
    <w:rsid w:val="00507EC0"/>
    <w:rsid w:val="00511A79"/>
    <w:rsid w:val="005124F2"/>
    <w:rsid w:val="00515DD3"/>
    <w:rsid w:val="005235BE"/>
    <w:rsid w:val="00523F6B"/>
    <w:rsid w:val="00524945"/>
    <w:rsid w:val="0052682C"/>
    <w:rsid w:val="005273C3"/>
    <w:rsid w:val="0054368D"/>
    <w:rsid w:val="00543D9A"/>
    <w:rsid w:val="00556FC3"/>
    <w:rsid w:val="00562F46"/>
    <w:rsid w:val="00565D62"/>
    <w:rsid w:val="00566285"/>
    <w:rsid w:val="00567199"/>
    <w:rsid w:val="00571676"/>
    <w:rsid w:val="00574FD5"/>
    <w:rsid w:val="0057637F"/>
    <w:rsid w:val="0058544A"/>
    <w:rsid w:val="00591D16"/>
    <w:rsid w:val="00592540"/>
    <w:rsid w:val="005926E8"/>
    <w:rsid w:val="005933E3"/>
    <w:rsid w:val="00594EC0"/>
    <w:rsid w:val="005B4940"/>
    <w:rsid w:val="005B4DD4"/>
    <w:rsid w:val="005C0A1A"/>
    <w:rsid w:val="005C0A54"/>
    <w:rsid w:val="005C24D6"/>
    <w:rsid w:val="005C2E2C"/>
    <w:rsid w:val="005C3789"/>
    <w:rsid w:val="005C3F06"/>
    <w:rsid w:val="005C73F9"/>
    <w:rsid w:val="005D564E"/>
    <w:rsid w:val="005D6D2A"/>
    <w:rsid w:val="005E3D1C"/>
    <w:rsid w:val="005E4C81"/>
    <w:rsid w:val="005E5198"/>
    <w:rsid w:val="005E777C"/>
    <w:rsid w:val="005F10E3"/>
    <w:rsid w:val="006005FC"/>
    <w:rsid w:val="00607DF9"/>
    <w:rsid w:val="0061769C"/>
    <w:rsid w:val="00627865"/>
    <w:rsid w:val="00631953"/>
    <w:rsid w:val="00632DB8"/>
    <w:rsid w:val="006348B6"/>
    <w:rsid w:val="00637606"/>
    <w:rsid w:val="006409BD"/>
    <w:rsid w:val="0064697F"/>
    <w:rsid w:val="00650C27"/>
    <w:rsid w:val="00653502"/>
    <w:rsid w:val="00657F56"/>
    <w:rsid w:val="00660BD4"/>
    <w:rsid w:val="00662898"/>
    <w:rsid w:val="0066492C"/>
    <w:rsid w:val="006755DB"/>
    <w:rsid w:val="00675C82"/>
    <w:rsid w:val="00682FC9"/>
    <w:rsid w:val="00683765"/>
    <w:rsid w:val="006844F1"/>
    <w:rsid w:val="0068608C"/>
    <w:rsid w:val="0069445E"/>
    <w:rsid w:val="00694C8C"/>
    <w:rsid w:val="006A39CA"/>
    <w:rsid w:val="006A7B3F"/>
    <w:rsid w:val="006B08E1"/>
    <w:rsid w:val="006B3DA1"/>
    <w:rsid w:val="006B7F9D"/>
    <w:rsid w:val="006C2DCD"/>
    <w:rsid w:val="006C378B"/>
    <w:rsid w:val="006C4DB8"/>
    <w:rsid w:val="006C7B18"/>
    <w:rsid w:val="006C7D6A"/>
    <w:rsid w:val="006D03B6"/>
    <w:rsid w:val="006D0E7D"/>
    <w:rsid w:val="006E54C7"/>
    <w:rsid w:val="00702849"/>
    <w:rsid w:val="00714BC5"/>
    <w:rsid w:val="00734B0F"/>
    <w:rsid w:val="00747A36"/>
    <w:rsid w:val="00753E06"/>
    <w:rsid w:val="00755A62"/>
    <w:rsid w:val="00760FE7"/>
    <w:rsid w:val="007618B5"/>
    <w:rsid w:val="00762F2D"/>
    <w:rsid w:val="00763107"/>
    <w:rsid w:val="00773F62"/>
    <w:rsid w:val="00774FD2"/>
    <w:rsid w:val="007819BB"/>
    <w:rsid w:val="00782D43"/>
    <w:rsid w:val="00784CB6"/>
    <w:rsid w:val="00790172"/>
    <w:rsid w:val="00790236"/>
    <w:rsid w:val="00791BCB"/>
    <w:rsid w:val="00797E46"/>
    <w:rsid w:val="007A3884"/>
    <w:rsid w:val="007A66ED"/>
    <w:rsid w:val="007B44F3"/>
    <w:rsid w:val="007C1018"/>
    <w:rsid w:val="007C4F90"/>
    <w:rsid w:val="007C6610"/>
    <w:rsid w:val="007D16AF"/>
    <w:rsid w:val="007D42C8"/>
    <w:rsid w:val="007D5321"/>
    <w:rsid w:val="007D757F"/>
    <w:rsid w:val="007E3E6F"/>
    <w:rsid w:val="007F2036"/>
    <w:rsid w:val="007F28FE"/>
    <w:rsid w:val="008039C9"/>
    <w:rsid w:val="008047D3"/>
    <w:rsid w:val="008175CA"/>
    <w:rsid w:val="00824A2C"/>
    <w:rsid w:val="008275ED"/>
    <w:rsid w:val="00833216"/>
    <w:rsid w:val="008336A9"/>
    <w:rsid w:val="00841496"/>
    <w:rsid w:val="00843C49"/>
    <w:rsid w:val="0084426C"/>
    <w:rsid w:val="008533B5"/>
    <w:rsid w:val="00866D7A"/>
    <w:rsid w:val="0086779E"/>
    <w:rsid w:val="00870504"/>
    <w:rsid w:val="00871895"/>
    <w:rsid w:val="00873996"/>
    <w:rsid w:val="00873CF8"/>
    <w:rsid w:val="00877250"/>
    <w:rsid w:val="00877F75"/>
    <w:rsid w:val="00881856"/>
    <w:rsid w:val="00885887"/>
    <w:rsid w:val="0088700D"/>
    <w:rsid w:val="008920EE"/>
    <w:rsid w:val="0089301D"/>
    <w:rsid w:val="00897621"/>
    <w:rsid w:val="008B5057"/>
    <w:rsid w:val="008B710A"/>
    <w:rsid w:val="008C7043"/>
    <w:rsid w:val="008D10EF"/>
    <w:rsid w:val="008E0000"/>
    <w:rsid w:val="008E16CD"/>
    <w:rsid w:val="008E2D52"/>
    <w:rsid w:val="008E729B"/>
    <w:rsid w:val="008F1C1F"/>
    <w:rsid w:val="008F29C3"/>
    <w:rsid w:val="008F7A15"/>
    <w:rsid w:val="00906F2D"/>
    <w:rsid w:val="009132EE"/>
    <w:rsid w:val="009160AB"/>
    <w:rsid w:val="00916B39"/>
    <w:rsid w:val="00922EE5"/>
    <w:rsid w:val="00924485"/>
    <w:rsid w:val="00926452"/>
    <w:rsid w:val="0094291D"/>
    <w:rsid w:val="009457D8"/>
    <w:rsid w:val="009478C6"/>
    <w:rsid w:val="009506CD"/>
    <w:rsid w:val="00954EFD"/>
    <w:rsid w:val="00961E75"/>
    <w:rsid w:val="00963B51"/>
    <w:rsid w:val="00966493"/>
    <w:rsid w:val="00966521"/>
    <w:rsid w:val="009777C2"/>
    <w:rsid w:val="0098165B"/>
    <w:rsid w:val="00981E95"/>
    <w:rsid w:val="009820EC"/>
    <w:rsid w:val="00985C86"/>
    <w:rsid w:val="009918EF"/>
    <w:rsid w:val="009A1F09"/>
    <w:rsid w:val="009A3776"/>
    <w:rsid w:val="009A6716"/>
    <w:rsid w:val="009A7283"/>
    <w:rsid w:val="009B24F1"/>
    <w:rsid w:val="009B686D"/>
    <w:rsid w:val="009C60C3"/>
    <w:rsid w:val="009D3132"/>
    <w:rsid w:val="009E093A"/>
    <w:rsid w:val="009E19BC"/>
    <w:rsid w:val="009E1F7A"/>
    <w:rsid w:val="009E2E87"/>
    <w:rsid w:val="009F6503"/>
    <w:rsid w:val="00A03F12"/>
    <w:rsid w:val="00A06DA7"/>
    <w:rsid w:val="00A12D64"/>
    <w:rsid w:val="00A15A42"/>
    <w:rsid w:val="00A16C95"/>
    <w:rsid w:val="00A175B3"/>
    <w:rsid w:val="00A22EC0"/>
    <w:rsid w:val="00A25A85"/>
    <w:rsid w:val="00A26DD5"/>
    <w:rsid w:val="00A3596E"/>
    <w:rsid w:val="00A4384B"/>
    <w:rsid w:val="00A54C90"/>
    <w:rsid w:val="00A6016F"/>
    <w:rsid w:val="00A657AF"/>
    <w:rsid w:val="00A65E20"/>
    <w:rsid w:val="00A70A7C"/>
    <w:rsid w:val="00A7496E"/>
    <w:rsid w:val="00A7614E"/>
    <w:rsid w:val="00A860AD"/>
    <w:rsid w:val="00A965FD"/>
    <w:rsid w:val="00AA0B2F"/>
    <w:rsid w:val="00AA190D"/>
    <w:rsid w:val="00AA2A3D"/>
    <w:rsid w:val="00AB3E26"/>
    <w:rsid w:val="00AB5CB4"/>
    <w:rsid w:val="00AC2C98"/>
    <w:rsid w:val="00AC36E7"/>
    <w:rsid w:val="00AD2168"/>
    <w:rsid w:val="00AD2649"/>
    <w:rsid w:val="00AD3218"/>
    <w:rsid w:val="00AD5EAD"/>
    <w:rsid w:val="00AF2F8C"/>
    <w:rsid w:val="00B003ED"/>
    <w:rsid w:val="00B01F35"/>
    <w:rsid w:val="00B03128"/>
    <w:rsid w:val="00B03197"/>
    <w:rsid w:val="00B0662F"/>
    <w:rsid w:val="00B13A87"/>
    <w:rsid w:val="00B15320"/>
    <w:rsid w:val="00B15473"/>
    <w:rsid w:val="00B2045A"/>
    <w:rsid w:val="00B23500"/>
    <w:rsid w:val="00B240C8"/>
    <w:rsid w:val="00B24186"/>
    <w:rsid w:val="00B3491D"/>
    <w:rsid w:val="00B354A8"/>
    <w:rsid w:val="00B358AC"/>
    <w:rsid w:val="00B47397"/>
    <w:rsid w:val="00B5007B"/>
    <w:rsid w:val="00B50706"/>
    <w:rsid w:val="00B55B64"/>
    <w:rsid w:val="00B62A3C"/>
    <w:rsid w:val="00B65886"/>
    <w:rsid w:val="00B65EDA"/>
    <w:rsid w:val="00B74888"/>
    <w:rsid w:val="00B80521"/>
    <w:rsid w:val="00B81C77"/>
    <w:rsid w:val="00B869CC"/>
    <w:rsid w:val="00B907A3"/>
    <w:rsid w:val="00B9289E"/>
    <w:rsid w:val="00B933E2"/>
    <w:rsid w:val="00B9393A"/>
    <w:rsid w:val="00B95D44"/>
    <w:rsid w:val="00B95FB4"/>
    <w:rsid w:val="00BA2994"/>
    <w:rsid w:val="00BA59F0"/>
    <w:rsid w:val="00BA5EA9"/>
    <w:rsid w:val="00BB6896"/>
    <w:rsid w:val="00BC08D9"/>
    <w:rsid w:val="00BD2D32"/>
    <w:rsid w:val="00BD5A28"/>
    <w:rsid w:val="00BD7E27"/>
    <w:rsid w:val="00BE1D6B"/>
    <w:rsid w:val="00BE7A03"/>
    <w:rsid w:val="00BF04B3"/>
    <w:rsid w:val="00BF780E"/>
    <w:rsid w:val="00C00B88"/>
    <w:rsid w:val="00C10B90"/>
    <w:rsid w:val="00C12F61"/>
    <w:rsid w:val="00C14046"/>
    <w:rsid w:val="00C16BCB"/>
    <w:rsid w:val="00C2305A"/>
    <w:rsid w:val="00C2780C"/>
    <w:rsid w:val="00C27EDE"/>
    <w:rsid w:val="00C3698F"/>
    <w:rsid w:val="00C36CAB"/>
    <w:rsid w:val="00C376F1"/>
    <w:rsid w:val="00C46AF5"/>
    <w:rsid w:val="00C473A3"/>
    <w:rsid w:val="00C537C0"/>
    <w:rsid w:val="00C57579"/>
    <w:rsid w:val="00C67933"/>
    <w:rsid w:val="00C82404"/>
    <w:rsid w:val="00C82615"/>
    <w:rsid w:val="00C87774"/>
    <w:rsid w:val="00C87851"/>
    <w:rsid w:val="00C90B1D"/>
    <w:rsid w:val="00C97F0C"/>
    <w:rsid w:val="00CA1B61"/>
    <w:rsid w:val="00CB3C68"/>
    <w:rsid w:val="00CB7C28"/>
    <w:rsid w:val="00CD2547"/>
    <w:rsid w:val="00CD3FAC"/>
    <w:rsid w:val="00CD7C5D"/>
    <w:rsid w:val="00CD7DB3"/>
    <w:rsid w:val="00CD7E75"/>
    <w:rsid w:val="00CE0250"/>
    <w:rsid w:val="00CF266C"/>
    <w:rsid w:val="00CF726E"/>
    <w:rsid w:val="00CF7E5E"/>
    <w:rsid w:val="00D020F0"/>
    <w:rsid w:val="00D02A65"/>
    <w:rsid w:val="00D033FC"/>
    <w:rsid w:val="00D216A7"/>
    <w:rsid w:val="00D25773"/>
    <w:rsid w:val="00D353A2"/>
    <w:rsid w:val="00D43D7E"/>
    <w:rsid w:val="00D44BEC"/>
    <w:rsid w:val="00D66703"/>
    <w:rsid w:val="00D74E6B"/>
    <w:rsid w:val="00D764C0"/>
    <w:rsid w:val="00D764FA"/>
    <w:rsid w:val="00D84958"/>
    <w:rsid w:val="00D900F9"/>
    <w:rsid w:val="00D91592"/>
    <w:rsid w:val="00D923C5"/>
    <w:rsid w:val="00DB057A"/>
    <w:rsid w:val="00DD084E"/>
    <w:rsid w:val="00DD7132"/>
    <w:rsid w:val="00DE1328"/>
    <w:rsid w:val="00DE30A4"/>
    <w:rsid w:val="00DE7950"/>
    <w:rsid w:val="00DE7C85"/>
    <w:rsid w:val="00DF3705"/>
    <w:rsid w:val="00DF51A8"/>
    <w:rsid w:val="00DF723F"/>
    <w:rsid w:val="00E03BC7"/>
    <w:rsid w:val="00E10774"/>
    <w:rsid w:val="00E109F0"/>
    <w:rsid w:val="00E16A97"/>
    <w:rsid w:val="00E17BE9"/>
    <w:rsid w:val="00E26AF8"/>
    <w:rsid w:val="00E2792F"/>
    <w:rsid w:val="00E30455"/>
    <w:rsid w:val="00E323EB"/>
    <w:rsid w:val="00E37957"/>
    <w:rsid w:val="00E40371"/>
    <w:rsid w:val="00E46120"/>
    <w:rsid w:val="00E507DE"/>
    <w:rsid w:val="00E55BBD"/>
    <w:rsid w:val="00E56C59"/>
    <w:rsid w:val="00E57498"/>
    <w:rsid w:val="00E57CB8"/>
    <w:rsid w:val="00E60BF7"/>
    <w:rsid w:val="00E669A0"/>
    <w:rsid w:val="00E67C5B"/>
    <w:rsid w:val="00E707C7"/>
    <w:rsid w:val="00E77B61"/>
    <w:rsid w:val="00E862D0"/>
    <w:rsid w:val="00E9538F"/>
    <w:rsid w:val="00E95CF2"/>
    <w:rsid w:val="00EA1E00"/>
    <w:rsid w:val="00EA3D8B"/>
    <w:rsid w:val="00EA5673"/>
    <w:rsid w:val="00EB0BF6"/>
    <w:rsid w:val="00EB1925"/>
    <w:rsid w:val="00EB26EB"/>
    <w:rsid w:val="00EB4708"/>
    <w:rsid w:val="00EB73E2"/>
    <w:rsid w:val="00EB7C74"/>
    <w:rsid w:val="00EB7E03"/>
    <w:rsid w:val="00EC54E4"/>
    <w:rsid w:val="00EC6F1F"/>
    <w:rsid w:val="00EC6F26"/>
    <w:rsid w:val="00ED188C"/>
    <w:rsid w:val="00EE6828"/>
    <w:rsid w:val="00EF515D"/>
    <w:rsid w:val="00F04357"/>
    <w:rsid w:val="00F05E1A"/>
    <w:rsid w:val="00F12510"/>
    <w:rsid w:val="00F148CD"/>
    <w:rsid w:val="00F1706F"/>
    <w:rsid w:val="00F17467"/>
    <w:rsid w:val="00F27098"/>
    <w:rsid w:val="00F307B3"/>
    <w:rsid w:val="00F31336"/>
    <w:rsid w:val="00F3746F"/>
    <w:rsid w:val="00F50293"/>
    <w:rsid w:val="00F5627B"/>
    <w:rsid w:val="00F747D2"/>
    <w:rsid w:val="00F85023"/>
    <w:rsid w:val="00F86332"/>
    <w:rsid w:val="00F957D2"/>
    <w:rsid w:val="00F97CA8"/>
    <w:rsid w:val="00FA41D1"/>
    <w:rsid w:val="00FA4B54"/>
    <w:rsid w:val="00FA5C91"/>
    <w:rsid w:val="00FB0AD5"/>
    <w:rsid w:val="00FB35BE"/>
    <w:rsid w:val="00FC2212"/>
    <w:rsid w:val="00FD28A8"/>
    <w:rsid w:val="00FE0F25"/>
    <w:rsid w:val="00FE60F3"/>
    <w:rsid w:val="00FE63C9"/>
    <w:rsid w:val="00FF408D"/>
    <w:rsid w:val="064BDC85"/>
    <w:rsid w:val="0C7F313B"/>
    <w:rsid w:val="1104487A"/>
    <w:rsid w:val="12A15165"/>
    <w:rsid w:val="12C02EFB"/>
    <w:rsid w:val="149C1746"/>
    <w:rsid w:val="15961BA5"/>
    <w:rsid w:val="15D267B1"/>
    <w:rsid w:val="173E47CB"/>
    <w:rsid w:val="1E536D58"/>
    <w:rsid w:val="1FA808F8"/>
    <w:rsid w:val="1FEF8090"/>
    <w:rsid w:val="22BE48B8"/>
    <w:rsid w:val="23EF0944"/>
    <w:rsid w:val="25EB2085"/>
    <w:rsid w:val="264178F5"/>
    <w:rsid w:val="27FF7B75"/>
    <w:rsid w:val="27FF9D63"/>
    <w:rsid w:val="28C90A0F"/>
    <w:rsid w:val="297818D2"/>
    <w:rsid w:val="2CE56965"/>
    <w:rsid w:val="2D481437"/>
    <w:rsid w:val="2FC5DB72"/>
    <w:rsid w:val="2FCE5204"/>
    <w:rsid w:val="308C5395"/>
    <w:rsid w:val="3348DB83"/>
    <w:rsid w:val="33DDE0A9"/>
    <w:rsid w:val="34B775B3"/>
    <w:rsid w:val="3DFF6498"/>
    <w:rsid w:val="3EFBC689"/>
    <w:rsid w:val="3F4FEB26"/>
    <w:rsid w:val="3FF72EBB"/>
    <w:rsid w:val="3FF7B56B"/>
    <w:rsid w:val="3FFE52B5"/>
    <w:rsid w:val="450D70E6"/>
    <w:rsid w:val="46C978C9"/>
    <w:rsid w:val="4CF5E955"/>
    <w:rsid w:val="4DFFAEAC"/>
    <w:rsid w:val="4F7BB938"/>
    <w:rsid w:val="4FB6134B"/>
    <w:rsid w:val="5708517E"/>
    <w:rsid w:val="5776022B"/>
    <w:rsid w:val="57D91936"/>
    <w:rsid w:val="5B77A964"/>
    <w:rsid w:val="5BFCDF15"/>
    <w:rsid w:val="5BFEDCCF"/>
    <w:rsid w:val="5CE70834"/>
    <w:rsid w:val="5CFD472C"/>
    <w:rsid w:val="62057497"/>
    <w:rsid w:val="66B86D80"/>
    <w:rsid w:val="67EC054E"/>
    <w:rsid w:val="67EF5316"/>
    <w:rsid w:val="67EF6ED6"/>
    <w:rsid w:val="6A603A3E"/>
    <w:rsid w:val="6BBE2FE7"/>
    <w:rsid w:val="6BDF2719"/>
    <w:rsid w:val="6DBDF444"/>
    <w:rsid w:val="6EFF2683"/>
    <w:rsid w:val="6FB3038B"/>
    <w:rsid w:val="6FBF1A19"/>
    <w:rsid w:val="6FCB89FB"/>
    <w:rsid w:val="6FDDB92B"/>
    <w:rsid w:val="6FEB0E02"/>
    <w:rsid w:val="74DA0CE9"/>
    <w:rsid w:val="75F49043"/>
    <w:rsid w:val="7637C928"/>
    <w:rsid w:val="76F6723F"/>
    <w:rsid w:val="77BAACE3"/>
    <w:rsid w:val="77E71078"/>
    <w:rsid w:val="77FFD22B"/>
    <w:rsid w:val="78BF8EDD"/>
    <w:rsid w:val="79E36C80"/>
    <w:rsid w:val="7A7EB085"/>
    <w:rsid w:val="7B3E8DCA"/>
    <w:rsid w:val="7B674F07"/>
    <w:rsid w:val="7E7D2C64"/>
    <w:rsid w:val="7F1E775C"/>
    <w:rsid w:val="7F6FE420"/>
    <w:rsid w:val="7F7C8ED9"/>
    <w:rsid w:val="7F7CEC1D"/>
    <w:rsid w:val="7F7D0DA2"/>
    <w:rsid w:val="7F9F63B8"/>
    <w:rsid w:val="7FB34D8F"/>
    <w:rsid w:val="7FC889EB"/>
    <w:rsid w:val="7FCEE45F"/>
    <w:rsid w:val="7FF73E45"/>
    <w:rsid w:val="7FFA76BE"/>
    <w:rsid w:val="7FFB6B58"/>
    <w:rsid w:val="7FFF9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10D7D-D1AC-42C5-8C8F-FD939B16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semiHidden/>
    <w:unhideWhenUsed/>
    <w:qFormat/>
    <w:pPr>
      <w:snapToGrid w:val="0"/>
      <w:jc w:val="left"/>
    </w:pPr>
    <w:rPr>
      <w:rFonts w:ascii="Calibri" w:eastAsia="宋体" w:hAnsi="Calibri" w:cs="Times New Roman"/>
      <w:sz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u w:val="single"/>
    </w:rPr>
  </w:style>
  <w:style w:type="character" w:styleId="ab">
    <w:name w:val="Hyperlink"/>
    <w:basedOn w:val="a0"/>
    <w:uiPriority w:val="99"/>
    <w:semiHidden/>
    <w:unhideWhenUsed/>
    <w:qFormat/>
    <w:rPr>
      <w:color w:val="0563C1"/>
      <w:u w:val="single"/>
    </w:rPr>
  </w:style>
  <w:style w:type="character" w:styleId="ac">
    <w:name w:val="annotation reference"/>
    <w:basedOn w:val="a0"/>
    <w:uiPriority w:val="99"/>
    <w:semiHidden/>
    <w:unhideWhenUsed/>
    <w:qFormat/>
    <w:rPr>
      <w:sz w:val="21"/>
      <w:szCs w:val="21"/>
    </w:rPr>
  </w:style>
  <w:style w:type="character" w:styleId="ad">
    <w:name w:val="footnote reference"/>
    <w:basedOn w:val="a0"/>
    <w:semiHidden/>
    <w:unhideWhenUsed/>
    <w:qFormat/>
    <w:rPr>
      <w:vertAlign w:val="superscript"/>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font7">
    <w:name w:val="font7"/>
    <w:basedOn w:val="a"/>
    <w:qFormat/>
    <w:pPr>
      <w:widowControl/>
      <w:spacing w:before="100" w:beforeAutospacing="1" w:after="100" w:afterAutospacing="1"/>
      <w:jc w:val="left"/>
    </w:pPr>
    <w:rPr>
      <w:rFonts w:ascii="仿宋_GB2312" w:eastAsia="仿宋_GB2312" w:hAnsi="宋体" w:cs="宋体"/>
      <w:b/>
      <w:bCs/>
      <w:color w:val="000000"/>
      <w:kern w:val="0"/>
      <w:sz w:val="22"/>
    </w:rPr>
  </w:style>
  <w:style w:type="paragraph" w:customStyle="1" w:styleId="xl65">
    <w:name w:val="xl65"/>
    <w:basedOn w:val="a"/>
    <w:qFormat/>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仿宋_GB2312" w:eastAsia="仿宋_GB2312" w:hAnsi="宋体" w:cs="宋体"/>
      <w:kern w:val="0"/>
      <w:sz w:val="24"/>
      <w:szCs w:val="24"/>
    </w:rPr>
  </w:style>
  <w:style w:type="paragraph" w:customStyle="1" w:styleId="xl71">
    <w:name w:val="xl71"/>
    <w:basedOn w:val="a"/>
    <w:qFormat/>
    <w:pPr>
      <w:widowControl/>
      <w:spacing w:before="100" w:beforeAutospacing="1" w:after="100" w:afterAutospacing="1"/>
      <w:jc w:val="center"/>
    </w:pPr>
    <w:rPr>
      <w:rFonts w:ascii="仿宋_GB2312" w:eastAsia="仿宋_GB2312" w:hAnsi="宋体" w:cs="宋体"/>
      <w:kern w:val="0"/>
      <w:sz w:val="24"/>
      <w:szCs w:val="24"/>
    </w:rPr>
  </w:style>
  <w:style w:type="paragraph" w:styleId="ae">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customStyle="1" w:styleId="xl63">
    <w:name w:val="xl63"/>
    <w:basedOn w:val="a"/>
    <w:qFormat/>
    <w:pPr>
      <w:widowControl/>
      <w:spacing w:before="100" w:beforeAutospacing="1" w:after="100" w:afterAutospacing="1"/>
      <w:jc w:val="left"/>
      <w:textAlignment w:val="bottom"/>
    </w:pPr>
    <w:rPr>
      <w:rFonts w:ascii="仿宋_GB2312" w:eastAsia="仿宋_GB2312" w:hAnsi="宋体" w:cs="宋体"/>
      <w:kern w:val="0"/>
      <w:sz w:val="24"/>
      <w:szCs w:val="24"/>
    </w:rPr>
  </w:style>
  <w:style w:type="paragraph" w:customStyle="1" w:styleId="xl64">
    <w:name w:val="xl64"/>
    <w:basedOn w:val="a"/>
    <w:qFormat/>
    <w:pPr>
      <w:widowControl/>
      <w:spacing w:before="100" w:beforeAutospacing="1" w:after="100" w:afterAutospacing="1"/>
      <w:jc w:val="left"/>
      <w:textAlignment w:val="bottom"/>
    </w:pPr>
    <w:rPr>
      <w:rFonts w:ascii="仿宋_GB2312" w:eastAsia="仿宋_GB2312"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74">
    <w:name w:val="xl74"/>
    <w:basedOn w:val="a"/>
    <w:qFormat/>
    <w:pPr>
      <w:widowControl/>
      <w:spacing w:before="100" w:beforeAutospacing="1" w:after="100" w:afterAutospacing="1"/>
      <w:jc w:val="center"/>
      <w:textAlignment w:val="bottom"/>
    </w:pPr>
    <w:rPr>
      <w:rFonts w:ascii="仿宋_GB2312" w:eastAsia="仿宋_GB2312" w:hAnsi="宋体" w:cs="宋体"/>
      <w:kern w:val="0"/>
      <w:sz w:val="24"/>
      <w:szCs w:val="2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qFormat/>
    <w:rPr>
      <w:b/>
      <w:bCs/>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qFormat/>
    <w:rPr>
      <w:rFonts w:asciiTheme="minorHAnsi" w:eastAsiaTheme="minorEastAsia" w:hAnsiTheme="minorHAnsi" w:cstheme="minorBidi"/>
      <w:kern w:val="2"/>
      <w:sz w:val="21"/>
      <w:szCs w:val="22"/>
    </w:rPr>
  </w:style>
  <w:style w:type="character" w:customStyle="1" w:styleId="Char3">
    <w:name w:val="脚注文本 Char"/>
    <w:basedOn w:val="a0"/>
    <w:link w:val="a7"/>
    <w:semiHidden/>
    <w:qFormat/>
    <w:rPr>
      <w:rFonts w:ascii="Calibri" w:hAnsi="Calibri"/>
      <w:kern w:val="2"/>
      <w:sz w:val="18"/>
      <w:szCs w:val="22"/>
    </w:rPr>
  </w:style>
  <w:style w:type="paragraph" w:customStyle="1" w:styleId="6">
    <w:name w:val="修订6"/>
    <w:hidden/>
    <w:uiPriority w:val="99"/>
    <w:semiHidden/>
    <w:qFormat/>
    <w:rPr>
      <w:rFonts w:asciiTheme="minorHAnsi" w:eastAsiaTheme="minorEastAsia" w:hAnsiTheme="minorHAnsi" w:cstheme="minorBidi"/>
      <w:kern w:val="2"/>
      <w:sz w:val="21"/>
      <w:szCs w:val="22"/>
    </w:rPr>
  </w:style>
  <w:style w:type="paragraph" w:customStyle="1" w:styleId="7">
    <w:name w:val="修订7"/>
    <w:hidden/>
    <w:uiPriority w:val="99"/>
    <w:semiHidden/>
    <w:qFormat/>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8">
    <w:name w:val="修订8"/>
    <w:hidden/>
    <w:uiPriority w:val="99"/>
    <w:semiHidden/>
    <w:qFormat/>
    <w:rPr>
      <w:rFonts w:asciiTheme="minorHAnsi" w:eastAsiaTheme="minorEastAsia" w:hAnsiTheme="minorHAnsi" w:cstheme="minorBidi"/>
      <w:kern w:val="2"/>
      <w:sz w:val="21"/>
      <w:szCs w:val="22"/>
    </w:rPr>
  </w:style>
  <w:style w:type="paragraph" w:customStyle="1" w:styleId="9">
    <w:name w:val="修订9"/>
    <w:hidden/>
    <w:uiPriority w:val="99"/>
    <w:semiHidden/>
    <w:qFormat/>
    <w:rPr>
      <w:rFonts w:asciiTheme="minorHAnsi" w:eastAsiaTheme="minorEastAsia" w:hAnsiTheme="minorHAnsi" w:cstheme="minorBidi"/>
      <w:kern w:val="2"/>
      <w:sz w:val="21"/>
      <w:szCs w:val="22"/>
    </w:rPr>
  </w:style>
  <w:style w:type="character" w:customStyle="1" w:styleId="HTMLChar">
    <w:name w:val="HTML 预设格式 Char"/>
    <w:basedOn w:val="a0"/>
    <w:link w:val="HTML"/>
    <w:uiPriority w:val="99"/>
    <w:qFormat/>
    <w:rPr>
      <w:rFonts w:ascii="宋体" w:hAnsi="宋体"/>
      <w:sz w:val="24"/>
      <w:szCs w:val="24"/>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paragraph" w:customStyle="1" w:styleId="110">
    <w:name w:val="修订11"/>
    <w:hidden/>
    <w:uiPriority w:val="99"/>
    <w:unhideWhenUsed/>
    <w:qFormat/>
    <w:rPr>
      <w:rFonts w:asciiTheme="minorHAnsi" w:eastAsiaTheme="minorEastAsia" w:hAnsiTheme="minorHAnsi" w:cstheme="minorBidi"/>
      <w:kern w:val="2"/>
      <w:sz w:val="21"/>
      <w:szCs w:val="22"/>
    </w:rPr>
  </w:style>
  <w:style w:type="character" w:customStyle="1" w:styleId="1Char">
    <w:name w:val="标题 1 Char"/>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1667</Words>
  <Characters>9507</Characters>
  <Application>Microsoft Office Word</Application>
  <DocSecurity>0</DocSecurity>
  <Lines>79</Lines>
  <Paragraphs>22</Paragraphs>
  <ScaleCrop>false</ScaleCrop>
  <Company>CHINA</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wwei</dc:creator>
  <cp:lastModifiedBy>USER</cp:lastModifiedBy>
  <cp:revision>4</cp:revision>
  <cp:lastPrinted>2023-11-02T16:57:00Z</cp:lastPrinted>
  <dcterms:created xsi:type="dcterms:W3CDTF">2024-08-01T16:47:00Z</dcterms:created>
  <dcterms:modified xsi:type="dcterms:W3CDTF">2024-08-07T02:03:00Z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5202D59B661A46188DE4B72D51FF0E32_13</vt:lpwstr>
  </property>
</Properties>
</file>