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28" w:rsidRDefault="00620328" w:rsidP="00620328">
      <w:pPr>
        <w:snapToGrid w:val="0"/>
        <w:spacing w:line="336" w:lineRule="auto"/>
        <w:ind w:right="1247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b/>
          <w:bCs/>
          <w:sz w:val="32"/>
        </w:rPr>
        <w:t>附件2</w:t>
      </w:r>
    </w:p>
    <w:p w:rsidR="00620328" w:rsidRDefault="00620328" w:rsidP="00620328">
      <w:pPr>
        <w:snapToGrid w:val="0"/>
        <w:spacing w:line="336" w:lineRule="auto"/>
        <w:ind w:right="1247"/>
        <w:jc w:val="right"/>
        <w:rPr>
          <w:rFonts w:ascii="仿宋_GB2312" w:eastAsia="仿宋_GB2312" w:hAnsi="仿宋_GB2312" w:hint="eastAsia"/>
          <w:sz w:val="32"/>
        </w:rPr>
      </w:pPr>
    </w:p>
    <w:p w:rsidR="00620328" w:rsidRDefault="00620328" w:rsidP="00620328">
      <w:pPr>
        <w:snapToGrid w:val="0"/>
        <w:spacing w:line="336" w:lineRule="auto"/>
        <w:jc w:val="center"/>
        <w:rPr>
          <w:rFonts w:ascii="仿宋_GB2312" w:eastAsia="仿宋_GB2312" w:hAnsi="仿宋_GB2312" w:hint="eastAsia"/>
          <w:b/>
          <w:bCs/>
          <w:sz w:val="32"/>
        </w:rPr>
      </w:pPr>
      <w:r>
        <w:rPr>
          <w:rFonts w:ascii="仿宋_GB2312" w:eastAsia="仿宋_GB2312" w:hAnsi="仿宋_GB2312" w:hint="eastAsia"/>
          <w:b/>
          <w:bCs/>
          <w:sz w:val="32"/>
        </w:rPr>
        <w:t>国内水路原油运输现状表</w:t>
      </w:r>
    </w:p>
    <w:p w:rsidR="00620328" w:rsidRDefault="00620328" w:rsidP="00620328">
      <w:pPr>
        <w:snapToGrid w:val="0"/>
        <w:spacing w:line="336" w:lineRule="auto"/>
        <w:jc w:val="center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（航运企业填写）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59"/>
        <w:gridCol w:w="619"/>
        <w:gridCol w:w="145"/>
        <w:gridCol w:w="763"/>
        <w:gridCol w:w="973"/>
        <w:gridCol w:w="69"/>
        <w:gridCol w:w="654"/>
        <w:gridCol w:w="355"/>
        <w:gridCol w:w="436"/>
        <w:gridCol w:w="586"/>
        <w:gridCol w:w="573"/>
        <w:gridCol w:w="559"/>
        <w:gridCol w:w="982"/>
        <w:gridCol w:w="82"/>
        <w:gridCol w:w="1097"/>
      </w:tblGrid>
      <w:tr w:rsidR="00620328" w:rsidTr="00620328">
        <w:trPr>
          <w:trHeight w:val="1450"/>
        </w:trPr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28" w:rsidRDefault="00620328">
            <w:p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1.单位名称：</w:t>
            </w:r>
          </w:p>
          <w:p w:rsidR="00620328" w:rsidRDefault="00620328">
            <w:pPr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620328" w:rsidTr="00620328">
        <w:trPr>
          <w:trHeight w:val="5049"/>
        </w:trPr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28" w:rsidRDefault="00620328">
            <w:p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2.本单位国内原油运输运力情况</w:t>
            </w:r>
          </w:p>
          <w:p w:rsidR="00620328" w:rsidRDefault="00620328">
            <w:p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（1）拥有国内原油运输资质的船舶艘数、平均载重吨、合计总吨、合计载重吨：</w:t>
            </w:r>
          </w:p>
          <w:p w:rsidR="00620328" w:rsidRDefault="00620328">
            <w:pPr>
              <w:snapToGrid w:val="0"/>
              <w:spacing w:line="312" w:lineRule="auto"/>
              <w:rPr>
                <w:rFonts w:ascii="仿宋_GB2312" w:eastAsia="仿宋_GB2312" w:hAnsi="仿宋_GB2312" w:hint="eastAsia"/>
                <w:sz w:val="32"/>
              </w:rPr>
            </w:pPr>
          </w:p>
          <w:p w:rsidR="00620328" w:rsidRDefault="00620328">
            <w:pPr>
              <w:snapToGrid w:val="0"/>
              <w:spacing w:line="312" w:lineRule="auto"/>
              <w:rPr>
                <w:rFonts w:ascii="仿宋_GB2312" w:eastAsia="仿宋_GB2312" w:hAnsi="仿宋_GB2312" w:hint="eastAsia"/>
                <w:sz w:val="32"/>
              </w:rPr>
            </w:pPr>
          </w:p>
          <w:p w:rsidR="00620328" w:rsidRDefault="00620328" w:rsidP="00CC68F4">
            <w:pPr>
              <w:numPr>
                <w:ilvl w:val="0"/>
                <w:numId w:val="1"/>
              </w:num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目前实际投入国内原油运输的船舶艘数、平均载重吨、合计总吨、合计载重吨：</w:t>
            </w:r>
          </w:p>
          <w:p w:rsidR="00620328" w:rsidRDefault="00620328">
            <w:pPr>
              <w:snapToGrid w:val="0"/>
              <w:spacing w:line="312" w:lineRule="auto"/>
              <w:rPr>
                <w:rFonts w:ascii="仿宋_GB2312" w:eastAsia="仿宋_GB2312" w:hAnsi="仿宋_GB2312" w:hint="eastAsia"/>
                <w:sz w:val="32"/>
              </w:rPr>
            </w:pPr>
          </w:p>
          <w:p w:rsidR="00620328" w:rsidRDefault="00620328">
            <w:pPr>
              <w:snapToGrid w:val="0"/>
              <w:spacing w:line="312" w:lineRule="auto"/>
              <w:rPr>
                <w:rFonts w:ascii="仿宋_GB2312" w:eastAsia="仿宋_GB2312" w:hAnsi="仿宋_GB2312" w:hint="eastAsia"/>
                <w:sz w:val="32"/>
              </w:rPr>
            </w:pPr>
          </w:p>
          <w:p w:rsidR="00620328" w:rsidRDefault="00620328">
            <w:pPr>
              <w:rPr>
                <w:rFonts w:ascii="仿宋_GB2312" w:eastAsia="仿宋_GB2312" w:hAnsi="仿宋_GB2312" w:hint="eastAsia"/>
                <w:color w:val="0000FF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（3）拥有国内原油运输资质的船舶明细（含同时拥有原油、成品油运输资质的船舶）</w:t>
            </w:r>
          </w:p>
        </w:tc>
      </w:tr>
      <w:tr w:rsidR="00620328" w:rsidTr="00620328">
        <w:trPr>
          <w:trHeight w:val="66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序号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船名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船型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载重吨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总吨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建成日期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营运证经营范围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是否实际投入国内原油运输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是否内外贸兼营</w:t>
            </w:r>
          </w:p>
        </w:tc>
      </w:tr>
      <w:tr w:rsidR="00620328" w:rsidTr="00620328">
        <w:trPr>
          <w:trHeight w:val="519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</w:tr>
      <w:tr w:rsidR="00620328" w:rsidTr="00620328">
        <w:trPr>
          <w:trHeight w:val="471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</w:tr>
      <w:tr w:rsidR="00620328" w:rsidTr="00620328">
        <w:trPr>
          <w:trHeight w:val="51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</w:tr>
      <w:tr w:rsidR="00620328" w:rsidTr="00620328">
        <w:trPr>
          <w:trHeight w:val="53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…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32"/>
              </w:rPr>
            </w:pPr>
          </w:p>
        </w:tc>
      </w:tr>
      <w:tr w:rsidR="00620328" w:rsidTr="00620328">
        <w:trPr>
          <w:trHeight w:val="717"/>
        </w:trPr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28" w:rsidRDefault="00620328">
            <w:pPr>
              <w:spacing w:beforeLines="50" w:before="156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（注：1.期租船舶的，由租船方上报，并在船名后标注船舶所有人。）</w:t>
            </w:r>
          </w:p>
          <w:p w:rsidR="00620328" w:rsidRDefault="00620328" w:rsidP="00CC68F4">
            <w:pPr>
              <w:numPr>
                <w:ilvl w:val="0"/>
                <w:numId w:val="2"/>
              </w:numPr>
              <w:spacing w:afterLines="80" w:after="249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lastRenderedPageBreak/>
              <w:t>目前船舶运力供给与货主需求的总体匹配情况、运价情况</w:t>
            </w:r>
          </w:p>
          <w:p w:rsidR="00620328" w:rsidRDefault="00620328">
            <w:pPr>
              <w:spacing w:afterLines="80" w:after="249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620328" w:rsidTr="00620328">
        <w:trPr>
          <w:trHeight w:val="729"/>
        </w:trPr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28" w:rsidRDefault="00620328">
            <w:pPr>
              <w:rPr>
                <w:rFonts w:ascii="仿宋_GB2312" w:eastAsia="仿宋_GB2312" w:hAnsi="仿宋_GB2312" w:hint="eastAsia"/>
                <w:color w:val="0000FF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lastRenderedPageBreak/>
              <w:t>4.</w:t>
            </w:r>
            <w:r>
              <w:rPr>
                <w:rFonts w:ascii="仿宋_GB2312" w:eastAsia="仿宋_GB2312" w:hAnsi="仿宋_GB2312" w:hint="eastAsia"/>
                <w:b/>
                <w:bCs/>
                <w:sz w:val="32"/>
              </w:rPr>
              <w:t>国内</w:t>
            </w:r>
            <w:r>
              <w:rPr>
                <w:rFonts w:ascii="仿宋_GB2312" w:eastAsia="仿宋_GB2312" w:hAnsi="仿宋_GB2312" w:hint="eastAsia"/>
                <w:sz w:val="32"/>
              </w:rPr>
              <w:t>原油水路运输货源情况</w:t>
            </w:r>
          </w:p>
        </w:tc>
      </w:tr>
      <w:tr w:rsidR="00620328" w:rsidTr="00620328">
        <w:trPr>
          <w:trHeight w:val="47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序号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货主</w:t>
            </w:r>
          </w:p>
        </w:tc>
        <w:tc>
          <w:tcPr>
            <w:tcW w:w="1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原油性质（进口中转油、海洋油、大庆油）</w:t>
            </w:r>
          </w:p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及主要航线</w:t>
            </w:r>
          </w:p>
        </w:tc>
        <w:tc>
          <w:tcPr>
            <w:tcW w:w="5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运量（万吨）</w:t>
            </w:r>
          </w:p>
        </w:tc>
      </w:tr>
      <w:tr w:rsidR="00620328" w:rsidTr="00620328">
        <w:trPr>
          <w:trHeight w:val="575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2014年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2015年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2016年1-9月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2016年（预计）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2017年（预计）</w:t>
            </w:r>
          </w:p>
        </w:tc>
      </w:tr>
      <w:tr w:rsidR="00620328" w:rsidTr="00620328">
        <w:trPr>
          <w:trHeight w:val="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</w:tr>
      <w:tr w:rsidR="00620328" w:rsidTr="00620328">
        <w:trPr>
          <w:trHeight w:val="4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</w:tr>
      <w:tr w:rsidR="00620328" w:rsidTr="00620328">
        <w:trPr>
          <w:trHeight w:val="42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</w:tr>
      <w:tr w:rsidR="00620328" w:rsidTr="00620328">
        <w:trPr>
          <w:trHeight w:val="45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…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</w:tr>
      <w:tr w:rsidR="00620328" w:rsidTr="00620328">
        <w:trPr>
          <w:trHeight w:val="7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合计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/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FF"/>
                <w:sz w:val="24"/>
              </w:rPr>
              <w:t>/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color w:val="0000FF"/>
                <w:sz w:val="24"/>
              </w:rPr>
            </w:pPr>
          </w:p>
        </w:tc>
      </w:tr>
      <w:tr w:rsidR="00620328" w:rsidTr="00620328">
        <w:trPr>
          <w:trHeight w:val="567"/>
        </w:trPr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6.原油运输组织方式改革后对本单位生产经营的影响</w:t>
            </w:r>
          </w:p>
          <w:p w:rsidR="00620328" w:rsidRDefault="00620328">
            <w:pPr>
              <w:rPr>
                <w:rFonts w:ascii="仿宋_GB2312" w:eastAsia="仿宋_GB2312" w:hAnsi="仿宋_GB2312" w:hint="eastAsia"/>
                <w:sz w:val="32"/>
              </w:rPr>
            </w:pPr>
          </w:p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620328" w:rsidTr="00620328">
        <w:trPr>
          <w:trHeight w:val="567"/>
        </w:trPr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>
            <w:p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7.对今后一个时期国内水路跨省原油运输发展趋势的判断</w:t>
            </w:r>
          </w:p>
          <w:p w:rsidR="00620328" w:rsidRDefault="00620328">
            <w:pPr>
              <w:rPr>
                <w:rFonts w:ascii="仿宋_GB2312" w:eastAsia="仿宋_GB2312" w:hAnsi="仿宋_GB2312" w:hint="eastAsia"/>
                <w:sz w:val="32"/>
              </w:rPr>
            </w:pPr>
          </w:p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620328" w:rsidTr="00620328">
        <w:trPr>
          <w:trHeight w:val="567"/>
        </w:trPr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28" w:rsidRDefault="00620328" w:rsidP="00CC68F4">
            <w:pPr>
              <w:numPr>
                <w:ilvl w:val="0"/>
                <w:numId w:val="3"/>
              </w:num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对国内原油运输管理意见建议</w:t>
            </w:r>
          </w:p>
          <w:p w:rsidR="00620328" w:rsidRDefault="00620328">
            <w:p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（1）对企业准入及运力调控的建议：</w:t>
            </w:r>
          </w:p>
          <w:p w:rsidR="00620328" w:rsidRDefault="00620328">
            <w:pPr>
              <w:rPr>
                <w:rFonts w:ascii="仿宋_GB2312" w:eastAsia="仿宋_GB2312" w:hAnsi="仿宋_GB2312" w:hint="eastAsia"/>
                <w:sz w:val="32"/>
              </w:rPr>
            </w:pPr>
          </w:p>
          <w:p w:rsidR="00620328" w:rsidRDefault="00620328">
            <w:p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（2）其他意见建议：</w:t>
            </w:r>
          </w:p>
          <w:p w:rsidR="00620328" w:rsidRDefault="00620328">
            <w:pPr>
              <w:rPr>
                <w:rFonts w:ascii="仿宋_GB2312" w:eastAsia="仿宋_GB2312" w:hAnsi="仿宋_GB2312" w:hint="eastAsia"/>
                <w:sz w:val="32"/>
              </w:rPr>
            </w:pPr>
          </w:p>
          <w:p w:rsidR="00620328" w:rsidRDefault="00620328">
            <w:pPr>
              <w:rPr>
                <w:rFonts w:ascii="仿宋_GB2312" w:eastAsia="仿宋_GB2312" w:hAnsi="仿宋_GB2312" w:hint="eastAsia"/>
                <w:sz w:val="32"/>
              </w:rPr>
            </w:pPr>
          </w:p>
          <w:p w:rsidR="00620328" w:rsidRDefault="00620328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</w:tr>
    </w:tbl>
    <w:p w:rsidR="00363F0F" w:rsidRDefault="00363F0F">
      <w:bookmarkStart w:id="0" w:name="_GoBack"/>
      <w:bookmarkEnd w:id="0"/>
    </w:p>
    <w:sectPr w:rsidR="00363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57" w:rsidRDefault="00E42857" w:rsidP="00620328">
      <w:r>
        <w:separator/>
      </w:r>
    </w:p>
  </w:endnote>
  <w:endnote w:type="continuationSeparator" w:id="0">
    <w:p w:rsidR="00E42857" w:rsidRDefault="00E42857" w:rsidP="0062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57" w:rsidRDefault="00E42857" w:rsidP="00620328">
      <w:r>
        <w:separator/>
      </w:r>
    </w:p>
  </w:footnote>
  <w:footnote w:type="continuationSeparator" w:id="0">
    <w:p w:rsidR="00E42857" w:rsidRDefault="00E42857" w:rsidP="0062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lvl w:ilvl="0">
      <w:start w:val="8"/>
      <w:numFmt w:val="decimal"/>
      <w:suff w:val="nothing"/>
      <w:lvlText w:val="%1."/>
      <w:lvlJc w:val="left"/>
      <w:pPr>
        <w:ind w:left="0" w:firstLine="0"/>
      </w:pPr>
    </w:lvl>
  </w:abstractNum>
  <w:abstractNum w:abstractNumId="1">
    <w:nsid w:val="0000000D"/>
    <w:multiLevelType w:val="singleLevel"/>
    <w:tmpl w:val="0000000D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2">
    <w:nsid w:val="0000000F"/>
    <w:multiLevelType w:val="singleLevel"/>
    <w:tmpl w:val="0000000F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10"/>
    <w:rsid w:val="00363F0F"/>
    <w:rsid w:val="00620328"/>
    <w:rsid w:val="00A23710"/>
    <w:rsid w:val="00E4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A5CA03-1951-41FD-B85B-E0A89D83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3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3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3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2016-10-19T06:58:00Z</dcterms:created>
  <dcterms:modified xsi:type="dcterms:W3CDTF">2016-10-19T06:58:00Z</dcterms:modified>
</cp:coreProperties>
</file>