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before="156" w:beforeLines="50" w:after="156" w:afterLines="50" w:line="360" w:lineRule="auto"/>
        <w:ind w:firstLine="0" w:firstLineChars="0"/>
        <w:rPr>
          <w:rFonts w:ascii="Times New Roman" w:hAnsi="Times New Roman"/>
          <w:b/>
        </w:rPr>
      </w:pPr>
      <w:r>
        <w:rPr>
          <w:rFonts w:hint="eastAsia" w:ascii="方正小标宋简体" w:hAnsi="Times New Roman" w:eastAsia="方正小标宋简体"/>
          <w:b/>
        </w:rPr>
        <w:t>附件</w:t>
      </w:r>
      <w:r>
        <w:rPr>
          <w:rFonts w:ascii="Times New Roman" w:hAnsi="Times New Roman"/>
          <w:b/>
        </w:rPr>
        <w:t xml:space="preserve">2 </w:t>
      </w:r>
    </w:p>
    <w:p>
      <w:pPr>
        <w:overflowPunct w:val="0"/>
        <w:snapToGrid w:val="0"/>
        <w:spacing w:before="156" w:beforeLines="50" w:after="156" w:afterLines="50" w:line="360" w:lineRule="auto"/>
        <w:ind w:firstLine="0" w:firstLineChars="0"/>
        <w:rPr>
          <w:rFonts w:ascii="Times New Roman" w:hAnsi="Times New Roman"/>
          <w:b/>
        </w:rPr>
      </w:pPr>
    </w:p>
    <w:p>
      <w:pPr>
        <w:overflowPunct w:val="0"/>
        <w:snapToGrid w:val="0"/>
        <w:spacing w:before="156" w:beforeLines="50" w:line="360" w:lineRule="auto"/>
        <w:ind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部无车承运试点企业运行监测平台</w:t>
      </w:r>
    </w:p>
    <w:p>
      <w:pPr>
        <w:overflowPunct w:val="0"/>
        <w:snapToGrid w:val="0"/>
        <w:spacing w:line="360" w:lineRule="auto"/>
        <w:ind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接入指南</w:t>
      </w: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line="360" w:lineRule="auto"/>
        <w:ind w:firstLine="0" w:firstLineChars="0"/>
        <w:jc w:val="center"/>
        <w:rPr>
          <w:rFonts w:ascii="Times New Roman" w:hAnsi="Times New Roman" w:eastAsia="黑体"/>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701" w:header="992" w:footer="992" w:gutter="0"/>
          <w:cols w:space="425" w:num="1"/>
          <w:docGrid w:type="linesAndChars" w:linePitch="312" w:charSpace="0"/>
        </w:sectPr>
      </w:pPr>
      <w:r>
        <w:rPr>
          <w:rFonts w:ascii="Times New Roman" w:hAnsi="Times New Roman" w:eastAsia="黑体"/>
          <w:sz w:val="36"/>
          <w:szCs w:val="36"/>
        </w:rPr>
        <w:t>2017</w:t>
      </w:r>
      <w:r>
        <w:rPr>
          <w:rFonts w:hint="eastAsia" w:ascii="Times New Roman" w:hAnsi="Times New Roman" w:eastAsia="黑体"/>
          <w:sz w:val="36"/>
          <w:szCs w:val="36"/>
        </w:rPr>
        <w:t>年3月</w:t>
      </w:r>
    </w:p>
    <w:p>
      <w:pPr>
        <w:overflowPunct w:val="0"/>
        <w:snapToGrid w:val="0"/>
        <w:spacing w:line="360" w:lineRule="auto"/>
        <w:ind w:firstLine="0" w:firstLineChars="0"/>
        <w:jc w:val="center"/>
        <w:rPr>
          <w:rFonts w:ascii="黑体" w:hAnsi="黑体" w:eastAsia="黑体"/>
          <w:b/>
        </w:rPr>
      </w:pPr>
      <w:r>
        <w:rPr>
          <w:rFonts w:hint="eastAsia" w:ascii="黑体" w:hAnsi="黑体" w:eastAsia="黑体"/>
          <w:b/>
        </w:rPr>
        <w:t>目</w:t>
      </w:r>
      <w:r>
        <w:rPr>
          <w:rFonts w:ascii="黑体" w:hAnsi="黑体" w:eastAsia="黑体"/>
          <w:b/>
        </w:rPr>
        <w:t xml:space="preserve"> </w:t>
      </w:r>
      <w:r>
        <w:rPr>
          <w:rFonts w:hint="eastAsia" w:ascii="黑体" w:hAnsi="黑体" w:eastAsia="黑体"/>
          <w:b/>
        </w:rPr>
        <w:t>录</w:t>
      </w:r>
    </w:p>
    <w:p>
      <w:pPr>
        <w:pStyle w:val="16"/>
        <w:tabs>
          <w:tab w:val="right" w:leader="dot" w:pos="8777"/>
        </w:tabs>
        <w:ind w:left="0" w:leftChars="0" w:firstLine="0" w:firstLineChars="0"/>
        <w:rPr>
          <w:rFonts w:ascii="仿宋_GB2312"/>
          <w:b w:val="0"/>
          <w:bCs w:val="0"/>
          <w:caps w:val="0"/>
          <w:sz w:val="28"/>
          <w:szCs w:val="28"/>
        </w:rPr>
      </w:pPr>
      <w:r>
        <w:rPr>
          <w:rFonts w:hint="eastAsia" w:ascii="仿宋_GB2312" w:hAnsi="Times New Roman"/>
          <w:b w:val="0"/>
          <w:bCs w:val="0"/>
          <w:caps w:val="0"/>
          <w:sz w:val="28"/>
          <w:szCs w:val="28"/>
          <w:lang w:val="en-US" w:eastAsia="zh-CN"/>
        </w:rPr>
        <w:t xml:space="preserve">   </w:t>
      </w:r>
      <w:r>
        <w:rPr>
          <w:rFonts w:hint="eastAsia" w:ascii="仿宋_GB2312" w:hAnsi="Times New Roman"/>
          <w:b w:val="0"/>
          <w:bCs w:val="0"/>
          <w:caps w:val="0"/>
          <w:sz w:val="28"/>
          <w:szCs w:val="28"/>
        </w:rPr>
        <w:fldChar w:fldCharType="begin"/>
      </w:r>
      <w:r>
        <w:rPr>
          <w:rFonts w:hint="eastAsia" w:ascii="仿宋_GB2312" w:hAnsi="Times New Roman"/>
          <w:b w:val="0"/>
          <w:bCs w:val="0"/>
          <w:caps w:val="0"/>
          <w:sz w:val="28"/>
          <w:szCs w:val="28"/>
        </w:rPr>
        <w:instrText xml:space="preserve"> TOC \o "1-3" \h \z \u </w:instrText>
      </w:r>
      <w:r>
        <w:rPr>
          <w:rFonts w:hint="eastAsia" w:ascii="仿宋_GB2312" w:hAnsi="Times New Roman"/>
          <w:b w:val="0"/>
          <w:bCs w:val="0"/>
          <w:caps w:val="0"/>
          <w:sz w:val="28"/>
          <w:szCs w:val="28"/>
        </w:rPr>
        <w:fldChar w:fldCharType="separate"/>
      </w:r>
      <w:r>
        <w:fldChar w:fldCharType="begin"/>
      </w:r>
      <w:r>
        <w:instrText xml:space="preserve"> HYPERLINK \l "_Toc476581364" </w:instrText>
      </w:r>
      <w:r>
        <w:fldChar w:fldCharType="separate"/>
      </w:r>
      <w:r>
        <w:rPr>
          <w:rStyle w:val="26"/>
          <w:rFonts w:hint="eastAsia" w:ascii="仿宋_GB2312"/>
          <w:sz w:val="28"/>
          <w:szCs w:val="28"/>
        </w:rPr>
        <w:t>1 概述</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_Toc476581364 \h </w:instrText>
      </w:r>
      <w:r>
        <w:rPr>
          <w:rFonts w:hint="eastAsia" w:ascii="仿宋_GB2312"/>
          <w:sz w:val="28"/>
          <w:szCs w:val="28"/>
        </w:rPr>
        <w:fldChar w:fldCharType="separate"/>
      </w:r>
      <w:r>
        <w:rPr>
          <w:rFonts w:hint="eastAsia" w:ascii="仿宋_GB2312"/>
          <w:sz w:val="28"/>
          <w:szCs w:val="28"/>
        </w:rPr>
        <w:t>1</w:t>
      </w:r>
      <w:r>
        <w:rPr>
          <w:rFonts w:hint="eastAsia" w:ascii="仿宋_GB2312"/>
          <w:sz w:val="28"/>
          <w:szCs w:val="28"/>
        </w:rPr>
        <w:fldChar w:fldCharType="end"/>
      </w:r>
      <w:r>
        <w:rPr>
          <w:rFonts w:hint="eastAsia" w:ascii="仿宋_GB2312"/>
          <w:sz w:val="28"/>
          <w:szCs w:val="28"/>
        </w:rPr>
        <w:fldChar w:fldCharType="end"/>
      </w:r>
    </w:p>
    <w:p>
      <w:pPr>
        <w:pStyle w:val="16"/>
        <w:tabs>
          <w:tab w:val="right" w:leader="dot" w:pos="8777"/>
        </w:tabs>
        <w:ind w:firstLine="402"/>
        <w:rPr>
          <w:rFonts w:ascii="仿宋_GB2312"/>
          <w:b w:val="0"/>
          <w:bCs w:val="0"/>
          <w:caps w:val="0"/>
          <w:sz w:val="28"/>
          <w:szCs w:val="28"/>
        </w:rPr>
      </w:pPr>
      <w:r>
        <w:fldChar w:fldCharType="begin"/>
      </w:r>
      <w:r>
        <w:instrText xml:space="preserve"> HYPERLINK \l "_Toc476581365" </w:instrText>
      </w:r>
      <w:r>
        <w:fldChar w:fldCharType="separate"/>
      </w:r>
      <w:r>
        <w:rPr>
          <w:rStyle w:val="26"/>
          <w:rFonts w:hint="eastAsia" w:ascii="仿宋_GB2312"/>
          <w:sz w:val="28"/>
          <w:szCs w:val="28"/>
        </w:rPr>
        <w:t>2 试点企业接入要求</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_Toc476581365 \h </w:instrText>
      </w:r>
      <w:r>
        <w:rPr>
          <w:rFonts w:hint="eastAsia" w:ascii="仿宋_GB2312"/>
          <w:sz w:val="28"/>
          <w:szCs w:val="28"/>
        </w:rPr>
        <w:fldChar w:fldCharType="separate"/>
      </w:r>
      <w:r>
        <w:rPr>
          <w:rFonts w:hint="eastAsia" w:ascii="仿宋_GB2312"/>
          <w:sz w:val="28"/>
          <w:szCs w:val="28"/>
        </w:rPr>
        <w:t>1</w:t>
      </w:r>
      <w:r>
        <w:rPr>
          <w:rFonts w:hint="eastAsia" w:ascii="仿宋_GB2312"/>
          <w:sz w:val="28"/>
          <w:szCs w:val="28"/>
        </w:rPr>
        <w:fldChar w:fldCharType="end"/>
      </w:r>
      <w:r>
        <w:rPr>
          <w:rFonts w:hint="eastAsia" w:ascii="仿宋_GB2312"/>
          <w:sz w:val="28"/>
          <w:szCs w:val="28"/>
        </w:rPr>
        <w:fldChar w:fldCharType="end"/>
      </w:r>
    </w:p>
    <w:p>
      <w:pPr>
        <w:pStyle w:val="16"/>
        <w:tabs>
          <w:tab w:val="right" w:leader="dot" w:pos="8777"/>
        </w:tabs>
        <w:ind w:firstLine="402"/>
        <w:rPr>
          <w:rFonts w:ascii="仿宋_GB2312"/>
          <w:b w:val="0"/>
          <w:bCs w:val="0"/>
          <w:caps w:val="0"/>
          <w:sz w:val="28"/>
          <w:szCs w:val="28"/>
        </w:rPr>
      </w:pPr>
      <w:r>
        <w:fldChar w:fldCharType="begin"/>
      </w:r>
      <w:r>
        <w:instrText xml:space="preserve"> HYPERLINK \l "_Toc476581366" </w:instrText>
      </w:r>
      <w:r>
        <w:fldChar w:fldCharType="separate"/>
      </w:r>
      <w:r>
        <w:rPr>
          <w:rStyle w:val="26"/>
          <w:rFonts w:hint="eastAsia" w:ascii="仿宋_GB2312"/>
          <w:sz w:val="28"/>
          <w:szCs w:val="28"/>
        </w:rPr>
        <w:t>3 软件接入改造流程</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_Toc476581366 \h </w:instrText>
      </w:r>
      <w:r>
        <w:rPr>
          <w:rFonts w:hint="eastAsia" w:ascii="仿宋_GB2312"/>
          <w:sz w:val="28"/>
          <w:szCs w:val="28"/>
        </w:rPr>
        <w:fldChar w:fldCharType="separate"/>
      </w:r>
      <w:r>
        <w:rPr>
          <w:rFonts w:hint="eastAsia" w:ascii="仿宋_GB2312"/>
          <w:sz w:val="28"/>
          <w:szCs w:val="28"/>
        </w:rPr>
        <w:t>2</w:t>
      </w:r>
      <w:r>
        <w:rPr>
          <w:rFonts w:hint="eastAsia" w:ascii="仿宋_GB2312"/>
          <w:sz w:val="28"/>
          <w:szCs w:val="28"/>
        </w:rPr>
        <w:fldChar w:fldCharType="end"/>
      </w:r>
      <w:r>
        <w:rPr>
          <w:rFonts w:hint="eastAsia" w:ascii="仿宋_GB2312"/>
          <w:sz w:val="28"/>
          <w:szCs w:val="28"/>
        </w:rPr>
        <w:fldChar w:fldCharType="end"/>
      </w:r>
    </w:p>
    <w:p>
      <w:pPr>
        <w:pStyle w:val="16"/>
        <w:tabs>
          <w:tab w:val="right" w:leader="dot" w:pos="8777"/>
        </w:tabs>
        <w:ind w:firstLine="402"/>
        <w:rPr>
          <w:rFonts w:ascii="仿宋_GB2312"/>
          <w:b w:val="0"/>
          <w:bCs w:val="0"/>
          <w:caps w:val="0"/>
          <w:sz w:val="28"/>
          <w:szCs w:val="28"/>
        </w:rPr>
      </w:pPr>
      <w:r>
        <w:fldChar w:fldCharType="begin"/>
      </w:r>
      <w:r>
        <w:instrText xml:space="preserve"> HYPERLINK \l "_Toc476581367" </w:instrText>
      </w:r>
      <w:r>
        <w:fldChar w:fldCharType="separate"/>
      </w:r>
      <w:r>
        <w:rPr>
          <w:rStyle w:val="26"/>
          <w:rFonts w:hint="eastAsia" w:ascii="仿宋_GB2312"/>
          <w:sz w:val="28"/>
          <w:szCs w:val="28"/>
        </w:rPr>
        <w:t>4 接入单证规范</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_Toc476581367 \h </w:instrText>
      </w:r>
      <w:r>
        <w:rPr>
          <w:rFonts w:hint="eastAsia" w:ascii="仿宋_GB2312"/>
          <w:sz w:val="28"/>
          <w:szCs w:val="28"/>
        </w:rPr>
        <w:fldChar w:fldCharType="separate"/>
      </w:r>
      <w:r>
        <w:rPr>
          <w:rFonts w:hint="eastAsia" w:ascii="仿宋_GB2312"/>
          <w:sz w:val="28"/>
          <w:szCs w:val="28"/>
        </w:rPr>
        <w:t>2</w:t>
      </w:r>
      <w:r>
        <w:rPr>
          <w:rFonts w:hint="eastAsia" w:ascii="仿宋_GB2312"/>
          <w:sz w:val="28"/>
          <w:szCs w:val="28"/>
        </w:rPr>
        <w:fldChar w:fldCharType="end"/>
      </w:r>
      <w:r>
        <w:rPr>
          <w:rFonts w:hint="eastAsia" w:ascii="仿宋_GB2312"/>
          <w:sz w:val="28"/>
          <w:szCs w:val="28"/>
        </w:rPr>
        <w:fldChar w:fldCharType="end"/>
      </w:r>
    </w:p>
    <w:p>
      <w:pPr>
        <w:pStyle w:val="19"/>
        <w:tabs>
          <w:tab w:val="right" w:leader="dot" w:pos="8777"/>
        </w:tabs>
        <w:ind w:firstLine="400"/>
        <w:rPr>
          <w:rFonts w:ascii="仿宋_GB2312"/>
          <w:smallCaps w:val="0"/>
          <w:sz w:val="28"/>
          <w:szCs w:val="28"/>
        </w:rPr>
      </w:pPr>
      <w:r>
        <w:fldChar w:fldCharType="begin"/>
      </w:r>
      <w:r>
        <w:instrText xml:space="preserve"> HYPERLINK \l "_Toc476581368" </w:instrText>
      </w:r>
      <w:r>
        <w:fldChar w:fldCharType="separate"/>
      </w:r>
      <w:r>
        <w:rPr>
          <w:rStyle w:val="26"/>
          <w:rFonts w:hint="eastAsia" w:ascii="仿宋_GB2312" w:hAnsi="Times New Roman"/>
          <w:sz w:val="28"/>
          <w:szCs w:val="28"/>
        </w:rPr>
        <w:t>4.1 无车承运人运单技术规范</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_Toc476581368 \h </w:instrText>
      </w:r>
      <w:r>
        <w:rPr>
          <w:rFonts w:hint="eastAsia" w:ascii="仿宋_GB2312"/>
          <w:sz w:val="28"/>
          <w:szCs w:val="28"/>
        </w:rPr>
        <w:fldChar w:fldCharType="separate"/>
      </w:r>
      <w:r>
        <w:rPr>
          <w:rFonts w:hint="eastAsia" w:ascii="仿宋_GB2312"/>
          <w:sz w:val="28"/>
          <w:szCs w:val="28"/>
        </w:rPr>
        <w:t>4</w:t>
      </w:r>
      <w:r>
        <w:rPr>
          <w:rFonts w:hint="eastAsia" w:ascii="仿宋_GB2312"/>
          <w:sz w:val="28"/>
          <w:szCs w:val="28"/>
        </w:rPr>
        <w:fldChar w:fldCharType="end"/>
      </w:r>
      <w:r>
        <w:rPr>
          <w:rFonts w:hint="eastAsia" w:ascii="仿宋_GB2312"/>
          <w:sz w:val="28"/>
          <w:szCs w:val="28"/>
        </w:rPr>
        <w:fldChar w:fldCharType="end"/>
      </w:r>
    </w:p>
    <w:p>
      <w:pPr>
        <w:pStyle w:val="19"/>
        <w:tabs>
          <w:tab w:val="right" w:leader="dot" w:pos="8777"/>
        </w:tabs>
        <w:ind w:firstLine="400"/>
        <w:rPr>
          <w:rFonts w:ascii="仿宋_GB2312"/>
          <w:smallCaps w:val="0"/>
          <w:sz w:val="28"/>
          <w:szCs w:val="28"/>
        </w:rPr>
      </w:pPr>
      <w:r>
        <w:fldChar w:fldCharType="begin"/>
      </w:r>
      <w:r>
        <w:instrText xml:space="preserve"> HYPERLINK \l "_Toc476581369" </w:instrText>
      </w:r>
      <w:r>
        <w:fldChar w:fldCharType="separate"/>
      </w:r>
      <w:r>
        <w:rPr>
          <w:rStyle w:val="26"/>
          <w:rFonts w:hint="eastAsia" w:ascii="仿宋_GB2312" w:hAnsi="Times New Roman"/>
          <w:sz w:val="28"/>
          <w:szCs w:val="28"/>
        </w:rPr>
        <w:t>4.2 代码集</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_Toc476581369 \h </w:instrText>
      </w:r>
      <w:r>
        <w:rPr>
          <w:rFonts w:hint="eastAsia" w:ascii="仿宋_GB2312"/>
          <w:sz w:val="28"/>
          <w:szCs w:val="28"/>
        </w:rPr>
        <w:fldChar w:fldCharType="separate"/>
      </w:r>
      <w:r>
        <w:rPr>
          <w:rFonts w:hint="eastAsia" w:ascii="仿宋_GB2312"/>
          <w:sz w:val="28"/>
          <w:szCs w:val="28"/>
        </w:rPr>
        <w:t>10</w:t>
      </w:r>
      <w:r>
        <w:rPr>
          <w:rFonts w:hint="eastAsia" w:ascii="仿宋_GB2312"/>
          <w:sz w:val="28"/>
          <w:szCs w:val="28"/>
        </w:rPr>
        <w:fldChar w:fldCharType="end"/>
      </w:r>
      <w:r>
        <w:rPr>
          <w:rFonts w:hint="eastAsia" w:ascii="仿宋_GB2312"/>
          <w:sz w:val="28"/>
          <w:szCs w:val="28"/>
        </w:rPr>
        <w:fldChar w:fldCharType="end"/>
      </w:r>
    </w:p>
    <w:p>
      <w:pPr>
        <w:pStyle w:val="10"/>
        <w:tabs>
          <w:tab w:val="right" w:leader="dot" w:pos="8777"/>
        </w:tabs>
        <w:ind w:firstLine="400"/>
        <w:rPr>
          <w:rFonts w:ascii="仿宋_GB2312"/>
          <w:i w:val="0"/>
          <w:iCs w:val="0"/>
          <w:sz w:val="28"/>
          <w:szCs w:val="28"/>
        </w:rPr>
      </w:pPr>
      <w:r>
        <w:fldChar w:fldCharType="begin"/>
      </w:r>
      <w:r>
        <w:instrText xml:space="preserve"> HYPERLINK \l "_Toc476581370" </w:instrText>
      </w:r>
      <w:r>
        <w:fldChar w:fldCharType="separate"/>
      </w:r>
      <w:r>
        <w:rPr>
          <w:rStyle w:val="26"/>
          <w:rFonts w:hint="eastAsia" w:ascii="仿宋_GB2312"/>
          <w:i w:val="0"/>
          <w:sz w:val="28"/>
          <w:szCs w:val="28"/>
        </w:rPr>
        <w:t>4.2.1 报文功能代码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_Toc476581370 \h </w:instrText>
      </w:r>
      <w:r>
        <w:rPr>
          <w:rFonts w:hint="eastAsia" w:ascii="仿宋_GB2312"/>
          <w:i w:val="0"/>
          <w:sz w:val="28"/>
          <w:szCs w:val="28"/>
        </w:rPr>
        <w:fldChar w:fldCharType="separate"/>
      </w:r>
      <w:r>
        <w:rPr>
          <w:rFonts w:hint="eastAsia" w:ascii="仿宋_GB2312"/>
          <w:i w:val="0"/>
          <w:sz w:val="28"/>
          <w:szCs w:val="28"/>
        </w:rPr>
        <w:t>10</w:t>
      </w:r>
      <w:r>
        <w:rPr>
          <w:rFonts w:hint="eastAsia" w:ascii="仿宋_GB2312"/>
          <w:i w:val="0"/>
          <w:sz w:val="28"/>
          <w:szCs w:val="28"/>
        </w:rPr>
        <w:fldChar w:fldCharType="end"/>
      </w:r>
      <w:r>
        <w:rPr>
          <w:rFonts w:hint="eastAsia" w:ascii="仿宋_GB2312"/>
          <w:i w:val="0"/>
          <w:sz w:val="28"/>
          <w:szCs w:val="28"/>
        </w:rPr>
        <w:fldChar w:fldCharType="end"/>
      </w:r>
    </w:p>
    <w:p>
      <w:pPr>
        <w:pStyle w:val="10"/>
        <w:tabs>
          <w:tab w:val="right" w:leader="dot" w:pos="8777"/>
        </w:tabs>
        <w:ind w:firstLine="400"/>
        <w:rPr>
          <w:rFonts w:ascii="仿宋_GB2312"/>
          <w:i w:val="0"/>
          <w:iCs w:val="0"/>
          <w:sz w:val="28"/>
          <w:szCs w:val="28"/>
        </w:rPr>
      </w:pPr>
      <w:r>
        <w:fldChar w:fldCharType="begin"/>
      </w:r>
      <w:r>
        <w:instrText xml:space="preserve"> HYPERLINK \l "_Toc476581371" </w:instrText>
      </w:r>
      <w:r>
        <w:fldChar w:fldCharType="separate"/>
      </w:r>
      <w:r>
        <w:rPr>
          <w:rStyle w:val="26"/>
          <w:rFonts w:hint="eastAsia" w:ascii="仿宋_GB2312"/>
          <w:i w:val="0"/>
          <w:sz w:val="28"/>
          <w:szCs w:val="28"/>
        </w:rPr>
        <w:t>4.2.2 业务类型代码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_Toc476581371 \h </w:instrText>
      </w:r>
      <w:r>
        <w:rPr>
          <w:rFonts w:hint="eastAsia" w:ascii="仿宋_GB2312"/>
          <w:i w:val="0"/>
          <w:sz w:val="28"/>
          <w:szCs w:val="28"/>
        </w:rPr>
        <w:fldChar w:fldCharType="separate"/>
      </w:r>
      <w:r>
        <w:rPr>
          <w:rFonts w:hint="eastAsia" w:ascii="仿宋_GB2312"/>
          <w:i w:val="0"/>
          <w:sz w:val="28"/>
          <w:szCs w:val="28"/>
        </w:rPr>
        <w:t>10</w:t>
      </w:r>
      <w:r>
        <w:rPr>
          <w:rFonts w:hint="eastAsia" w:ascii="仿宋_GB2312"/>
          <w:i w:val="0"/>
          <w:sz w:val="28"/>
          <w:szCs w:val="28"/>
        </w:rPr>
        <w:fldChar w:fldCharType="end"/>
      </w:r>
      <w:r>
        <w:rPr>
          <w:rFonts w:hint="eastAsia" w:ascii="仿宋_GB2312"/>
          <w:i w:val="0"/>
          <w:sz w:val="28"/>
          <w:szCs w:val="28"/>
        </w:rPr>
        <w:fldChar w:fldCharType="end"/>
      </w:r>
    </w:p>
    <w:p>
      <w:pPr>
        <w:pStyle w:val="10"/>
        <w:tabs>
          <w:tab w:val="right" w:leader="dot" w:pos="8777"/>
        </w:tabs>
        <w:ind w:firstLine="400"/>
        <w:rPr>
          <w:rFonts w:ascii="仿宋_GB2312"/>
          <w:i w:val="0"/>
          <w:iCs w:val="0"/>
          <w:sz w:val="28"/>
          <w:szCs w:val="28"/>
        </w:rPr>
      </w:pPr>
      <w:r>
        <w:fldChar w:fldCharType="begin"/>
      </w:r>
      <w:r>
        <w:instrText xml:space="preserve"> HYPERLINK \l "_Toc476581372" </w:instrText>
      </w:r>
      <w:r>
        <w:fldChar w:fldCharType="separate"/>
      </w:r>
      <w:r>
        <w:rPr>
          <w:rStyle w:val="26"/>
          <w:rFonts w:hint="eastAsia" w:ascii="仿宋_GB2312"/>
          <w:i w:val="0"/>
          <w:sz w:val="28"/>
          <w:szCs w:val="28"/>
        </w:rPr>
        <w:t>4.2.3 牌照类型代码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_Toc476581372 \h </w:instrText>
      </w:r>
      <w:r>
        <w:rPr>
          <w:rFonts w:hint="eastAsia" w:ascii="仿宋_GB2312"/>
          <w:i w:val="0"/>
          <w:sz w:val="28"/>
          <w:szCs w:val="28"/>
        </w:rPr>
        <w:fldChar w:fldCharType="separate"/>
      </w:r>
      <w:r>
        <w:rPr>
          <w:rFonts w:hint="eastAsia" w:ascii="仿宋_GB2312"/>
          <w:i w:val="0"/>
          <w:sz w:val="28"/>
          <w:szCs w:val="28"/>
        </w:rPr>
        <w:t>10</w:t>
      </w:r>
      <w:r>
        <w:rPr>
          <w:rFonts w:hint="eastAsia" w:ascii="仿宋_GB2312"/>
          <w:i w:val="0"/>
          <w:sz w:val="28"/>
          <w:szCs w:val="28"/>
        </w:rPr>
        <w:fldChar w:fldCharType="end"/>
      </w:r>
      <w:r>
        <w:rPr>
          <w:rFonts w:hint="eastAsia" w:ascii="仿宋_GB2312"/>
          <w:i w:val="0"/>
          <w:sz w:val="28"/>
          <w:szCs w:val="28"/>
        </w:rPr>
        <w:fldChar w:fldCharType="end"/>
      </w:r>
    </w:p>
    <w:p>
      <w:pPr>
        <w:pStyle w:val="10"/>
        <w:tabs>
          <w:tab w:val="right" w:leader="dot" w:pos="8777"/>
        </w:tabs>
        <w:ind w:firstLine="400"/>
        <w:rPr>
          <w:rFonts w:ascii="仿宋_GB2312"/>
          <w:i w:val="0"/>
          <w:iCs w:val="0"/>
          <w:sz w:val="28"/>
          <w:szCs w:val="28"/>
        </w:rPr>
      </w:pPr>
      <w:r>
        <w:fldChar w:fldCharType="begin"/>
      </w:r>
      <w:r>
        <w:instrText xml:space="preserve"> HYPERLINK \l "_Toc476581373" </w:instrText>
      </w:r>
      <w:r>
        <w:fldChar w:fldCharType="separate"/>
      </w:r>
      <w:r>
        <w:rPr>
          <w:rStyle w:val="26"/>
          <w:rFonts w:hint="eastAsia" w:ascii="仿宋_GB2312"/>
          <w:i w:val="0"/>
          <w:sz w:val="28"/>
          <w:szCs w:val="28"/>
        </w:rPr>
        <w:t>4.2.4 营运车辆分类代码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_Toc476581373 \h </w:instrText>
      </w:r>
      <w:r>
        <w:rPr>
          <w:rFonts w:hint="eastAsia" w:ascii="仿宋_GB2312"/>
          <w:i w:val="0"/>
          <w:sz w:val="28"/>
          <w:szCs w:val="28"/>
        </w:rPr>
        <w:fldChar w:fldCharType="separate"/>
      </w:r>
      <w:r>
        <w:rPr>
          <w:rFonts w:hint="eastAsia" w:ascii="仿宋_GB2312"/>
          <w:i w:val="0"/>
          <w:sz w:val="28"/>
          <w:szCs w:val="28"/>
        </w:rPr>
        <w:t>11</w:t>
      </w:r>
      <w:r>
        <w:rPr>
          <w:rFonts w:hint="eastAsia" w:ascii="仿宋_GB2312"/>
          <w:i w:val="0"/>
          <w:sz w:val="28"/>
          <w:szCs w:val="28"/>
        </w:rPr>
        <w:fldChar w:fldCharType="end"/>
      </w:r>
      <w:r>
        <w:rPr>
          <w:rFonts w:hint="eastAsia" w:ascii="仿宋_GB2312"/>
          <w:i w:val="0"/>
          <w:sz w:val="28"/>
          <w:szCs w:val="28"/>
        </w:rPr>
        <w:fldChar w:fldCharType="end"/>
      </w:r>
    </w:p>
    <w:p>
      <w:pPr>
        <w:pStyle w:val="10"/>
        <w:tabs>
          <w:tab w:val="right" w:leader="dot" w:pos="8777"/>
        </w:tabs>
        <w:ind w:firstLine="400"/>
        <w:rPr>
          <w:rFonts w:ascii="仿宋_GB2312"/>
          <w:i w:val="0"/>
          <w:iCs w:val="0"/>
          <w:sz w:val="28"/>
          <w:szCs w:val="28"/>
        </w:rPr>
      </w:pPr>
      <w:r>
        <w:fldChar w:fldCharType="begin"/>
      </w:r>
      <w:r>
        <w:instrText xml:space="preserve"> HYPERLINK \l "_Toc476581374" </w:instrText>
      </w:r>
      <w:r>
        <w:fldChar w:fldCharType="separate"/>
      </w:r>
      <w:r>
        <w:rPr>
          <w:rStyle w:val="26"/>
          <w:rFonts w:hint="eastAsia" w:ascii="仿宋_GB2312"/>
          <w:i w:val="0"/>
          <w:sz w:val="28"/>
          <w:szCs w:val="28"/>
        </w:rPr>
        <w:t>4.2.5 货物分类代码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_Toc476581374 \h </w:instrText>
      </w:r>
      <w:r>
        <w:rPr>
          <w:rFonts w:hint="eastAsia" w:ascii="仿宋_GB2312"/>
          <w:i w:val="0"/>
          <w:sz w:val="28"/>
          <w:szCs w:val="28"/>
        </w:rPr>
        <w:fldChar w:fldCharType="separate"/>
      </w:r>
      <w:r>
        <w:rPr>
          <w:rFonts w:hint="eastAsia" w:ascii="仿宋_GB2312"/>
          <w:i w:val="0"/>
          <w:sz w:val="28"/>
          <w:szCs w:val="28"/>
        </w:rPr>
        <w:t>12</w:t>
      </w:r>
      <w:r>
        <w:rPr>
          <w:rFonts w:hint="eastAsia" w:ascii="仿宋_GB2312"/>
          <w:i w:val="0"/>
          <w:sz w:val="28"/>
          <w:szCs w:val="28"/>
        </w:rPr>
        <w:fldChar w:fldCharType="end"/>
      </w:r>
      <w:r>
        <w:rPr>
          <w:rFonts w:hint="eastAsia" w:ascii="仿宋_GB2312"/>
          <w:i w:val="0"/>
          <w:sz w:val="28"/>
          <w:szCs w:val="28"/>
        </w:rPr>
        <w:fldChar w:fldCharType="end"/>
      </w:r>
    </w:p>
    <w:p>
      <w:pPr>
        <w:pStyle w:val="10"/>
        <w:tabs>
          <w:tab w:val="right" w:leader="dot" w:pos="8777"/>
        </w:tabs>
        <w:ind w:firstLine="400"/>
        <w:rPr>
          <w:rFonts w:ascii="仿宋_GB2312"/>
          <w:i w:val="0"/>
          <w:iCs w:val="0"/>
          <w:sz w:val="28"/>
          <w:szCs w:val="28"/>
        </w:rPr>
      </w:pPr>
      <w:r>
        <w:fldChar w:fldCharType="begin"/>
      </w:r>
      <w:r>
        <w:instrText xml:space="preserve"> HYPERLINK \l "_Toc476581375" </w:instrText>
      </w:r>
      <w:r>
        <w:fldChar w:fldCharType="separate"/>
      </w:r>
      <w:r>
        <w:rPr>
          <w:rStyle w:val="26"/>
          <w:rFonts w:hint="eastAsia" w:ascii="仿宋_GB2312"/>
          <w:i w:val="0"/>
          <w:sz w:val="28"/>
          <w:szCs w:val="28"/>
        </w:rPr>
        <w:t>4.2.6 国家行政区划代码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_Toc476581375 \h </w:instrText>
      </w:r>
      <w:r>
        <w:rPr>
          <w:rFonts w:hint="eastAsia" w:ascii="仿宋_GB2312"/>
          <w:i w:val="0"/>
          <w:sz w:val="28"/>
          <w:szCs w:val="28"/>
        </w:rPr>
        <w:fldChar w:fldCharType="separate"/>
      </w:r>
      <w:r>
        <w:rPr>
          <w:rFonts w:hint="eastAsia" w:ascii="仿宋_GB2312"/>
          <w:i w:val="0"/>
          <w:sz w:val="28"/>
          <w:szCs w:val="28"/>
        </w:rPr>
        <w:t>12</w:t>
      </w:r>
      <w:r>
        <w:rPr>
          <w:rFonts w:hint="eastAsia" w:ascii="仿宋_GB2312"/>
          <w:i w:val="0"/>
          <w:sz w:val="28"/>
          <w:szCs w:val="28"/>
        </w:rPr>
        <w:fldChar w:fldCharType="end"/>
      </w:r>
      <w:r>
        <w:rPr>
          <w:rFonts w:hint="eastAsia" w:ascii="仿宋_GB2312"/>
          <w:i w:val="0"/>
          <w:sz w:val="28"/>
          <w:szCs w:val="28"/>
        </w:rPr>
        <w:fldChar w:fldCharType="end"/>
      </w:r>
    </w:p>
    <w:p>
      <w:pPr>
        <w:pStyle w:val="16"/>
        <w:tabs>
          <w:tab w:val="right" w:leader="dot" w:pos="8777"/>
        </w:tabs>
        <w:ind w:firstLine="402"/>
        <w:rPr>
          <w:rFonts w:ascii="仿宋_GB2312"/>
          <w:b w:val="0"/>
          <w:bCs w:val="0"/>
          <w:caps w:val="0"/>
          <w:sz w:val="28"/>
          <w:szCs w:val="28"/>
        </w:rPr>
      </w:pPr>
      <w:r>
        <w:fldChar w:fldCharType="begin"/>
      </w:r>
      <w:r>
        <w:instrText xml:space="preserve"> HYPERLINK \l "_Toc476581376" </w:instrText>
      </w:r>
      <w:r>
        <w:fldChar w:fldCharType="separate"/>
      </w:r>
      <w:r>
        <w:rPr>
          <w:rStyle w:val="26"/>
          <w:rFonts w:hint="eastAsia" w:ascii="仿宋_GB2312"/>
          <w:sz w:val="28"/>
          <w:szCs w:val="28"/>
        </w:rPr>
        <w:t>5异常情况说明及处理</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_Toc476581376 \h </w:instrText>
      </w:r>
      <w:r>
        <w:rPr>
          <w:rFonts w:hint="eastAsia" w:ascii="仿宋_GB2312"/>
          <w:sz w:val="28"/>
          <w:szCs w:val="28"/>
        </w:rPr>
        <w:fldChar w:fldCharType="separate"/>
      </w:r>
      <w:r>
        <w:rPr>
          <w:rFonts w:hint="eastAsia" w:ascii="仿宋_GB2312"/>
          <w:sz w:val="28"/>
          <w:szCs w:val="28"/>
        </w:rPr>
        <w:t>13</w:t>
      </w:r>
      <w:r>
        <w:rPr>
          <w:rFonts w:hint="eastAsia" w:ascii="仿宋_GB2312"/>
          <w:sz w:val="28"/>
          <w:szCs w:val="28"/>
        </w:rPr>
        <w:fldChar w:fldCharType="end"/>
      </w:r>
      <w:r>
        <w:rPr>
          <w:rFonts w:hint="eastAsia" w:ascii="仿宋_GB2312"/>
          <w:sz w:val="28"/>
          <w:szCs w:val="28"/>
        </w:rPr>
        <w:fldChar w:fldCharType="end"/>
      </w:r>
    </w:p>
    <w:p>
      <w:pPr>
        <w:pStyle w:val="19"/>
        <w:tabs>
          <w:tab w:val="right" w:leader="dot" w:pos="8777"/>
        </w:tabs>
        <w:ind w:firstLine="400"/>
        <w:rPr>
          <w:rFonts w:ascii="仿宋_GB2312"/>
          <w:smallCaps w:val="0"/>
          <w:sz w:val="28"/>
          <w:szCs w:val="28"/>
        </w:rPr>
      </w:pPr>
      <w:r>
        <w:fldChar w:fldCharType="begin"/>
      </w:r>
      <w:r>
        <w:instrText xml:space="preserve"> HYPERLINK \l "_Toc476581377" </w:instrText>
      </w:r>
      <w:r>
        <w:fldChar w:fldCharType="separate"/>
      </w:r>
      <w:r>
        <w:rPr>
          <w:rStyle w:val="26"/>
          <w:rFonts w:hint="eastAsia" w:ascii="仿宋_GB2312" w:hAnsi="Times New Roman"/>
          <w:sz w:val="28"/>
          <w:szCs w:val="28"/>
        </w:rPr>
        <w:t>5.1异常情况说明</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_Toc476581377 \h </w:instrText>
      </w:r>
      <w:r>
        <w:rPr>
          <w:rFonts w:hint="eastAsia" w:ascii="仿宋_GB2312"/>
          <w:sz w:val="28"/>
          <w:szCs w:val="28"/>
        </w:rPr>
        <w:fldChar w:fldCharType="separate"/>
      </w:r>
      <w:r>
        <w:rPr>
          <w:rFonts w:hint="eastAsia" w:ascii="仿宋_GB2312"/>
          <w:sz w:val="28"/>
          <w:szCs w:val="28"/>
        </w:rPr>
        <w:t>13</w:t>
      </w:r>
      <w:r>
        <w:rPr>
          <w:rFonts w:hint="eastAsia" w:ascii="仿宋_GB2312"/>
          <w:sz w:val="28"/>
          <w:szCs w:val="28"/>
        </w:rPr>
        <w:fldChar w:fldCharType="end"/>
      </w:r>
      <w:r>
        <w:rPr>
          <w:rFonts w:hint="eastAsia" w:ascii="仿宋_GB2312"/>
          <w:sz w:val="28"/>
          <w:szCs w:val="28"/>
        </w:rPr>
        <w:fldChar w:fldCharType="end"/>
      </w:r>
    </w:p>
    <w:p>
      <w:pPr>
        <w:pStyle w:val="19"/>
        <w:tabs>
          <w:tab w:val="right" w:leader="dot" w:pos="8777"/>
        </w:tabs>
        <w:ind w:firstLine="400"/>
        <w:rPr>
          <w:rFonts w:ascii="仿宋_GB2312"/>
          <w:smallCaps w:val="0"/>
          <w:sz w:val="28"/>
          <w:szCs w:val="28"/>
        </w:rPr>
      </w:pPr>
      <w:r>
        <w:fldChar w:fldCharType="begin"/>
      </w:r>
      <w:r>
        <w:instrText xml:space="preserve"> HYPERLINK \l "_Toc476581378" </w:instrText>
      </w:r>
      <w:r>
        <w:fldChar w:fldCharType="separate"/>
      </w:r>
      <w:r>
        <w:rPr>
          <w:rStyle w:val="26"/>
          <w:rFonts w:hint="eastAsia" w:ascii="仿宋_GB2312" w:hAnsi="Times New Roman"/>
          <w:sz w:val="28"/>
          <w:szCs w:val="28"/>
        </w:rPr>
        <w:t>5.2异常情况处理</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_Toc476581378 \h </w:instrText>
      </w:r>
      <w:r>
        <w:rPr>
          <w:rFonts w:hint="eastAsia" w:ascii="仿宋_GB2312"/>
          <w:sz w:val="28"/>
          <w:szCs w:val="28"/>
        </w:rPr>
        <w:fldChar w:fldCharType="separate"/>
      </w:r>
      <w:r>
        <w:rPr>
          <w:rFonts w:hint="eastAsia" w:ascii="仿宋_GB2312"/>
          <w:sz w:val="28"/>
          <w:szCs w:val="28"/>
        </w:rPr>
        <w:t>13</w:t>
      </w:r>
      <w:r>
        <w:rPr>
          <w:rFonts w:hint="eastAsia" w:ascii="仿宋_GB2312"/>
          <w:sz w:val="28"/>
          <w:szCs w:val="28"/>
        </w:rPr>
        <w:fldChar w:fldCharType="end"/>
      </w:r>
      <w:r>
        <w:rPr>
          <w:rFonts w:hint="eastAsia" w:ascii="仿宋_GB2312"/>
          <w:sz w:val="28"/>
          <w:szCs w:val="28"/>
        </w:rPr>
        <w:fldChar w:fldCharType="end"/>
      </w:r>
    </w:p>
    <w:p>
      <w:pPr>
        <w:pStyle w:val="16"/>
        <w:tabs>
          <w:tab w:val="right" w:leader="dot" w:pos="8777"/>
        </w:tabs>
        <w:ind w:firstLine="402"/>
        <w:rPr>
          <w:rFonts w:ascii="仿宋_GB2312"/>
          <w:b w:val="0"/>
          <w:bCs w:val="0"/>
          <w:caps w:val="0"/>
          <w:sz w:val="28"/>
          <w:szCs w:val="28"/>
        </w:rPr>
      </w:pPr>
      <w:r>
        <w:fldChar w:fldCharType="begin"/>
      </w:r>
      <w:r>
        <w:instrText xml:space="preserve"> HYPERLINK \l "_Toc476581379" </w:instrText>
      </w:r>
      <w:r>
        <w:fldChar w:fldCharType="separate"/>
      </w:r>
      <w:r>
        <w:rPr>
          <w:rStyle w:val="26"/>
          <w:rFonts w:hint="eastAsia" w:ascii="仿宋_GB2312"/>
          <w:sz w:val="28"/>
          <w:szCs w:val="28"/>
        </w:rPr>
        <w:t>6 相关服务</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_Toc476581379 \h </w:instrText>
      </w:r>
      <w:r>
        <w:rPr>
          <w:rFonts w:hint="eastAsia" w:ascii="仿宋_GB2312"/>
          <w:sz w:val="28"/>
          <w:szCs w:val="28"/>
        </w:rPr>
        <w:fldChar w:fldCharType="separate"/>
      </w:r>
      <w:r>
        <w:rPr>
          <w:rFonts w:hint="eastAsia" w:ascii="仿宋_GB2312"/>
          <w:sz w:val="28"/>
          <w:szCs w:val="28"/>
        </w:rPr>
        <w:t>15</w:t>
      </w:r>
      <w:r>
        <w:rPr>
          <w:rFonts w:hint="eastAsia" w:ascii="仿宋_GB2312"/>
          <w:sz w:val="28"/>
          <w:szCs w:val="28"/>
        </w:rPr>
        <w:fldChar w:fldCharType="end"/>
      </w:r>
      <w:r>
        <w:rPr>
          <w:rFonts w:hint="eastAsia" w:ascii="仿宋_GB2312"/>
          <w:sz w:val="28"/>
          <w:szCs w:val="28"/>
        </w:rPr>
        <w:fldChar w:fldCharType="end"/>
      </w:r>
    </w:p>
    <w:p>
      <w:pPr>
        <w:pStyle w:val="16"/>
        <w:tabs>
          <w:tab w:val="right" w:leader="dot" w:pos="8777"/>
        </w:tabs>
        <w:ind w:firstLine="402"/>
        <w:rPr>
          <w:rFonts w:ascii="仿宋_GB2312"/>
          <w:b w:val="0"/>
          <w:bCs w:val="0"/>
          <w:caps w:val="0"/>
          <w:sz w:val="28"/>
          <w:szCs w:val="28"/>
        </w:rPr>
      </w:pPr>
      <w:r>
        <w:fldChar w:fldCharType="begin"/>
      </w:r>
      <w:r>
        <w:instrText xml:space="preserve"> HYPERLINK \l "_Toc476581380" </w:instrText>
      </w:r>
      <w:r>
        <w:fldChar w:fldCharType="separate"/>
      </w:r>
      <w:r>
        <w:rPr>
          <w:rStyle w:val="26"/>
          <w:rFonts w:hint="eastAsia" w:ascii="仿宋_GB2312"/>
          <w:sz w:val="28"/>
          <w:szCs w:val="28"/>
        </w:rPr>
        <w:t>7 技术支持</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_Toc476581380 \h </w:instrText>
      </w:r>
      <w:r>
        <w:rPr>
          <w:rFonts w:hint="eastAsia" w:ascii="仿宋_GB2312"/>
          <w:sz w:val="28"/>
          <w:szCs w:val="28"/>
        </w:rPr>
        <w:fldChar w:fldCharType="separate"/>
      </w:r>
      <w:r>
        <w:rPr>
          <w:rFonts w:hint="eastAsia" w:ascii="仿宋_GB2312"/>
          <w:sz w:val="28"/>
          <w:szCs w:val="28"/>
        </w:rPr>
        <w:t>15</w:t>
      </w:r>
      <w:r>
        <w:rPr>
          <w:rFonts w:hint="eastAsia" w:ascii="仿宋_GB2312"/>
          <w:sz w:val="28"/>
          <w:szCs w:val="28"/>
        </w:rPr>
        <w:fldChar w:fldCharType="end"/>
      </w:r>
      <w:r>
        <w:rPr>
          <w:rFonts w:hint="eastAsia" w:ascii="仿宋_GB2312"/>
          <w:sz w:val="28"/>
          <w:szCs w:val="28"/>
        </w:rPr>
        <w:fldChar w:fldCharType="end"/>
      </w:r>
    </w:p>
    <w:p>
      <w:pPr>
        <w:overflowPunct w:val="0"/>
        <w:snapToGrid w:val="0"/>
        <w:spacing w:line="360" w:lineRule="auto"/>
        <w:ind w:firstLine="0" w:firstLineChars="0"/>
        <w:jc w:val="center"/>
        <w:rPr>
          <w:rFonts w:ascii="Times New Roman" w:hAnsi="Times New Roman"/>
          <w:b/>
        </w:rPr>
      </w:pPr>
      <w:r>
        <w:rPr>
          <w:rFonts w:hint="eastAsia" w:ascii="仿宋_GB2312" w:hAnsi="Times New Roman"/>
          <w:bCs/>
          <w:caps/>
          <w:sz w:val="28"/>
          <w:szCs w:val="28"/>
        </w:rPr>
        <w:fldChar w:fldCharType="end"/>
      </w:r>
    </w:p>
    <w:p>
      <w:pPr>
        <w:overflowPunct w:val="0"/>
        <w:snapToGrid w:val="0"/>
        <w:spacing w:line="360" w:lineRule="auto"/>
        <w:ind w:firstLine="0" w:firstLineChars="0"/>
        <w:jc w:val="center"/>
        <w:rPr>
          <w:rFonts w:ascii="Times New Roman" w:hAnsi="Times New Roman"/>
          <w:b/>
        </w:rPr>
        <w:sectPr>
          <w:footerReference r:id="rId11" w:type="default"/>
          <w:pgSz w:w="11906" w:h="16838"/>
          <w:pgMar w:top="1418" w:right="1418" w:bottom="1418" w:left="1701" w:header="992" w:footer="992" w:gutter="0"/>
          <w:cols w:space="425" w:num="1"/>
          <w:docGrid w:type="linesAndChars" w:linePitch="312" w:charSpace="0"/>
        </w:sectPr>
      </w:pPr>
    </w:p>
    <w:p>
      <w:pPr>
        <w:pStyle w:val="2"/>
        <w:numPr>
          <w:ilvl w:val="0"/>
          <w:numId w:val="0"/>
        </w:numPr>
        <w:overflowPunct w:val="0"/>
        <w:snapToGrid w:val="0"/>
        <w:spacing w:before="156" w:after="156" w:line="360" w:lineRule="auto"/>
        <w:jc w:val="both"/>
        <w:rPr>
          <w:b w:val="0"/>
          <w:sz w:val="32"/>
          <w:szCs w:val="32"/>
        </w:rPr>
      </w:pPr>
      <w:bookmarkStart w:id="0" w:name="_Toc476581364"/>
      <w:bookmarkStart w:id="1" w:name="_Toc472065229"/>
      <w:bookmarkStart w:id="2" w:name="_Toc470592692"/>
      <w:bookmarkStart w:id="3" w:name="_Toc471820189"/>
      <w:r>
        <w:rPr>
          <w:b w:val="0"/>
          <w:sz w:val="32"/>
          <w:szCs w:val="32"/>
        </w:rPr>
        <w:t xml:space="preserve">1 </w:t>
      </w:r>
      <w:r>
        <w:rPr>
          <w:rFonts w:hint="eastAsia"/>
          <w:b w:val="0"/>
          <w:sz w:val="32"/>
          <w:szCs w:val="32"/>
        </w:rPr>
        <w:t>概述</w:t>
      </w:r>
      <w:bookmarkEnd w:id="0"/>
    </w:p>
    <w:p>
      <w:pPr>
        <w:overflowPunct w:val="0"/>
        <w:snapToGrid w:val="0"/>
        <w:spacing w:before="156" w:beforeLines="50" w:after="156" w:afterLines="50" w:line="360" w:lineRule="auto"/>
        <w:ind w:firstLine="640"/>
        <w:jc w:val="both"/>
        <w:rPr>
          <w:rFonts w:ascii="Times New Roman" w:hAnsi="Times New Roman"/>
        </w:rPr>
      </w:pPr>
      <w:r>
        <w:rPr>
          <w:rFonts w:hint="eastAsia" w:ascii="Times New Roman" w:hAnsi="Times New Roman"/>
        </w:rPr>
        <w:t>根据《交通运输部办公厅关于推进改革试点加快无车承运物流创新发展的意见》（交办运〔</w:t>
      </w:r>
      <w:r>
        <w:rPr>
          <w:rFonts w:ascii="Times New Roman" w:hAnsi="Times New Roman"/>
        </w:rPr>
        <w:t>2016</w:t>
      </w:r>
      <w:r>
        <w:rPr>
          <w:rFonts w:hint="eastAsia" w:ascii="Times New Roman" w:hAnsi="Times New Roman"/>
        </w:rPr>
        <w:t>〕</w:t>
      </w:r>
      <w:r>
        <w:rPr>
          <w:rFonts w:ascii="Times New Roman" w:hAnsi="Times New Roman"/>
        </w:rPr>
        <w:t>115</w:t>
      </w:r>
      <w:r>
        <w:rPr>
          <w:rFonts w:hint="eastAsia" w:ascii="Times New Roman" w:hAnsi="Times New Roman"/>
        </w:rPr>
        <w:t>号）要求，交通运输部委托国家物流信息平台管理中心开发建设部监测平台，对全国无车承运试点运行情况进行监测。同时，各省交通运输主管部门要建立省监测平台，对辖区无车承运试点企业运行情况进行监督监测，也可使用虚拟监测平台（由部监测平台分配省级账号）进行监测。</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本指南用于指导无车承运试点企业按照运行监测的要求，通过系统接口改造，接入部、省监测平台并实现相关数据的报送。</w:t>
      </w:r>
    </w:p>
    <w:p>
      <w:pPr>
        <w:pStyle w:val="2"/>
        <w:numPr>
          <w:ilvl w:val="0"/>
          <w:numId w:val="0"/>
        </w:numPr>
        <w:overflowPunct w:val="0"/>
        <w:snapToGrid w:val="0"/>
        <w:spacing w:before="156" w:after="156" w:line="360" w:lineRule="auto"/>
        <w:jc w:val="both"/>
        <w:rPr>
          <w:b w:val="0"/>
          <w:sz w:val="32"/>
          <w:szCs w:val="32"/>
        </w:rPr>
      </w:pPr>
      <w:bookmarkStart w:id="4" w:name="_Toc476581365"/>
      <w:r>
        <w:rPr>
          <w:b w:val="0"/>
          <w:sz w:val="32"/>
          <w:szCs w:val="32"/>
        </w:rPr>
        <w:t xml:space="preserve">2 </w:t>
      </w:r>
      <w:r>
        <w:rPr>
          <w:rFonts w:hint="eastAsia"/>
          <w:b w:val="0"/>
          <w:sz w:val="32"/>
          <w:szCs w:val="32"/>
        </w:rPr>
        <w:t>试点企业接入要求</w:t>
      </w:r>
      <w:bookmarkEnd w:id="4"/>
    </w:p>
    <w:p>
      <w:pPr>
        <w:overflowPunct w:val="0"/>
        <w:snapToGrid w:val="0"/>
        <w:spacing w:before="156" w:beforeLines="50" w:after="156" w:afterLines="50" w:line="360" w:lineRule="auto"/>
        <w:ind w:firstLine="640"/>
        <w:rPr>
          <w:rFonts w:ascii="Times New Roman" w:hAnsi="Times New Roman" w:eastAsia="黑体"/>
          <w:b/>
        </w:rPr>
      </w:pPr>
      <w:r>
        <w:rPr>
          <w:rFonts w:hint="eastAsia" w:ascii="Times New Roman" w:hAnsi="Times New Roman"/>
        </w:rPr>
        <w:t>无车承运试点企业互联网平台需按照要求进行系统接口改造，将相关运单数据实时上报。部监测平台接入方式为</w:t>
      </w:r>
      <w:r>
        <w:rPr>
          <w:rFonts w:ascii="Times New Roman" w:hAnsi="Times New Roman"/>
        </w:rPr>
        <w:t>WEBSERVICE</w:t>
      </w:r>
      <w:r>
        <w:rPr>
          <w:rFonts w:hint="eastAsia" w:ascii="Times New Roman" w:hAnsi="Times New Roman"/>
        </w:rPr>
        <w:t>。</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试点企业需改造业务系统，在货物运送至收货地并由客户签收后，实现该笔业务运输单证数据的实时上传，上报单证为《无车承运人运输单证》，相关技术规范详见《无车承运人运单技术规范》（</w:t>
      </w:r>
      <w:r>
        <w:rPr>
          <w:rFonts w:ascii="Times New Roman" w:hAnsi="Times New Roman"/>
        </w:rPr>
        <w:t>4.1</w:t>
      </w:r>
      <w:r>
        <w:rPr>
          <w:rFonts w:hint="eastAsia" w:ascii="Times New Roman" w:hAnsi="Times New Roman"/>
        </w:rPr>
        <w:t>）。</w:t>
      </w:r>
    </w:p>
    <w:p>
      <w:pPr>
        <w:pStyle w:val="2"/>
        <w:numPr>
          <w:ilvl w:val="0"/>
          <w:numId w:val="0"/>
        </w:numPr>
        <w:overflowPunct w:val="0"/>
        <w:snapToGrid w:val="0"/>
        <w:spacing w:before="156" w:after="156" w:line="360" w:lineRule="auto"/>
        <w:jc w:val="both"/>
        <w:rPr>
          <w:b w:val="0"/>
          <w:sz w:val="32"/>
          <w:szCs w:val="32"/>
        </w:rPr>
      </w:pPr>
      <w:bookmarkStart w:id="5" w:name="_Toc476581366"/>
      <w:r>
        <w:rPr>
          <w:b w:val="0"/>
          <w:sz w:val="32"/>
          <w:szCs w:val="32"/>
        </w:rPr>
        <w:t xml:space="preserve">3 </w:t>
      </w:r>
      <w:r>
        <w:rPr>
          <w:rFonts w:hint="eastAsia"/>
          <w:b w:val="0"/>
          <w:sz w:val="32"/>
          <w:szCs w:val="32"/>
        </w:rPr>
        <w:t>软件接入改造流程</w:t>
      </w:r>
      <w:bookmarkEnd w:id="5"/>
    </w:p>
    <w:p>
      <w:pPr>
        <w:overflowPunct w:val="0"/>
        <w:snapToGrid w:val="0"/>
        <w:spacing w:before="156" w:beforeLines="50" w:after="156" w:afterLines="50" w:line="360" w:lineRule="auto"/>
        <w:ind w:firstLine="640"/>
        <w:jc w:val="both"/>
        <w:rPr>
          <w:rFonts w:ascii="Times New Roman" w:hAnsi="Times New Roman"/>
        </w:rPr>
      </w:pPr>
      <w:r>
        <w:rPr>
          <w:rFonts w:hint="eastAsia" w:ascii="Times New Roman" w:hAnsi="Times New Roman"/>
        </w:rPr>
        <w:t>无车承运人运输单证发送方式原则上为一单多报，同时报送部、省两级监测平台。自建监测平台的省份，无车承运人运输单证也可先报送省监测平台，由省监测平台统一传送至部监测平台。部监测平台交换代码：</w:t>
      </w:r>
      <w:r>
        <w:rPr>
          <w:rFonts w:ascii="Times New Roman" w:hAnsi="Times New Roman"/>
        </w:rPr>
        <w:t>wcjc0001</w:t>
      </w:r>
      <w:r>
        <w:rPr>
          <w:rFonts w:hint="eastAsia" w:ascii="Times New Roman" w:hAnsi="Times New Roman"/>
        </w:rPr>
        <w:t>；省监测平台交换代码向所在省份行业管理部门获取。</w:t>
      </w:r>
    </w:p>
    <w:p>
      <w:pPr>
        <w:overflowPunct w:val="0"/>
        <w:snapToGrid w:val="0"/>
        <w:spacing w:before="156" w:beforeLines="50" w:after="156" w:afterLines="50" w:line="360" w:lineRule="auto"/>
        <w:ind w:firstLine="640"/>
        <w:jc w:val="both"/>
        <w:rPr>
          <w:rFonts w:ascii="Times New Roman" w:hAnsi="Times New Roman"/>
        </w:rPr>
      </w:pPr>
      <w:r>
        <w:rPr>
          <w:rFonts w:hint="eastAsia" w:ascii="Times New Roman" w:hAnsi="Times New Roman"/>
        </w:rPr>
        <w:t>试点企业第一次登录部监测平台时，需补充填写企业相关信息。</w:t>
      </w:r>
    </w:p>
    <w:p>
      <w:pPr>
        <w:pStyle w:val="2"/>
        <w:numPr>
          <w:ilvl w:val="0"/>
          <w:numId w:val="0"/>
        </w:numPr>
        <w:overflowPunct w:val="0"/>
        <w:snapToGrid w:val="0"/>
        <w:spacing w:before="156" w:after="156" w:line="360" w:lineRule="auto"/>
        <w:jc w:val="both"/>
        <w:rPr>
          <w:b w:val="0"/>
          <w:sz w:val="32"/>
          <w:szCs w:val="32"/>
        </w:rPr>
      </w:pPr>
      <w:bookmarkStart w:id="6" w:name="_Toc476581367"/>
      <w:r>
        <w:rPr>
          <w:b w:val="0"/>
          <w:sz w:val="32"/>
          <w:szCs w:val="32"/>
        </w:rPr>
        <w:t xml:space="preserve">4 </w:t>
      </w:r>
      <w:r>
        <w:rPr>
          <w:rFonts w:hint="eastAsia"/>
          <w:b w:val="0"/>
          <w:sz w:val="32"/>
          <w:szCs w:val="32"/>
        </w:rPr>
        <w:t>接入单证规范</w:t>
      </w:r>
      <w:bookmarkEnd w:id="6"/>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业务报文上传中报文属性见下表。</w:t>
      </w:r>
    </w:p>
    <w:p>
      <w:pPr>
        <w:overflowPunct w:val="0"/>
        <w:snapToGrid w:val="0"/>
        <w:spacing w:before="156" w:beforeLines="50" w:line="360" w:lineRule="auto"/>
        <w:ind w:firstLine="640"/>
        <w:jc w:val="center"/>
        <w:rPr>
          <w:rFonts w:ascii="黑体" w:hAnsi="黑体" w:eastAsia="黑体"/>
        </w:rPr>
      </w:pPr>
      <w:r>
        <w:rPr>
          <w:rFonts w:hint="eastAsia" w:ascii="黑体" w:hAnsi="黑体" w:eastAsia="黑体"/>
        </w:rPr>
        <w:t>报文属性表</w:t>
      </w:r>
    </w:p>
    <w:tbl>
      <w:tblPr>
        <w:tblStyle w:val="22"/>
        <w:tblW w:w="90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197"/>
        <w:gridCol w:w="68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0" w:type="dxa"/>
            <w:tcBorders>
              <w:top w:val="single" w:color="auto" w:sz="8" w:space="0"/>
              <w:left w:val="single" w:color="auto" w:sz="8" w:space="0"/>
              <w:bottom w:val="single" w:color="auto" w:sz="8" w:space="0"/>
              <w:right w:val="single" w:color="auto" w:sz="4" w:space="0"/>
            </w:tcBorders>
            <w:shd w:val="clear" w:color="auto" w:fill="D8D8D8" w:themeFill="background1" w:themeFillShade="D9"/>
            <w:vAlign w:val="center"/>
          </w:tcPr>
          <w:p>
            <w:pPr>
              <w:overflowPunct w:val="0"/>
              <w:snapToGrid w:val="0"/>
              <w:spacing w:line="360" w:lineRule="auto"/>
              <w:ind w:firstLine="0" w:firstLineChars="0"/>
              <w:jc w:val="center"/>
              <w:rPr>
                <w:rFonts w:ascii="Times New Roman" w:hAnsi="Times New Roman" w:eastAsiaTheme="majorEastAsia"/>
                <w:b/>
                <w:sz w:val="24"/>
                <w:szCs w:val="24"/>
              </w:rPr>
            </w:pPr>
            <w:r>
              <w:rPr>
                <w:rFonts w:hint="eastAsia" w:ascii="Times New Roman" w:hAnsi="Times New Roman" w:eastAsiaTheme="majorEastAsia"/>
                <w:b/>
                <w:sz w:val="24"/>
                <w:szCs w:val="24"/>
              </w:rPr>
              <w:t>序号</w:t>
            </w:r>
          </w:p>
        </w:tc>
        <w:tc>
          <w:tcPr>
            <w:tcW w:w="1197" w:type="dxa"/>
            <w:tcBorders>
              <w:top w:val="single" w:color="auto" w:sz="8" w:space="0"/>
              <w:left w:val="single" w:color="auto" w:sz="4" w:space="0"/>
              <w:bottom w:val="single" w:color="auto" w:sz="8" w:space="0"/>
              <w:right w:val="single" w:color="auto" w:sz="4" w:space="0"/>
            </w:tcBorders>
            <w:shd w:val="clear" w:color="auto" w:fill="D8D8D8" w:themeFill="background1" w:themeFillShade="D9"/>
            <w:vAlign w:val="center"/>
          </w:tcPr>
          <w:p>
            <w:pPr>
              <w:overflowPunct w:val="0"/>
              <w:snapToGrid w:val="0"/>
              <w:spacing w:line="360" w:lineRule="auto"/>
              <w:ind w:firstLine="0" w:firstLineChars="0"/>
              <w:jc w:val="center"/>
              <w:rPr>
                <w:rFonts w:ascii="Times New Roman" w:hAnsi="Times New Roman" w:eastAsiaTheme="majorEastAsia"/>
                <w:b/>
                <w:sz w:val="24"/>
                <w:szCs w:val="24"/>
              </w:rPr>
            </w:pPr>
            <w:r>
              <w:rPr>
                <w:rFonts w:hint="eastAsia" w:ascii="Times New Roman" w:hAnsi="Times New Roman" w:eastAsiaTheme="majorEastAsia"/>
                <w:b/>
                <w:sz w:val="24"/>
                <w:szCs w:val="24"/>
              </w:rPr>
              <w:t>属性名称</w:t>
            </w:r>
          </w:p>
        </w:tc>
        <w:tc>
          <w:tcPr>
            <w:tcW w:w="6846" w:type="dxa"/>
            <w:tcBorders>
              <w:top w:val="single" w:color="auto" w:sz="8" w:space="0"/>
              <w:left w:val="single" w:color="auto" w:sz="4" w:space="0"/>
              <w:bottom w:val="single" w:color="auto" w:sz="8" w:space="0"/>
              <w:right w:val="single" w:color="auto" w:sz="8" w:space="0"/>
            </w:tcBorders>
            <w:shd w:val="clear" w:color="auto" w:fill="D8D8D8" w:themeFill="background1" w:themeFillShade="D9"/>
            <w:vAlign w:val="center"/>
          </w:tcPr>
          <w:p>
            <w:pPr>
              <w:overflowPunct w:val="0"/>
              <w:snapToGrid w:val="0"/>
              <w:spacing w:line="360" w:lineRule="auto"/>
              <w:ind w:firstLine="0" w:firstLineChars="0"/>
              <w:jc w:val="center"/>
              <w:rPr>
                <w:rFonts w:ascii="Times New Roman" w:hAnsi="Times New Roman" w:eastAsiaTheme="majorEastAsia"/>
                <w:b/>
                <w:sz w:val="24"/>
                <w:szCs w:val="24"/>
              </w:rPr>
            </w:pPr>
            <w:r>
              <w:rPr>
                <w:rFonts w:hint="eastAsia" w:ascii="Times New Roman" w:hAnsi="Times New Roman" w:eastAsiaTheme="majorEastAsia"/>
                <w:b/>
                <w:sz w:val="24"/>
                <w:szCs w:val="24"/>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8"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1</w:t>
            </w:r>
          </w:p>
        </w:tc>
        <w:tc>
          <w:tcPr>
            <w:tcW w:w="1197" w:type="dxa"/>
            <w:tcBorders>
              <w:top w:val="single" w:color="auto" w:sz="8"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报文层</w:t>
            </w:r>
            <w:r>
              <w:rPr>
                <w:rFonts w:ascii="Times New Roman" w:hAnsi="Times New Roman" w:eastAsiaTheme="majorEastAsia"/>
                <w:bCs/>
                <w:sz w:val="24"/>
                <w:szCs w:val="24"/>
              </w:rPr>
              <w:t>Level</w:t>
            </w:r>
          </w:p>
        </w:tc>
        <w:tc>
          <w:tcPr>
            <w:tcW w:w="6846" w:type="dxa"/>
            <w:tcBorders>
              <w:top w:val="single" w:color="auto" w:sz="8"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标识数据元在报文结构中的位置和层次关系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2</w:t>
            </w:r>
          </w:p>
        </w:tc>
        <w:tc>
          <w:tcPr>
            <w:tcW w:w="1197"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分类编号</w:t>
            </w:r>
          </w:p>
        </w:tc>
        <w:tc>
          <w:tcPr>
            <w:tcW w:w="6846" w:type="dxa"/>
            <w:tcBorders>
              <w:top w:val="single" w:color="auto" w:sz="4"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标识该数据元的唯一标记，反映该数据元在数据元集中的排列位置，分类编号从左至右由交通运输物流信息交换业务领域代码、数据元一级分类顺序号、数据元二级分类顺序号和数据元顺序号组成，具体编码规则见</w:t>
            </w:r>
            <w:r>
              <w:rPr>
                <w:rFonts w:ascii="Times New Roman" w:hAnsi="Times New Roman" w:eastAsiaTheme="majorEastAsia"/>
                <w:kern w:val="0"/>
                <w:sz w:val="24"/>
                <w:szCs w:val="24"/>
              </w:rPr>
              <w:t>JT/T 919.1-2014</w:t>
            </w:r>
            <w:r>
              <w:rPr>
                <w:rFonts w:hint="eastAsia" w:ascii="Times New Roman" w:hAnsi="Times New Roman" w:eastAsiaTheme="majorEastAsia"/>
                <w:kern w:val="0"/>
                <w:sz w:val="24"/>
                <w:szCs w:val="24"/>
              </w:rPr>
              <w:t>中的</w:t>
            </w:r>
            <w:r>
              <w:rPr>
                <w:rFonts w:ascii="Times New Roman" w:hAnsi="Times New Roman" w:eastAsiaTheme="majorEastAsia"/>
                <w:kern w:val="0"/>
                <w:sz w:val="24"/>
                <w:szCs w:val="24"/>
              </w:rPr>
              <w:t>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60" w:type="dxa"/>
            <w:tcBorders>
              <w:top w:val="single" w:color="auto" w:sz="4"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3</w:t>
            </w:r>
          </w:p>
        </w:tc>
        <w:tc>
          <w:tcPr>
            <w:tcW w:w="1197"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英文名称</w:t>
            </w:r>
          </w:p>
        </w:tc>
        <w:tc>
          <w:tcPr>
            <w:tcW w:w="6846" w:type="dxa"/>
            <w:tcBorders>
              <w:top w:val="single" w:color="auto" w:sz="4"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数据元和段组的英文标记名，可用作可扩展标记语言（</w:t>
            </w:r>
            <w:r>
              <w:rPr>
                <w:rFonts w:ascii="Times New Roman" w:hAnsi="Times New Roman" w:eastAsiaTheme="majorEastAsia"/>
                <w:sz w:val="24"/>
                <w:szCs w:val="24"/>
              </w:rPr>
              <w:t>XML</w:t>
            </w:r>
            <w:r>
              <w:rPr>
                <w:rFonts w:hint="eastAsia" w:ascii="Times New Roman" w:hAnsi="Times New Roman" w:eastAsiaTheme="majorEastAsia"/>
                <w:sz w:val="24"/>
                <w:szCs w:val="24"/>
              </w:rPr>
              <w:t>）标记名，段组是由多个数据元构成的数据实体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4</w:t>
            </w:r>
          </w:p>
        </w:tc>
        <w:tc>
          <w:tcPr>
            <w:tcW w:w="1197"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中文名称</w:t>
            </w:r>
          </w:p>
        </w:tc>
        <w:tc>
          <w:tcPr>
            <w:tcW w:w="6846" w:type="dxa"/>
            <w:tcBorders>
              <w:top w:val="single" w:color="auto" w:sz="4"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对数据元的中文描述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5</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约束</w:t>
            </w:r>
            <w:r>
              <w:rPr>
                <w:rFonts w:ascii="Times New Roman" w:hAnsi="Times New Roman" w:eastAsiaTheme="majorEastAsia"/>
                <w:sz w:val="24"/>
                <w:szCs w:val="24"/>
              </w:rPr>
              <w:t>/</w:t>
            </w:r>
            <w:r>
              <w:rPr>
                <w:rFonts w:hint="eastAsia" w:ascii="Times New Roman" w:hAnsi="Times New Roman" w:eastAsiaTheme="majorEastAsia"/>
                <w:sz w:val="24"/>
                <w:szCs w:val="24"/>
              </w:rPr>
              <w:t>出现次数</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数据元在报文中重复出现的次数：</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a</w:t>
            </w:r>
            <w:r>
              <w:rPr>
                <w:rFonts w:hint="eastAsia" w:ascii="Times New Roman" w:hAnsi="Times New Roman" w:eastAsiaTheme="majorEastAsia"/>
                <w:sz w:val="24"/>
                <w:szCs w:val="24"/>
              </w:rPr>
              <w:t>）</w:t>
            </w:r>
            <w:r>
              <w:rPr>
                <w:rFonts w:ascii="Times New Roman" w:hAnsi="Times New Roman" w:eastAsiaTheme="majorEastAsia"/>
                <w:sz w:val="24"/>
                <w:szCs w:val="24"/>
              </w:rPr>
              <w:t>0..1——</w:t>
            </w:r>
            <w:r>
              <w:rPr>
                <w:rFonts w:hint="eastAsia" w:ascii="Times New Roman" w:hAnsi="Times New Roman" w:eastAsiaTheme="majorEastAsia"/>
                <w:sz w:val="24"/>
                <w:szCs w:val="24"/>
              </w:rPr>
              <w:t>数据元值域可填，且出现一次；</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b</w:t>
            </w:r>
            <w:r>
              <w:rPr>
                <w:rFonts w:hint="eastAsia" w:ascii="Times New Roman" w:hAnsi="Times New Roman" w:eastAsiaTheme="majorEastAsia"/>
                <w:sz w:val="24"/>
                <w:szCs w:val="24"/>
              </w:rPr>
              <w:t>）</w:t>
            </w:r>
            <w:r>
              <w:rPr>
                <w:rFonts w:ascii="Times New Roman" w:hAnsi="Times New Roman" w:eastAsiaTheme="majorEastAsia"/>
                <w:sz w:val="24"/>
                <w:szCs w:val="24"/>
              </w:rPr>
              <w:t>0..n——</w:t>
            </w:r>
            <w:r>
              <w:rPr>
                <w:rFonts w:hint="eastAsia" w:ascii="Times New Roman" w:hAnsi="Times New Roman" w:eastAsiaTheme="majorEastAsia"/>
                <w:sz w:val="24"/>
                <w:szCs w:val="24"/>
              </w:rPr>
              <w:t>数据元值域可填，且可出现多次；</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c</w:t>
            </w:r>
            <w:r>
              <w:rPr>
                <w:rFonts w:hint="eastAsia" w:ascii="Times New Roman" w:hAnsi="Times New Roman" w:eastAsiaTheme="majorEastAsia"/>
                <w:sz w:val="24"/>
                <w:szCs w:val="24"/>
              </w:rPr>
              <w:t>）</w:t>
            </w:r>
            <w:r>
              <w:rPr>
                <w:rFonts w:ascii="Times New Roman" w:hAnsi="Times New Roman" w:eastAsiaTheme="majorEastAsia"/>
                <w:sz w:val="24"/>
                <w:szCs w:val="24"/>
              </w:rPr>
              <w:t>1..1——</w:t>
            </w:r>
            <w:r>
              <w:rPr>
                <w:rFonts w:hint="eastAsia" w:ascii="Times New Roman" w:hAnsi="Times New Roman" w:eastAsiaTheme="majorEastAsia"/>
                <w:sz w:val="24"/>
                <w:szCs w:val="24"/>
              </w:rPr>
              <w:t>数据元值域必填，且出现一次；</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d</w:t>
            </w:r>
            <w:r>
              <w:rPr>
                <w:rFonts w:hint="eastAsia" w:ascii="Times New Roman" w:hAnsi="Times New Roman" w:eastAsiaTheme="majorEastAsia"/>
                <w:sz w:val="24"/>
                <w:szCs w:val="24"/>
              </w:rPr>
              <w:t>）</w:t>
            </w:r>
            <w:r>
              <w:rPr>
                <w:rFonts w:ascii="Times New Roman" w:hAnsi="Times New Roman" w:eastAsiaTheme="majorEastAsia"/>
                <w:sz w:val="24"/>
                <w:szCs w:val="24"/>
              </w:rPr>
              <w:t>1..n——</w:t>
            </w:r>
            <w:r>
              <w:rPr>
                <w:rFonts w:hint="eastAsia" w:ascii="Times New Roman" w:hAnsi="Times New Roman" w:eastAsiaTheme="majorEastAsia"/>
                <w:sz w:val="24"/>
                <w:szCs w:val="24"/>
              </w:rPr>
              <w:t>数据元值域必填，且可出现多次。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6</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数据格式</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数据格式中使用的字符含义如下：</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a = </w:t>
            </w:r>
            <w:r>
              <w:rPr>
                <w:rFonts w:hint="eastAsia" w:ascii="Times New Roman" w:hAnsi="Times New Roman" w:eastAsiaTheme="majorEastAsia"/>
                <w:sz w:val="24"/>
                <w:szCs w:val="24"/>
              </w:rPr>
              <w:t>字母字符；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n= </w:t>
            </w:r>
            <w:r>
              <w:rPr>
                <w:rFonts w:hint="eastAsia" w:ascii="Times New Roman" w:hAnsi="Times New Roman" w:eastAsiaTheme="majorEastAsia"/>
                <w:sz w:val="24"/>
                <w:szCs w:val="24"/>
              </w:rPr>
              <w:t>数字字符；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an= </w:t>
            </w:r>
            <w:r>
              <w:rPr>
                <w:rFonts w:hint="eastAsia" w:ascii="Times New Roman" w:hAnsi="Times New Roman" w:eastAsiaTheme="majorEastAsia"/>
                <w:sz w:val="24"/>
                <w:szCs w:val="24"/>
              </w:rPr>
              <w:t>字母数字汉字字符；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 </w:t>
            </w:r>
            <w:r>
              <w:rPr>
                <w:rFonts w:hint="eastAsia" w:ascii="Times New Roman" w:hAnsi="Times New Roman" w:eastAsiaTheme="majorEastAsia"/>
                <w:sz w:val="24"/>
                <w:szCs w:val="24"/>
              </w:rPr>
              <w:t>字符型数据的最小长度到最大长度的分隔符；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w:t>
            </w:r>
            <w:r>
              <w:rPr>
                <w:rFonts w:ascii="Times New Roman" w:hAnsi="Times New Roman" w:eastAsiaTheme="majorEastAsia"/>
                <w:sz w:val="24"/>
                <w:szCs w:val="24"/>
              </w:rPr>
              <w:t xml:space="preserve">= </w:t>
            </w:r>
            <w:r>
              <w:rPr>
                <w:rFonts w:hint="eastAsia" w:ascii="Times New Roman" w:hAnsi="Times New Roman" w:eastAsiaTheme="majorEastAsia"/>
                <w:sz w:val="24"/>
                <w:szCs w:val="24"/>
              </w:rPr>
              <w:t>区分数字字符个数与小数点后小数位数的分隔符，即“，”前为数字字符个数，“，”后为小数点后小数位数；</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YYYYMMDDhhmmss  = </w:t>
            </w:r>
            <w:r>
              <w:rPr>
                <w:rFonts w:hint="eastAsia" w:ascii="Times New Roman" w:hAnsi="Times New Roman" w:eastAsiaTheme="majorEastAsia"/>
                <w:sz w:val="24"/>
                <w:szCs w:val="24"/>
              </w:rPr>
              <w:t>“</w:t>
            </w:r>
            <w:r>
              <w:rPr>
                <w:rFonts w:ascii="Times New Roman" w:hAnsi="Times New Roman" w:eastAsiaTheme="majorEastAsia"/>
                <w:sz w:val="24"/>
                <w:szCs w:val="24"/>
              </w:rPr>
              <w:t>YYYY</w:t>
            </w:r>
            <w:r>
              <w:rPr>
                <w:rFonts w:hint="eastAsia" w:ascii="Times New Roman" w:hAnsi="Times New Roman" w:eastAsiaTheme="majorEastAsia"/>
                <w:sz w:val="24"/>
                <w:szCs w:val="24"/>
              </w:rPr>
              <w:t>”表示年份，“</w:t>
            </w:r>
            <w:r>
              <w:rPr>
                <w:rFonts w:ascii="Times New Roman" w:hAnsi="Times New Roman" w:eastAsiaTheme="majorEastAsia"/>
                <w:sz w:val="24"/>
                <w:szCs w:val="24"/>
              </w:rPr>
              <w:t>MM</w:t>
            </w:r>
            <w:r>
              <w:rPr>
                <w:rFonts w:hint="eastAsia" w:ascii="Times New Roman" w:hAnsi="Times New Roman" w:eastAsiaTheme="majorEastAsia"/>
                <w:sz w:val="24"/>
                <w:szCs w:val="24"/>
              </w:rPr>
              <w:t>”表示月份，“</w:t>
            </w:r>
            <w:r>
              <w:rPr>
                <w:rFonts w:ascii="Times New Roman" w:hAnsi="Times New Roman" w:eastAsiaTheme="majorEastAsia"/>
                <w:sz w:val="24"/>
                <w:szCs w:val="24"/>
              </w:rPr>
              <w:t>DD</w:t>
            </w:r>
            <w:r>
              <w:rPr>
                <w:rFonts w:hint="eastAsia" w:ascii="Times New Roman" w:hAnsi="Times New Roman" w:eastAsiaTheme="majorEastAsia"/>
                <w:sz w:val="24"/>
                <w:szCs w:val="24"/>
              </w:rPr>
              <w:t>”表示日期，“</w:t>
            </w:r>
            <w:r>
              <w:rPr>
                <w:rFonts w:ascii="Times New Roman" w:hAnsi="Times New Roman" w:eastAsiaTheme="majorEastAsia"/>
                <w:sz w:val="24"/>
                <w:szCs w:val="24"/>
              </w:rPr>
              <w:t>hh</w:t>
            </w:r>
            <w:r>
              <w:rPr>
                <w:rFonts w:hint="eastAsia" w:ascii="Times New Roman" w:hAnsi="Times New Roman" w:eastAsiaTheme="majorEastAsia"/>
                <w:sz w:val="24"/>
                <w:szCs w:val="24"/>
              </w:rPr>
              <w:t>”表示小时，“</w:t>
            </w:r>
            <w:r>
              <w:rPr>
                <w:rFonts w:ascii="Times New Roman" w:hAnsi="Times New Roman" w:eastAsiaTheme="majorEastAsia"/>
                <w:sz w:val="24"/>
                <w:szCs w:val="24"/>
              </w:rPr>
              <w:t>mm</w:t>
            </w:r>
            <w:r>
              <w:rPr>
                <w:rFonts w:hint="eastAsia" w:ascii="Times New Roman" w:hAnsi="Times New Roman" w:eastAsiaTheme="majorEastAsia"/>
                <w:sz w:val="24"/>
                <w:szCs w:val="24"/>
              </w:rPr>
              <w:t>”表示分钟，“</w:t>
            </w:r>
            <w:r>
              <w:rPr>
                <w:rFonts w:ascii="Times New Roman" w:hAnsi="Times New Roman" w:eastAsiaTheme="majorEastAsia"/>
                <w:sz w:val="24"/>
                <w:szCs w:val="24"/>
              </w:rPr>
              <w:t>ss</w:t>
            </w:r>
            <w:r>
              <w:rPr>
                <w:rFonts w:hint="eastAsia" w:ascii="Times New Roman" w:hAnsi="Times New Roman" w:eastAsiaTheme="majorEastAsia"/>
                <w:sz w:val="24"/>
                <w:szCs w:val="24"/>
              </w:rPr>
              <w:t>”表示秒，可以视具体实际情况组合使用；</w:t>
            </w:r>
          </w:p>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示例</w:t>
            </w:r>
            <w:r>
              <w:rPr>
                <w:rFonts w:ascii="Times New Roman" w:hAnsi="Times New Roman" w:eastAsiaTheme="majorEastAsia"/>
                <w:sz w:val="24"/>
                <w:szCs w:val="24"/>
              </w:rPr>
              <w:t>1</w:t>
            </w:r>
            <w:r>
              <w:rPr>
                <w:rFonts w:hint="eastAsia" w:ascii="Times New Roman" w:hAnsi="Times New Roman" w:eastAsiaTheme="majorEastAsia"/>
                <w:sz w:val="24"/>
                <w:szCs w:val="24"/>
              </w:rPr>
              <w:t>：</w:t>
            </w:r>
          </w:p>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 xml:space="preserve">an3..8 </w:t>
            </w:r>
            <w:r>
              <w:rPr>
                <w:rFonts w:hint="eastAsia" w:ascii="Times New Roman" w:hAnsi="Times New Roman" w:eastAsiaTheme="majorEastAsia"/>
                <w:sz w:val="24"/>
                <w:szCs w:val="24"/>
              </w:rPr>
              <w:t>表示最大长度为</w:t>
            </w:r>
            <w:r>
              <w:rPr>
                <w:rFonts w:ascii="Times New Roman" w:hAnsi="Times New Roman" w:eastAsiaTheme="majorEastAsia"/>
                <w:sz w:val="24"/>
                <w:szCs w:val="24"/>
              </w:rPr>
              <w:t>8</w:t>
            </w:r>
            <w:r>
              <w:rPr>
                <w:rFonts w:hint="eastAsia" w:ascii="Times New Roman" w:hAnsi="Times New Roman" w:eastAsiaTheme="majorEastAsia"/>
                <w:sz w:val="24"/>
                <w:szCs w:val="24"/>
              </w:rPr>
              <w:t>，最小长度为</w:t>
            </w:r>
            <w:r>
              <w:rPr>
                <w:rFonts w:ascii="Times New Roman" w:hAnsi="Times New Roman" w:eastAsiaTheme="majorEastAsia"/>
                <w:sz w:val="24"/>
                <w:szCs w:val="24"/>
              </w:rPr>
              <w:t>3</w:t>
            </w:r>
            <w:r>
              <w:rPr>
                <w:rFonts w:hint="eastAsia" w:ascii="Times New Roman" w:hAnsi="Times New Roman" w:eastAsiaTheme="majorEastAsia"/>
                <w:sz w:val="24"/>
                <w:szCs w:val="24"/>
              </w:rPr>
              <w:t>的不定长字符。</w:t>
            </w:r>
          </w:p>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示例</w:t>
            </w:r>
            <w:r>
              <w:rPr>
                <w:rFonts w:ascii="Times New Roman" w:hAnsi="Times New Roman" w:eastAsiaTheme="majorEastAsia"/>
                <w:sz w:val="24"/>
                <w:szCs w:val="24"/>
              </w:rPr>
              <w:t>2</w:t>
            </w:r>
            <w:r>
              <w:rPr>
                <w:rFonts w:hint="eastAsia" w:ascii="Times New Roman" w:hAnsi="Times New Roman" w:eastAsiaTheme="majorEastAsia"/>
                <w:sz w:val="24"/>
                <w:szCs w:val="24"/>
              </w:rPr>
              <w:t>：</w:t>
            </w:r>
          </w:p>
          <w:p>
            <w:pPr>
              <w:overflowPunct w:val="0"/>
              <w:snapToGrid w:val="0"/>
              <w:spacing w:line="360" w:lineRule="auto"/>
              <w:ind w:firstLine="240" w:firstLineChars="100"/>
              <w:rPr>
                <w:rFonts w:ascii="Times New Roman" w:hAnsi="Times New Roman" w:eastAsiaTheme="majorEastAsia"/>
                <w:sz w:val="24"/>
                <w:szCs w:val="24"/>
              </w:rPr>
            </w:pPr>
            <w:r>
              <w:rPr>
                <w:rFonts w:ascii="Times New Roman" w:hAnsi="Times New Roman" w:eastAsiaTheme="majorEastAsia"/>
                <w:sz w:val="24"/>
                <w:szCs w:val="24"/>
              </w:rPr>
              <w:t>an5(aannn)</w:t>
            </w:r>
            <w:r>
              <w:rPr>
                <w:rFonts w:hint="eastAsia" w:ascii="Times New Roman" w:hAnsi="Times New Roman" w:eastAsiaTheme="majorEastAsia"/>
                <w:sz w:val="24"/>
                <w:szCs w:val="24"/>
              </w:rPr>
              <w:t>表示定长</w:t>
            </w:r>
            <w:r>
              <w:rPr>
                <w:rFonts w:ascii="Times New Roman" w:hAnsi="Times New Roman" w:eastAsiaTheme="majorEastAsia"/>
                <w:sz w:val="24"/>
                <w:szCs w:val="24"/>
              </w:rPr>
              <w:t>5</w:t>
            </w:r>
            <w:r>
              <w:rPr>
                <w:rFonts w:hint="eastAsia" w:ascii="Times New Roman" w:hAnsi="Times New Roman" w:eastAsiaTheme="majorEastAsia"/>
                <w:sz w:val="24"/>
                <w:szCs w:val="24"/>
              </w:rPr>
              <w:t>个字母数字字符，前</w:t>
            </w:r>
            <w:r>
              <w:rPr>
                <w:rFonts w:ascii="Times New Roman" w:hAnsi="Times New Roman" w:eastAsiaTheme="majorEastAsia"/>
                <w:sz w:val="24"/>
                <w:szCs w:val="24"/>
              </w:rPr>
              <w:t>2</w:t>
            </w:r>
            <w:r>
              <w:rPr>
                <w:rFonts w:hint="eastAsia" w:ascii="Times New Roman" w:hAnsi="Times New Roman" w:eastAsiaTheme="majorEastAsia"/>
                <w:sz w:val="24"/>
                <w:szCs w:val="24"/>
              </w:rPr>
              <w:t>个为字母字符，后</w:t>
            </w:r>
            <w:r>
              <w:rPr>
                <w:rFonts w:ascii="Times New Roman" w:hAnsi="Times New Roman" w:eastAsiaTheme="majorEastAsia"/>
                <w:sz w:val="24"/>
                <w:szCs w:val="24"/>
              </w:rPr>
              <w:t>3</w:t>
            </w:r>
            <w:r>
              <w:rPr>
                <w:rFonts w:hint="eastAsia" w:ascii="Times New Roman" w:hAnsi="Times New Roman" w:eastAsiaTheme="majorEastAsia"/>
                <w:sz w:val="24"/>
                <w:szCs w:val="24"/>
              </w:rPr>
              <w:t>个为数字字符。</w:t>
            </w:r>
          </w:p>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示例</w:t>
            </w:r>
            <w:r>
              <w:rPr>
                <w:rFonts w:ascii="Times New Roman" w:hAnsi="Times New Roman" w:eastAsiaTheme="majorEastAsia"/>
                <w:sz w:val="24"/>
                <w:szCs w:val="24"/>
              </w:rPr>
              <w:t>3</w:t>
            </w:r>
            <w:r>
              <w:rPr>
                <w:rFonts w:hint="eastAsia" w:ascii="Times New Roman" w:hAnsi="Times New Roman" w:eastAsiaTheme="majorEastAsia"/>
                <w:sz w:val="24"/>
                <w:szCs w:val="24"/>
              </w:rPr>
              <w:t>：</w:t>
            </w:r>
          </w:p>
          <w:p>
            <w:p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  n..8,4</w:t>
            </w:r>
            <w:r>
              <w:rPr>
                <w:rFonts w:hint="eastAsia" w:ascii="Times New Roman" w:hAnsi="Times New Roman" w:eastAsiaTheme="majorEastAsia"/>
                <w:sz w:val="24"/>
                <w:szCs w:val="24"/>
              </w:rPr>
              <w:t>表示该数值最大长度为八位数字字符、小数点后四位数字。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7</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引用文件</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代码型数据元值域引用的标准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8</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说明</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对数据元的简要解释和应用说明</w:t>
            </w:r>
          </w:p>
        </w:tc>
      </w:tr>
    </w:tbl>
    <w:p>
      <w:pPr>
        <w:overflowPunct w:val="0"/>
        <w:snapToGrid w:val="0"/>
        <w:spacing w:before="156" w:beforeLines="50" w:after="156" w:afterLines="50" w:line="360" w:lineRule="auto"/>
        <w:ind w:firstLine="643"/>
        <w:rPr>
          <w:rFonts w:ascii="Times New Roman" w:hAnsi="Times New Roman"/>
          <w:b/>
        </w:rPr>
      </w:pPr>
    </w:p>
    <w:p>
      <w:pPr>
        <w:overflowPunct w:val="0"/>
        <w:snapToGrid w:val="0"/>
        <w:spacing w:before="156" w:beforeLines="50" w:after="156" w:afterLines="50" w:line="360" w:lineRule="auto"/>
        <w:ind w:firstLine="0" w:firstLineChars="0"/>
        <w:rPr>
          <w:rFonts w:ascii="Times New Roman" w:hAnsi="Times New Roman"/>
          <w:b/>
        </w:rPr>
        <w:sectPr>
          <w:footerReference r:id="rId12" w:type="default"/>
          <w:pgSz w:w="11906" w:h="16838"/>
          <w:pgMar w:top="1418" w:right="1418" w:bottom="1418" w:left="1701" w:header="992" w:footer="992" w:gutter="0"/>
          <w:pgNumType w:start="1"/>
          <w:cols w:space="425" w:num="1"/>
          <w:docGrid w:type="linesAndChars" w:linePitch="312" w:charSpace="0"/>
        </w:sectPr>
      </w:pPr>
    </w:p>
    <w:p>
      <w:pPr>
        <w:pStyle w:val="3"/>
        <w:numPr>
          <w:ilvl w:val="0"/>
          <w:numId w:val="0"/>
        </w:numPr>
        <w:overflowPunct w:val="0"/>
        <w:snapToGrid w:val="0"/>
        <w:spacing w:before="217" w:after="217" w:line="360" w:lineRule="auto"/>
        <w:jc w:val="both"/>
        <w:rPr>
          <w:rFonts w:ascii="Times New Roman" w:hAnsi="Times New Roman" w:eastAsia="黑体"/>
          <w:b w:val="0"/>
        </w:rPr>
      </w:pPr>
      <w:bookmarkStart w:id="7" w:name="_Toc476581368"/>
      <w:r>
        <w:rPr>
          <w:rFonts w:ascii="Times New Roman" w:hAnsi="Times New Roman" w:eastAsia="黑体"/>
          <w:b w:val="0"/>
        </w:rPr>
        <w:t xml:space="preserve">4.1 </w:t>
      </w:r>
      <w:r>
        <w:rPr>
          <w:rFonts w:hint="eastAsia" w:ascii="Times New Roman" w:hAnsi="Times New Roman" w:eastAsia="黑体"/>
          <w:b w:val="0"/>
        </w:rPr>
        <w:t>无车承运人运单技术规范</w:t>
      </w:r>
      <w:bookmarkEnd w:id="7"/>
    </w:p>
    <w:tbl>
      <w:tblPr>
        <w:tblStyle w:val="22"/>
        <w:tblW w:w="14218" w:type="dxa"/>
        <w:tblInd w:w="0" w:type="dxa"/>
        <w:tblLayout w:type="fixed"/>
        <w:tblCellMar>
          <w:top w:w="0" w:type="dxa"/>
          <w:left w:w="108" w:type="dxa"/>
          <w:bottom w:w="0" w:type="dxa"/>
          <w:right w:w="108" w:type="dxa"/>
        </w:tblCellMar>
      </w:tblPr>
      <w:tblGrid>
        <w:gridCol w:w="817"/>
        <w:gridCol w:w="993"/>
        <w:gridCol w:w="1561"/>
        <w:gridCol w:w="2974"/>
        <w:gridCol w:w="1700"/>
        <w:gridCol w:w="995"/>
        <w:gridCol w:w="992"/>
        <w:gridCol w:w="1416"/>
        <w:gridCol w:w="2770"/>
      </w:tblGrid>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序号</w:t>
            </w: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报文层</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分类编号</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英文名称</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中文名称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约束</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出现次数</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数据格式</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引用文件</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说明</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left="284" w:firstLine="180" w:firstLineChars="75"/>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Root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根</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2</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Header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WL0000062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MessageReferenceNumber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报文参考号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报文的唯一标识符，由系统按</w:t>
            </w:r>
            <w:r>
              <w:rPr>
                <w:rFonts w:ascii="Times New Roman" w:hAnsi="Times New Roman" w:cs="宋体" w:eastAsiaTheme="majorEastAsia"/>
                <w:kern w:val="0"/>
                <w:sz w:val="24"/>
                <w:szCs w:val="24"/>
              </w:rPr>
              <w:t>GUID</w:t>
            </w:r>
            <w:r>
              <w:rPr>
                <w:rFonts w:hint="eastAsia" w:ascii="Times New Roman" w:hAnsi="Times New Roman" w:cs="宋体" w:eastAsiaTheme="majorEastAsia"/>
                <w:kern w:val="0"/>
                <w:sz w:val="24"/>
                <w:szCs w:val="24"/>
              </w:rPr>
              <w:t>规则自动产生</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WL0100000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DocumentName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单证名称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无车承运人电子路单</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WL0000052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DocumentVersionNumber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报文版本号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an..17</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2015WCCYR</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WL0900813</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SenderCode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发送方代码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无车承运人物流交换代码</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WL0900817</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RecipientCode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接收方代码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监测平台代码</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WL0200863</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MessageSendingDateTime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发送日期时间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YYYYMMDDhhmmss</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WL0100225</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MessageFunctionCode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报文功能代码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GB/T 16833-2011</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标识本报文是初始报文，还是变更后的报文（如果是变更后的报文，则托运单号需跟变更之前的报文的托运单号一致）。参见代码集</w:t>
            </w:r>
            <w:r>
              <w:rPr>
                <w:rFonts w:ascii="Times New Roman" w:hAnsi="Times New Roman" w:cs="宋体" w:eastAsiaTheme="majorEastAsia"/>
                <w:kern w:val="0"/>
                <w:sz w:val="24"/>
                <w:szCs w:val="24"/>
              </w:rPr>
              <w:t>4.2.1</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2</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Body</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报文体</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WL0100820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OriginalDocumentNumber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原始单号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必填。上游企业委托运输单号</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WL0100802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ShippingNoteNumber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托运单号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必填。本电子路单号</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WL0300126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Carrier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承运人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必填。无车承运试点企业名称</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WL0300807</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UnifiedSocialCreditIdentifier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统一社会信用代码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an18</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选填，无车承运人的统一社会信用代码</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WL0300926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PermitNumber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许可证编号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选填，无车承运人的道路运输经营许可证（无车承运）编号</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WL0200805</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ConsignmentDateTime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托运日期时间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必填。无车承运人系统正式生成运单的日期时间，</w:t>
            </w:r>
            <w:r>
              <w:rPr>
                <w:rFonts w:ascii="Times New Roman" w:hAnsi="Times New Roman" w:cs="宋体" w:eastAsiaTheme="majorEastAsia"/>
                <w:kern w:val="0"/>
                <w:sz w:val="24"/>
                <w:szCs w:val="24"/>
              </w:rPr>
              <w:t>YYYYMMDDhhmmss</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WL0800903</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BusinessTypeCode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业务类型代码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an..7</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GB/T 26820</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4.2.2</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WL0200171</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DespatchActualDateTime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发运实际日期时间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必填。货物装车后的发车时间</w:t>
            </w:r>
            <w:r>
              <w:rPr>
                <w:rFonts w:ascii="Times New Roman" w:hAnsi="Times New Roman" w:cs="宋体" w:eastAsiaTheme="majorEastAsia"/>
                <w:kern w:val="0"/>
                <w:sz w:val="24"/>
                <w:szCs w:val="24"/>
              </w:rPr>
              <w:t>YYYYMMDDhhmmss</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WL0200441</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GoodsReceiptDateTime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必填。货物运到后的签收时间。如签收时间无法确定，填货物运到收货地的时间</w:t>
            </w:r>
            <w:r>
              <w:rPr>
                <w:rFonts w:ascii="Times New Roman" w:hAnsi="Times New Roman" w:cs="宋体" w:eastAsiaTheme="majorEastAsia"/>
                <w:kern w:val="0"/>
                <w:sz w:val="24"/>
                <w:szCs w:val="24"/>
              </w:rPr>
              <w:t>YYYYMMDDhhmmss</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ConsignorInfo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发货方信息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WL0300336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Consignor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发货人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选填。单位或个人，如集装箱运输业务无法明确实际发货人可填货代信息</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WL0100194</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PersonalIdentityDocument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个人证件号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WL0300334</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PlaceOfLoading</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装货地点</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选填。实际装货的地点</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WL0300229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CountrySubdivisionCode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国家行政区划代码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必填。装货地点的国家行政区划代码，参照</w:t>
            </w:r>
            <w:r>
              <w:rPr>
                <w:rFonts w:ascii="Times New Roman" w:hAnsi="Times New Roman" w:cs="宋体" w:eastAsiaTheme="majorEastAsia"/>
                <w:kern w:val="0"/>
                <w:sz w:val="24"/>
                <w:szCs w:val="24"/>
              </w:rPr>
              <w:t>GB/T 2260</w:t>
            </w:r>
            <w:r>
              <w:rPr>
                <w:rFonts w:hint="eastAsia" w:ascii="Times New Roman" w:hAnsi="Times New Roman" w:cs="宋体" w:eastAsiaTheme="majorEastAsia"/>
                <w:kern w:val="0"/>
                <w:sz w:val="24"/>
                <w:szCs w:val="24"/>
              </w:rPr>
              <w:t>《中华人民共和国行政区划代码》的代码，精确到区县。</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ConsigneeInfo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收货方信息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WL0300132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Consignee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选填。单位或个人</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WL0300160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GoodsReceiptPlace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收货地点</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选填。具体的收货地址</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WL0300229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CountrySubdivisionCode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国家行政区划代码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GB/T 2260</w:t>
            </w:r>
            <w:r>
              <w:rPr>
                <w:rFonts w:hint="eastAsia" w:ascii="Times New Roman" w:hAnsi="Times New Roman" w:cs="宋体" w:eastAsiaTheme="majorEastAsia"/>
                <w:kern w:val="0"/>
                <w:sz w:val="24"/>
                <w:szCs w:val="24"/>
              </w:rPr>
              <w:t>的数字代码</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必填。收货地点的国家行政区划代码，参照</w:t>
            </w:r>
            <w:r>
              <w:rPr>
                <w:rFonts w:ascii="Times New Roman" w:hAnsi="Times New Roman" w:cs="宋体" w:eastAsiaTheme="majorEastAsia"/>
                <w:kern w:val="0"/>
                <w:sz w:val="24"/>
                <w:szCs w:val="24"/>
              </w:rPr>
              <w:t>GB/T 2260</w:t>
            </w:r>
            <w:r>
              <w:rPr>
                <w:rFonts w:hint="eastAsia" w:ascii="Times New Roman" w:hAnsi="Times New Roman" w:cs="宋体" w:eastAsiaTheme="majorEastAsia"/>
                <w:kern w:val="0"/>
                <w:sz w:val="24"/>
                <w:szCs w:val="24"/>
              </w:rPr>
              <w:t>《中华人民共和国行政区划代码》的代码，精确到区县。</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PriceInfo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费用信息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WL0500160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TotalMonetaryAmount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货币总金额</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n..18,3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必填。托运人付给无车承运人企业的运输费用，货币单位为人民币，保留</w:t>
            </w:r>
            <w:r>
              <w:rPr>
                <w:rFonts w:ascii="Times New Roman" w:hAnsi="Times New Roman" w:cs="宋体" w:eastAsiaTheme="majorEastAsia"/>
                <w:kern w:val="0"/>
                <w:sz w:val="24"/>
                <w:szCs w:val="24"/>
              </w:rPr>
              <w:t>3</w:t>
            </w:r>
            <w:r>
              <w:rPr>
                <w:rFonts w:hint="eastAsia" w:ascii="Times New Roman" w:hAnsi="Times New Roman" w:cs="宋体" w:eastAsiaTheme="majorEastAsia"/>
                <w:kern w:val="0"/>
                <w:sz w:val="24"/>
                <w:szCs w:val="24"/>
              </w:rPr>
              <w:t>位小数，如整数的话，以</w:t>
            </w:r>
            <w:r>
              <w:rPr>
                <w:rFonts w:ascii="Times New Roman" w:hAnsi="Times New Roman" w:cs="宋体" w:eastAsiaTheme="majorEastAsia"/>
                <w:kern w:val="0"/>
                <w:sz w:val="24"/>
                <w:szCs w:val="24"/>
              </w:rPr>
              <w:t>.000</w:t>
            </w:r>
            <w:r>
              <w:rPr>
                <w:rFonts w:hint="eastAsia" w:ascii="Times New Roman" w:hAnsi="Times New Roman" w:cs="宋体" w:eastAsiaTheme="majorEastAsia"/>
                <w:kern w:val="0"/>
                <w:sz w:val="24"/>
                <w:szCs w:val="24"/>
              </w:rPr>
              <w:t>填充。如是一笔业务分几辆车运，需将托运人针对这笔业务付给无车承运人企业的运输费用分摊到每辆车上。</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WL0900842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Remark</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备注</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WL0800819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LicensePlateTypeCode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牌照类型代码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GA 24.7</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4.2.3</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WL0800802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车辆牌照号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WL0800801</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VehicleClassificationCode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车辆分类代码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GA 24.4</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4.2.4</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WL0800812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VehicleTonnage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车辆载质量</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n..9,2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必填。默认单位：吨，保留两位小数，如整数的话，以</w:t>
            </w:r>
            <w:r>
              <w:rPr>
                <w:rFonts w:ascii="Times New Roman" w:hAnsi="Times New Roman" w:cs="宋体" w:eastAsiaTheme="majorEastAsia"/>
                <w:kern w:val="0"/>
                <w:sz w:val="24"/>
                <w:szCs w:val="24"/>
              </w:rPr>
              <w:t>.00</w:t>
            </w:r>
            <w:r>
              <w:rPr>
                <w:rFonts w:hint="eastAsia" w:ascii="Times New Roman" w:hAnsi="Times New Roman" w:cs="宋体" w:eastAsiaTheme="majorEastAsia"/>
                <w:kern w:val="0"/>
                <w:sz w:val="24"/>
                <w:szCs w:val="24"/>
              </w:rPr>
              <w:t>填充。小数点不计入总长。</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WL0800816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RoadTransportCertificateNumber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道路运输证号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必填。车辆的道路运输证号，填道路运输证证件编号</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WL0800962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TrailerVehiclePlateNumber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挂车牌照号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WL0300920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Owner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所有人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选填。车辆所有人（或企业）的名称或姓名</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WL0300926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PermitNumber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许可证编号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选填。车辆所属业户的道路运输经营许可证编号</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Driver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驾驶员</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0..n</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选填。如运输过程中有多个驾驶员，可循环</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WL0300404</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NameOfPerson</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姓名</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选填。驾驶员姓名</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WL0100810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QualificationCertificateNumber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从业资格证号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an..19</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选填。驾驶员从业资格证号</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WL0300869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TelephoneNumber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电话号码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an..18</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1..n</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如一车货有不同货物，则可循环</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WL0700002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DescriptionOfGoods</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货物名称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WL0700085</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CargoTypeClassificationCode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货物类型分类代码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4.2.5</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WL0600292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GoodsItemGrossWeight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货物项毛重</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必填。重量单位以</w:t>
            </w:r>
            <w:r>
              <w:rPr>
                <w:rFonts w:ascii="Times New Roman" w:hAnsi="Times New Roman" w:cs="宋体" w:eastAsiaTheme="majorEastAsia"/>
                <w:kern w:val="0"/>
                <w:sz w:val="24"/>
                <w:szCs w:val="24"/>
              </w:rPr>
              <w:t>KGM</w:t>
            </w:r>
            <w:r>
              <w:rPr>
                <w:rFonts w:hint="eastAsia" w:ascii="Times New Roman" w:hAnsi="Times New Roman" w:cs="宋体" w:eastAsiaTheme="majorEastAsia"/>
                <w:kern w:val="0"/>
                <w:sz w:val="24"/>
                <w:szCs w:val="24"/>
              </w:rPr>
              <w:t>千克填写数值，保留</w:t>
            </w:r>
            <w:r>
              <w:rPr>
                <w:rFonts w:ascii="Times New Roman" w:hAnsi="Times New Roman" w:cs="宋体" w:eastAsiaTheme="majorEastAsia"/>
                <w:kern w:val="0"/>
                <w:sz w:val="24"/>
                <w:szCs w:val="24"/>
              </w:rPr>
              <w:t>3</w:t>
            </w:r>
            <w:r>
              <w:rPr>
                <w:rFonts w:hint="eastAsia" w:ascii="Times New Roman" w:hAnsi="Times New Roman" w:cs="宋体" w:eastAsiaTheme="majorEastAsia"/>
                <w:kern w:val="0"/>
                <w:sz w:val="24"/>
                <w:szCs w:val="24"/>
              </w:rPr>
              <w:t>位小数，如整数的话，以</w:t>
            </w:r>
            <w:r>
              <w:rPr>
                <w:rFonts w:ascii="Times New Roman" w:hAnsi="Times New Roman" w:cs="宋体" w:eastAsiaTheme="majorEastAsia"/>
                <w:kern w:val="0"/>
                <w:sz w:val="24"/>
                <w:szCs w:val="24"/>
              </w:rPr>
              <w:t>.000</w:t>
            </w:r>
            <w:r>
              <w:rPr>
                <w:rFonts w:hint="eastAsia" w:ascii="Times New Roman" w:hAnsi="Times New Roman" w:cs="宋体" w:eastAsiaTheme="majorEastAsia"/>
                <w:kern w:val="0"/>
                <w:sz w:val="24"/>
                <w:szCs w:val="24"/>
              </w:rPr>
              <w:t>填充。小数点不计入总长。如是轻泡货等货物，请估算重量。如是一笔业务分几辆车运，需报送每辆车实际运输的货物重量。</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WL0600322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Cube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体积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n..9,4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选填。体积单位以</w:t>
            </w:r>
            <w:r>
              <w:rPr>
                <w:rFonts w:ascii="Times New Roman" w:hAnsi="Times New Roman" w:cs="宋体" w:eastAsiaTheme="majorEastAsia"/>
                <w:kern w:val="0"/>
                <w:sz w:val="24"/>
                <w:szCs w:val="24"/>
              </w:rPr>
              <w:t>DMQ</w:t>
            </w:r>
            <w:r>
              <w:rPr>
                <w:rFonts w:hint="eastAsia" w:ascii="Times New Roman" w:hAnsi="Times New Roman" w:cs="宋体" w:eastAsiaTheme="majorEastAsia"/>
                <w:kern w:val="0"/>
                <w:sz w:val="24"/>
                <w:szCs w:val="24"/>
              </w:rPr>
              <w:t>立方米填写数值，保留</w:t>
            </w:r>
            <w:r>
              <w:rPr>
                <w:rFonts w:ascii="Times New Roman" w:hAnsi="Times New Roman" w:cs="宋体" w:eastAsiaTheme="majorEastAsia"/>
                <w:kern w:val="0"/>
                <w:sz w:val="24"/>
                <w:szCs w:val="24"/>
              </w:rPr>
              <w:t>4</w:t>
            </w:r>
            <w:r>
              <w:rPr>
                <w:rFonts w:hint="eastAsia" w:ascii="Times New Roman" w:hAnsi="Times New Roman" w:cs="宋体" w:eastAsiaTheme="majorEastAsia"/>
                <w:kern w:val="0"/>
                <w:sz w:val="24"/>
                <w:szCs w:val="24"/>
              </w:rPr>
              <w:t>位小数，如整数的话，以</w:t>
            </w:r>
            <w:r>
              <w:rPr>
                <w:rFonts w:ascii="Times New Roman" w:hAnsi="Times New Roman" w:cs="宋体" w:eastAsiaTheme="majorEastAsia"/>
                <w:kern w:val="0"/>
                <w:sz w:val="24"/>
                <w:szCs w:val="24"/>
              </w:rPr>
              <w:t>.0000</w:t>
            </w:r>
            <w:r>
              <w:rPr>
                <w:rFonts w:hint="eastAsia" w:ascii="Times New Roman" w:hAnsi="Times New Roman" w:cs="宋体" w:eastAsiaTheme="majorEastAsia"/>
                <w:kern w:val="0"/>
                <w:sz w:val="24"/>
                <w:szCs w:val="24"/>
              </w:rPr>
              <w:t>填充。小数点不计入总长。</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WL0700370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TotalNumberOfPackages</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总件数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n..8</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WL0400440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FreeText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自由文本</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bl>
    <w:p>
      <w:pPr>
        <w:overflowPunct w:val="0"/>
        <w:snapToGrid w:val="0"/>
        <w:spacing w:before="217" w:beforeLines="50" w:after="217" w:afterLines="50" w:line="360" w:lineRule="auto"/>
        <w:ind w:firstLine="0" w:firstLineChars="0"/>
        <w:rPr>
          <w:rFonts w:ascii="Times New Roman" w:hAnsi="Times New Roman"/>
          <w:b/>
        </w:rPr>
        <w:sectPr>
          <w:pgSz w:w="16838" w:h="11906" w:orient="landscape"/>
          <w:pgMar w:top="1701" w:right="1418" w:bottom="1418" w:left="1418" w:header="992" w:footer="992" w:gutter="0"/>
          <w:cols w:space="425" w:num="1"/>
          <w:docGrid w:type="linesAndChars" w:linePitch="435" w:charSpace="0"/>
        </w:sectPr>
      </w:pPr>
    </w:p>
    <w:p>
      <w:pPr>
        <w:pStyle w:val="3"/>
        <w:numPr>
          <w:ilvl w:val="0"/>
          <w:numId w:val="0"/>
        </w:numPr>
        <w:overflowPunct w:val="0"/>
        <w:snapToGrid w:val="0"/>
        <w:spacing w:before="156" w:after="156" w:line="360" w:lineRule="auto"/>
        <w:jc w:val="both"/>
        <w:rPr>
          <w:rFonts w:ascii="Times New Roman" w:hAnsi="Times New Roman" w:eastAsia="黑体"/>
          <w:b w:val="0"/>
        </w:rPr>
      </w:pPr>
      <w:bookmarkStart w:id="8" w:name="_Toc476581369"/>
      <w:r>
        <w:rPr>
          <w:rFonts w:ascii="Times New Roman" w:hAnsi="Times New Roman" w:eastAsia="黑体"/>
          <w:b w:val="0"/>
        </w:rPr>
        <w:t xml:space="preserve">4.2 </w:t>
      </w:r>
      <w:r>
        <w:rPr>
          <w:rFonts w:hint="eastAsia" w:ascii="Times New Roman" w:hAnsi="Times New Roman" w:eastAsia="黑体"/>
          <w:b w:val="0"/>
        </w:rPr>
        <w:t>代码集</w:t>
      </w:r>
      <w:bookmarkEnd w:id="8"/>
    </w:p>
    <w:p>
      <w:pPr>
        <w:pStyle w:val="4"/>
        <w:numPr>
          <w:ilvl w:val="0"/>
          <w:numId w:val="0"/>
        </w:numPr>
        <w:overflowPunct w:val="0"/>
        <w:snapToGrid w:val="0"/>
        <w:spacing w:before="156" w:beforeLines="50" w:after="156" w:afterLines="50" w:line="360" w:lineRule="auto"/>
        <w:jc w:val="both"/>
        <w:rPr>
          <w:rFonts w:eastAsia="黑体"/>
          <w:b w:val="0"/>
        </w:rPr>
      </w:pPr>
      <w:bookmarkStart w:id="9" w:name="_Toc476581370"/>
      <w:r>
        <w:rPr>
          <w:rFonts w:eastAsia="黑体"/>
          <w:b w:val="0"/>
        </w:rPr>
        <w:t xml:space="preserve">4.2.1 </w:t>
      </w:r>
      <w:r>
        <w:rPr>
          <w:rFonts w:hint="eastAsia" w:eastAsia="黑体"/>
          <w:b w:val="0"/>
        </w:rPr>
        <w:t>报文功能代码（分类编号</w:t>
      </w:r>
      <w:r>
        <w:rPr>
          <w:rFonts w:eastAsia="黑体"/>
          <w:b w:val="0"/>
        </w:rPr>
        <w:t>:WL0100225</w:t>
      </w:r>
      <w:r>
        <w:rPr>
          <w:rFonts w:hint="eastAsia" w:eastAsia="黑体"/>
          <w:b w:val="0"/>
        </w:rPr>
        <w:t>）</w:t>
      </w:r>
      <w:bookmarkEnd w:id="9"/>
    </w:p>
    <w:p>
      <w:pPr>
        <w:overflowPunct w:val="0"/>
        <w:snapToGrid w:val="0"/>
        <w:spacing w:line="360" w:lineRule="auto"/>
        <w:ind w:firstLine="640"/>
        <w:rPr>
          <w:rFonts w:ascii="Times New Roman" w:hAnsi="Times New Roman"/>
        </w:rPr>
      </w:pPr>
      <w:r>
        <w:rPr>
          <w:rFonts w:hint="eastAsia" w:ascii="Times New Roman" w:hAnsi="Times New Roman"/>
        </w:rPr>
        <w:t>定义：指示报文功能的代码。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GB/T 16833-2011</w:t>
      </w:r>
      <w:r>
        <w:rPr>
          <w:rFonts w:hint="eastAsia" w:ascii="Times New Roman" w:hAnsi="Times New Roman"/>
        </w:rPr>
        <w:t>的“</w:t>
      </w:r>
      <w:r>
        <w:rPr>
          <w:rFonts w:ascii="Times New Roman" w:hAnsi="Times New Roman"/>
        </w:rPr>
        <w:t xml:space="preserve">1225 </w:t>
      </w:r>
      <w:r>
        <w:rPr>
          <w:rFonts w:hint="eastAsia" w:ascii="Times New Roman" w:hAnsi="Times New Roman"/>
        </w:rPr>
        <w:t>报文功能代码”</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2"/>
        <w:tblW w:w="9003" w:type="dxa"/>
        <w:tblInd w:w="0" w:type="dxa"/>
        <w:tblLayout w:type="fixed"/>
        <w:tblCellMar>
          <w:top w:w="0" w:type="dxa"/>
          <w:left w:w="108" w:type="dxa"/>
          <w:bottom w:w="0" w:type="dxa"/>
          <w:right w:w="108" w:type="dxa"/>
        </w:tblCellMar>
      </w:tblPr>
      <w:tblGrid>
        <w:gridCol w:w="872"/>
        <w:gridCol w:w="1887"/>
        <w:gridCol w:w="3194"/>
        <w:gridCol w:w="3050"/>
      </w:tblGrid>
      <w:tr>
        <w:tblPrEx>
          <w:tblCellMar>
            <w:top w:w="0" w:type="dxa"/>
            <w:left w:w="108" w:type="dxa"/>
            <w:bottom w:w="0" w:type="dxa"/>
            <w:right w:w="108" w:type="dxa"/>
          </w:tblCellMar>
        </w:tblPrEx>
        <w:trPr>
          <w:trHeight w:val="270" w:hRule="atLeast"/>
        </w:trPr>
        <w:tc>
          <w:tcPr>
            <w:tcW w:w="87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代码</w:t>
            </w:r>
          </w:p>
        </w:tc>
        <w:tc>
          <w:tcPr>
            <w:tcW w:w="1887"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名称</w:t>
            </w:r>
          </w:p>
        </w:tc>
        <w:tc>
          <w:tcPr>
            <w:tcW w:w="319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英文名称</w:t>
            </w:r>
          </w:p>
        </w:tc>
        <w:tc>
          <w:tcPr>
            <w:tcW w:w="305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描述</w:t>
            </w:r>
          </w:p>
        </w:tc>
      </w:tr>
      <w:tr>
        <w:tblPrEx>
          <w:tblCellMar>
            <w:top w:w="0" w:type="dxa"/>
            <w:left w:w="108" w:type="dxa"/>
            <w:bottom w:w="0" w:type="dxa"/>
            <w:right w:w="108" w:type="dxa"/>
          </w:tblCellMar>
        </w:tblPrEx>
        <w:trPr>
          <w:trHeight w:val="27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w:t>
            </w:r>
          </w:p>
        </w:tc>
        <w:tc>
          <w:tcPr>
            <w:tcW w:w="1887"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取消</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删除</w:t>
            </w:r>
            <w:r>
              <w:rPr>
                <w:rFonts w:ascii="Times New Roman" w:hAnsi="Times New Roman" w:cs="宋体" w:eastAsiaTheme="majorEastAsia"/>
                <w:kern w:val="0"/>
                <w:sz w:val="24"/>
                <w:szCs w:val="24"/>
              </w:rPr>
              <w:t>)</w:t>
            </w:r>
          </w:p>
        </w:tc>
        <w:tc>
          <w:tcPr>
            <w:tcW w:w="3194"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Cancellation</w:t>
            </w:r>
          </w:p>
        </w:tc>
        <w:tc>
          <w:tcPr>
            <w:tcW w:w="3050"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取消先前传输的报文</w:t>
            </w:r>
          </w:p>
        </w:tc>
      </w:tr>
      <w:tr>
        <w:tblPrEx>
          <w:tblCellMar>
            <w:top w:w="0" w:type="dxa"/>
            <w:left w:w="108" w:type="dxa"/>
            <w:bottom w:w="0" w:type="dxa"/>
            <w:right w:w="108" w:type="dxa"/>
          </w:tblCellMar>
        </w:tblPrEx>
        <w:trPr>
          <w:trHeight w:val="27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887"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代替</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更新</w:t>
            </w:r>
            <w:r>
              <w:rPr>
                <w:rFonts w:ascii="Times New Roman" w:hAnsi="Times New Roman" w:cs="宋体" w:eastAsiaTheme="majorEastAsia"/>
                <w:kern w:val="0"/>
                <w:sz w:val="24"/>
                <w:szCs w:val="24"/>
              </w:rPr>
              <w:t>)</w:t>
            </w:r>
          </w:p>
        </w:tc>
        <w:tc>
          <w:tcPr>
            <w:tcW w:w="3194"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Replace</w:t>
            </w:r>
          </w:p>
        </w:tc>
        <w:tc>
          <w:tcPr>
            <w:tcW w:w="3050"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替代先前报文的报文</w:t>
            </w:r>
          </w:p>
        </w:tc>
      </w:tr>
      <w:tr>
        <w:tblPrEx>
          <w:tblCellMar>
            <w:top w:w="0" w:type="dxa"/>
            <w:left w:w="108" w:type="dxa"/>
            <w:bottom w:w="0" w:type="dxa"/>
            <w:right w:w="108" w:type="dxa"/>
          </w:tblCellMar>
        </w:tblPrEx>
        <w:trPr>
          <w:trHeight w:val="27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w:t>
            </w:r>
          </w:p>
        </w:tc>
        <w:tc>
          <w:tcPr>
            <w:tcW w:w="1887"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最初的</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新增</w:t>
            </w:r>
            <w:r>
              <w:rPr>
                <w:rFonts w:ascii="Times New Roman" w:hAnsi="Times New Roman" w:cs="宋体" w:eastAsiaTheme="majorEastAsia"/>
                <w:kern w:val="0"/>
                <w:sz w:val="24"/>
                <w:szCs w:val="24"/>
              </w:rPr>
              <w:t>)</w:t>
            </w:r>
          </w:p>
        </w:tc>
        <w:tc>
          <w:tcPr>
            <w:tcW w:w="3194"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Original</w:t>
            </w:r>
          </w:p>
        </w:tc>
        <w:tc>
          <w:tcPr>
            <w:tcW w:w="3050"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有关交易的最初传输</w:t>
            </w: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0" w:name="_Toc476581371"/>
      <w:r>
        <w:rPr>
          <w:rFonts w:eastAsia="黑体"/>
          <w:b w:val="0"/>
        </w:rPr>
        <w:t xml:space="preserve">4.2.2 </w:t>
      </w:r>
      <w:r>
        <w:rPr>
          <w:rFonts w:hint="eastAsia" w:eastAsia="黑体"/>
          <w:b w:val="0"/>
        </w:rPr>
        <w:t>业务类型代码（分类编号</w:t>
      </w:r>
      <w:r>
        <w:rPr>
          <w:rFonts w:eastAsia="黑体"/>
          <w:b w:val="0"/>
        </w:rPr>
        <w:t>: WL0800903</w:t>
      </w:r>
      <w:r>
        <w:rPr>
          <w:rFonts w:hint="eastAsia" w:eastAsia="黑体"/>
          <w:b w:val="0"/>
        </w:rPr>
        <w:t>）</w:t>
      </w:r>
      <w:bookmarkEnd w:id="10"/>
    </w:p>
    <w:p>
      <w:pPr>
        <w:overflowPunct w:val="0"/>
        <w:snapToGrid w:val="0"/>
        <w:spacing w:line="360" w:lineRule="auto"/>
        <w:ind w:firstLine="640"/>
        <w:rPr>
          <w:rFonts w:ascii="Times New Roman" w:hAnsi="Times New Roman"/>
        </w:rPr>
      </w:pPr>
      <w:r>
        <w:rPr>
          <w:rFonts w:hint="eastAsia" w:ascii="Times New Roman" w:hAnsi="Times New Roman"/>
        </w:rPr>
        <w:t>定义：标识业务类型的代码。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GB/T 26820</w:t>
      </w:r>
      <w:r>
        <w:rPr>
          <w:rFonts w:hint="eastAsia" w:ascii="Times New Roman" w:hAnsi="Times New Roman"/>
        </w:rPr>
        <w:t>的有关规定</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2"/>
        <w:tblW w:w="9003" w:type="dxa"/>
        <w:tblInd w:w="0" w:type="dxa"/>
        <w:tblLayout w:type="fixed"/>
        <w:tblCellMar>
          <w:top w:w="0" w:type="dxa"/>
          <w:left w:w="108" w:type="dxa"/>
          <w:bottom w:w="0" w:type="dxa"/>
          <w:right w:w="108" w:type="dxa"/>
        </w:tblCellMar>
      </w:tblPr>
      <w:tblGrid>
        <w:gridCol w:w="1056"/>
        <w:gridCol w:w="2028"/>
        <w:gridCol w:w="5919"/>
      </w:tblGrid>
      <w:tr>
        <w:tblPrEx>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auto" w:fill="EEECE1" w:themeFill="background2"/>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2028" w:type="dxa"/>
            <w:tcBorders>
              <w:top w:val="single" w:color="auto" w:sz="4" w:space="0"/>
              <w:left w:val="nil"/>
              <w:bottom w:val="single" w:color="auto" w:sz="4" w:space="0"/>
              <w:right w:val="single" w:color="auto" w:sz="4" w:space="0"/>
            </w:tcBorders>
            <w:shd w:val="clear" w:color="auto" w:fill="EEECE1" w:themeFill="background2"/>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c>
          <w:tcPr>
            <w:tcW w:w="5919" w:type="dxa"/>
            <w:tcBorders>
              <w:top w:val="single" w:color="auto" w:sz="4" w:space="0"/>
              <w:left w:val="nil"/>
              <w:bottom w:val="single" w:color="auto" w:sz="4" w:space="0"/>
              <w:right w:val="single" w:color="auto" w:sz="4" w:space="0"/>
            </w:tcBorders>
            <w:shd w:val="clear" w:color="auto" w:fill="EEECE1" w:themeFill="background2"/>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描述</w:t>
            </w:r>
          </w:p>
        </w:tc>
      </w:tr>
      <w:tr>
        <w:tblPrEx>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1002996</w:t>
            </w:r>
          </w:p>
        </w:tc>
        <w:tc>
          <w:tcPr>
            <w:tcW w:w="2028"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干线普货运输</w:t>
            </w:r>
          </w:p>
        </w:tc>
        <w:tc>
          <w:tcPr>
            <w:tcW w:w="5919"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干线普货运输服务</w:t>
            </w:r>
          </w:p>
        </w:tc>
      </w:tr>
      <w:tr>
        <w:tblPrEx>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1003997</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城市配送</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在城市范围内进行配送</w:t>
            </w:r>
          </w:p>
        </w:tc>
      </w:tr>
      <w:tr>
        <w:tblPrEx>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1003998</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农村配送</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若发货方或收货方在农村地区即为农村物流</w:t>
            </w:r>
          </w:p>
        </w:tc>
      </w:tr>
      <w:tr>
        <w:tblPrEx>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1002998</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集装箱运输</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集装箱运输</w:t>
            </w:r>
          </w:p>
        </w:tc>
      </w:tr>
      <w:tr>
        <w:tblPrEx>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1003999</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w:t>
            </w: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1" w:name="_Toc476581372"/>
      <w:r>
        <w:rPr>
          <w:rFonts w:eastAsia="黑体"/>
          <w:b w:val="0"/>
        </w:rPr>
        <w:t xml:space="preserve">4.2.3 </w:t>
      </w:r>
      <w:r>
        <w:rPr>
          <w:rFonts w:hint="eastAsia" w:eastAsia="黑体"/>
          <w:b w:val="0"/>
        </w:rPr>
        <w:t>牌照类型代码（分类编号</w:t>
      </w:r>
      <w:r>
        <w:rPr>
          <w:rFonts w:eastAsia="黑体"/>
          <w:b w:val="0"/>
        </w:rPr>
        <w:t>: WL0800819</w:t>
      </w:r>
      <w:r>
        <w:rPr>
          <w:rFonts w:hint="eastAsia" w:eastAsia="黑体"/>
          <w:b w:val="0"/>
        </w:rPr>
        <w:t>）</w:t>
      </w:r>
      <w:bookmarkEnd w:id="11"/>
    </w:p>
    <w:p>
      <w:pPr>
        <w:overflowPunct w:val="0"/>
        <w:snapToGrid w:val="0"/>
        <w:spacing w:line="360" w:lineRule="auto"/>
        <w:ind w:firstLine="640"/>
        <w:rPr>
          <w:rFonts w:ascii="Times New Roman" w:hAnsi="Times New Roman"/>
        </w:rPr>
      </w:pPr>
      <w:r>
        <w:rPr>
          <w:rFonts w:hint="eastAsia" w:ascii="Times New Roman" w:hAnsi="Times New Roman"/>
        </w:rPr>
        <w:t>定义：由公安车管部门核发的机动车号牌种类代码。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GA 24.7</w:t>
      </w:r>
      <w:r>
        <w:rPr>
          <w:rFonts w:hint="eastAsia" w:ascii="Times New Roman" w:hAnsi="Times New Roman"/>
        </w:rPr>
        <w:t>中的相关规定</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2"/>
        <w:tblW w:w="9003" w:type="dxa"/>
        <w:tblInd w:w="0" w:type="dxa"/>
        <w:tblLayout w:type="fixed"/>
        <w:tblCellMar>
          <w:top w:w="0" w:type="dxa"/>
          <w:left w:w="108" w:type="dxa"/>
          <w:bottom w:w="0" w:type="dxa"/>
          <w:right w:w="108" w:type="dxa"/>
        </w:tblCellMar>
      </w:tblPr>
      <w:tblGrid>
        <w:gridCol w:w="929"/>
        <w:gridCol w:w="2472"/>
        <w:gridCol w:w="5602"/>
      </w:tblGrid>
      <w:tr>
        <w:tblPrEx>
          <w:tblCellMar>
            <w:top w:w="0" w:type="dxa"/>
            <w:left w:w="108" w:type="dxa"/>
            <w:bottom w:w="0" w:type="dxa"/>
            <w:right w:w="108" w:type="dxa"/>
          </w:tblCellMar>
        </w:tblPrEx>
        <w:trPr>
          <w:trHeight w:val="270" w:hRule="atLeast"/>
        </w:trPr>
        <w:tc>
          <w:tcPr>
            <w:tcW w:w="92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247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c>
          <w:tcPr>
            <w:tcW w:w="560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描述</w:t>
            </w:r>
          </w:p>
        </w:tc>
      </w:tr>
      <w:tr>
        <w:tblPrEx>
          <w:tblCellMar>
            <w:top w:w="0" w:type="dxa"/>
            <w:left w:w="108" w:type="dxa"/>
            <w:bottom w:w="0" w:type="dxa"/>
            <w:right w:w="108" w:type="dxa"/>
          </w:tblCellMar>
        </w:tblPrEx>
        <w:trPr>
          <w:trHeight w:val="27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247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大型汽车号牌</w:t>
            </w:r>
          </w:p>
        </w:tc>
        <w:tc>
          <w:tcPr>
            <w:tcW w:w="560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黄底黑字</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含</w:t>
            </w:r>
            <w:r>
              <w:rPr>
                <w:rFonts w:ascii="Times New Roman" w:hAnsi="Times New Roman" w:cs="宋体" w:eastAsiaTheme="majorEastAsia"/>
                <w:kern w:val="0"/>
                <w:sz w:val="24"/>
                <w:szCs w:val="24"/>
              </w:rPr>
              <w:t>02</w:t>
            </w:r>
            <w:r>
              <w:rPr>
                <w:rFonts w:hint="eastAsia" w:ascii="Times New Roman" w:hAnsi="Times New Roman" w:cs="宋体" w:eastAsiaTheme="majorEastAsia"/>
                <w:kern w:val="0"/>
                <w:sz w:val="24"/>
                <w:szCs w:val="24"/>
              </w:rPr>
              <w:t>式号牌部分</w:t>
            </w:r>
            <w:r>
              <w:rPr>
                <w:rFonts w:ascii="Times New Roman" w:hAnsi="Times New Roman" w:cs="宋体" w:eastAsiaTheme="majorEastAsia"/>
                <w:kern w:val="0"/>
                <w:sz w:val="24"/>
                <w:szCs w:val="24"/>
              </w:rPr>
              <w:t>)</w:t>
            </w:r>
          </w:p>
        </w:tc>
      </w:tr>
      <w:tr>
        <w:tblPrEx>
          <w:tblCellMar>
            <w:top w:w="0" w:type="dxa"/>
            <w:left w:w="108" w:type="dxa"/>
            <w:bottom w:w="0" w:type="dxa"/>
            <w:right w:w="108" w:type="dxa"/>
          </w:tblCellMar>
        </w:tblPrEx>
        <w:trPr>
          <w:trHeight w:val="27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02</w:t>
            </w:r>
          </w:p>
        </w:tc>
        <w:tc>
          <w:tcPr>
            <w:tcW w:w="247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小型汽车号牌</w:t>
            </w:r>
          </w:p>
        </w:tc>
        <w:tc>
          <w:tcPr>
            <w:tcW w:w="560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蓝底白字</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含</w:t>
            </w:r>
            <w:r>
              <w:rPr>
                <w:rFonts w:ascii="Times New Roman" w:hAnsi="Times New Roman" w:cs="宋体" w:eastAsiaTheme="majorEastAsia"/>
                <w:kern w:val="0"/>
                <w:sz w:val="24"/>
                <w:szCs w:val="24"/>
              </w:rPr>
              <w:t>02</w:t>
            </w:r>
            <w:r>
              <w:rPr>
                <w:rFonts w:hint="eastAsia" w:ascii="Times New Roman" w:hAnsi="Times New Roman" w:cs="宋体" w:eastAsiaTheme="majorEastAsia"/>
                <w:kern w:val="0"/>
                <w:sz w:val="24"/>
                <w:szCs w:val="24"/>
              </w:rPr>
              <w:t>式号牌部分</w:t>
            </w:r>
            <w:r>
              <w:rPr>
                <w:rFonts w:ascii="Times New Roman" w:hAnsi="Times New Roman" w:cs="宋体" w:eastAsiaTheme="majorEastAsia"/>
                <w:kern w:val="0"/>
                <w:sz w:val="24"/>
                <w:szCs w:val="24"/>
              </w:rPr>
              <w:t>)</w:t>
            </w:r>
          </w:p>
        </w:tc>
      </w:tr>
      <w:tr>
        <w:tblPrEx>
          <w:tblCellMar>
            <w:top w:w="0" w:type="dxa"/>
            <w:left w:w="108" w:type="dxa"/>
            <w:bottom w:w="0" w:type="dxa"/>
            <w:right w:w="108" w:type="dxa"/>
          </w:tblCellMar>
        </w:tblPrEx>
        <w:trPr>
          <w:trHeight w:val="27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99</w:t>
            </w:r>
          </w:p>
        </w:tc>
        <w:tc>
          <w:tcPr>
            <w:tcW w:w="247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其他号牌</w:t>
            </w:r>
          </w:p>
        </w:tc>
        <w:tc>
          <w:tcPr>
            <w:tcW w:w="560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2" w:name="_Toc476581373"/>
      <w:r>
        <w:rPr>
          <w:rFonts w:eastAsia="黑体"/>
          <w:b w:val="0"/>
        </w:rPr>
        <w:t xml:space="preserve">4.2.4 </w:t>
      </w:r>
      <w:r>
        <w:rPr>
          <w:rFonts w:hint="eastAsia" w:eastAsia="黑体"/>
          <w:b w:val="0"/>
        </w:rPr>
        <w:t>营运车辆分类代码</w:t>
      </w:r>
      <w:bookmarkEnd w:id="12"/>
    </w:p>
    <w:p>
      <w:pPr>
        <w:overflowPunct w:val="0"/>
        <w:snapToGrid w:val="0"/>
        <w:spacing w:line="360" w:lineRule="auto"/>
        <w:ind w:firstLine="640"/>
        <w:rPr>
          <w:rFonts w:ascii="Times New Roman" w:hAnsi="Times New Roman"/>
          <w:kern w:val="0"/>
        </w:rPr>
      </w:pPr>
      <w:r>
        <w:rPr>
          <w:rFonts w:hint="eastAsia" w:ascii="Times New Roman" w:hAnsi="Times New Roman"/>
          <w:kern w:val="0"/>
        </w:rPr>
        <w:t>定义：用于标识道路运输车辆分类的代码。</w:t>
      </w:r>
    </w:p>
    <w:p>
      <w:pPr>
        <w:overflowPunct w:val="0"/>
        <w:snapToGrid w:val="0"/>
        <w:spacing w:line="360" w:lineRule="auto"/>
        <w:ind w:firstLine="640"/>
        <w:rPr>
          <w:rFonts w:ascii="Times New Roman" w:hAnsi="Times New Roman"/>
          <w:kern w:val="0"/>
        </w:rPr>
      </w:pPr>
      <w:r>
        <w:rPr>
          <w:rFonts w:hint="eastAsia" w:ascii="Times New Roman" w:hAnsi="Times New Roman"/>
          <w:kern w:val="0"/>
        </w:rPr>
        <w:t>代码值域：</w:t>
      </w:r>
    </w:p>
    <w:tbl>
      <w:tblPr>
        <w:tblStyle w:val="22"/>
        <w:tblpPr w:leftFromText="180" w:rightFromText="180" w:vertAnchor="text" w:tblpY="1"/>
        <w:tblOverlap w:val="never"/>
        <w:tblW w:w="9003" w:type="dxa"/>
        <w:tblInd w:w="0" w:type="dxa"/>
        <w:tblLayout w:type="fixed"/>
        <w:tblCellMar>
          <w:top w:w="0" w:type="dxa"/>
          <w:left w:w="108" w:type="dxa"/>
          <w:bottom w:w="0" w:type="dxa"/>
          <w:right w:w="108" w:type="dxa"/>
        </w:tblCellMar>
      </w:tblPr>
      <w:tblGrid>
        <w:gridCol w:w="1552"/>
        <w:gridCol w:w="7451"/>
      </w:tblGrid>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EEECE1" w:themeFill="background2"/>
            <w:vAlign w:val="bottom"/>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7451" w:type="dxa"/>
            <w:tcBorders>
              <w:top w:val="single" w:color="auto" w:sz="4" w:space="0"/>
              <w:left w:val="nil"/>
              <w:bottom w:val="single" w:color="auto" w:sz="4" w:space="0"/>
              <w:right w:val="single" w:color="auto" w:sz="4" w:space="0"/>
            </w:tcBorders>
            <w:shd w:val="clear" w:color="auto" w:fill="EEECE1" w:themeFill="background2"/>
            <w:vAlign w:val="bottom"/>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H01</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普通货车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H02</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厢式货车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H04</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罐式货车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Q00</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牵引车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G01</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普通挂车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G03</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罐式挂车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G05</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集装箱挂车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H09</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仓栅式货车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H03</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封闭货车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H05</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平板货车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H06</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集装箱车</w:t>
            </w:r>
          </w:p>
        </w:tc>
      </w:tr>
      <w:tr>
        <w:tblPrEx>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H07</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自卸货车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H08</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特殊结构货车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Z00</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专项作业车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G02</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厢式挂车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G07</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仓栅式挂车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G04</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平板挂车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G06</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自卸挂车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G09</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专项作业挂车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X91</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车辆运输车</w:t>
            </w:r>
          </w:p>
        </w:tc>
      </w:tr>
      <w:tr>
        <w:tblPrEx>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X92</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车辆运输车</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单排</w:t>
            </w:r>
            <w:r>
              <w:rPr>
                <w:rFonts w:ascii="Times New Roman" w:hAnsi="Times New Roman" w:cs="宋体" w:eastAsiaTheme="majorEastAsia"/>
                <w:kern w:val="0"/>
                <w:sz w:val="24"/>
                <w:szCs w:val="24"/>
              </w:rPr>
              <w:t>)</w:t>
            </w: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3" w:name="_Toc476581374"/>
      <w:r>
        <w:rPr>
          <w:rFonts w:eastAsia="黑体"/>
          <w:b w:val="0"/>
        </w:rPr>
        <w:t xml:space="preserve">4.2.5 </w:t>
      </w:r>
      <w:r>
        <w:rPr>
          <w:rFonts w:hint="eastAsia" w:eastAsia="黑体"/>
          <w:b w:val="0"/>
        </w:rPr>
        <w:t>货物分类代码（分类编号</w:t>
      </w:r>
      <w:r>
        <w:rPr>
          <w:rFonts w:eastAsia="黑体"/>
          <w:b w:val="0"/>
        </w:rPr>
        <w:t>: WL0700085</w:t>
      </w:r>
      <w:r>
        <w:rPr>
          <w:rFonts w:hint="eastAsia" w:eastAsia="黑体"/>
          <w:b w:val="0"/>
        </w:rPr>
        <w:t>）</w:t>
      </w:r>
      <w:bookmarkEnd w:id="13"/>
    </w:p>
    <w:p>
      <w:pPr>
        <w:overflowPunct w:val="0"/>
        <w:snapToGrid w:val="0"/>
        <w:spacing w:line="360" w:lineRule="auto"/>
        <w:ind w:firstLine="640"/>
        <w:rPr>
          <w:rFonts w:ascii="Times New Roman" w:hAnsi="Times New Roman"/>
        </w:rPr>
      </w:pPr>
      <w:r>
        <w:rPr>
          <w:rFonts w:hint="eastAsia" w:ascii="Times New Roman" w:hAnsi="Times New Roman"/>
        </w:rPr>
        <w:t>定义：规定货物类型分类的代码。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GB/T 16833-2011</w:t>
      </w:r>
      <w:r>
        <w:rPr>
          <w:rFonts w:hint="eastAsia" w:ascii="Times New Roman" w:hAnsi="Times New Roman"/>
        </w:rPr>
        <w:t>“</w:t>
      </w:r>
      <w:r>
        <w:rPr>
          <w:rFonts w:ascii="Times New Roman" w:hAnsi="Times New Roman"/>
        </w:rPr>
        <w:t xml:space="preserve">7085 </w:t>
      </w:r>
      <w:r>
        <w:rPr>
          <w:rFonts w:hint="eastAsia" w:ascii="Times New Roman" w:hAnsi="Times New Roman"/>
        </w:rPr>
        <w:t>货物类型分类代码”</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2"/>
        <w:tblW w:w="9003" w:type="dxa"/>
        <w:tblInd w:w="0" w:type="dxa"/>
        <w:tblLayout w:type="fixed"/>
        <w:tblCellMar>
          <w:top w:w="0" w:type="dxa"/>
          <w:left w:w="108" w:type="dxa"/>
          <w:bottom w:w="0" w:type="dxa"/>
          <w:right w:w="108" w:type="dxa"/>
        </w:tblCellMar>
      </w:tblPr>
      <w:tblGrid>
        <w:gridCol w:w="1354"/>
        <w:gridCol w:w="1354"/>
        <w:gridCol w:w="2935"/>
        <w:gridCol w:w="3360"/>
      </w:tblGrid>
      <w:tr>
        <w:tblPrEx>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1354" w:type="dxa"/>
            <w:tcBorders>
              <w:top w:val="single" w:color="auto" w:sz="8" w:space="0"/>
              <w:left w:val="nil"/>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c>
          <w:tcPr>
            <w:tcW w:w="2935" w:type="dxa"/>
            <w:tcBorders>
              <w:top w:val="single" w:color="auto" w:sz="8" w:space="0"/>
              <w:left w:val="nil"/>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英文名称</w:t>
            </w:r>
          </w:p>
        </w:tc>
        <w:tc>
          <w:tcPr>
            <w:tcW w:w="3360" w:type="dxa"/>
            <w:tcBorders>
              <w:top w:val="single" w:color="auto" w:sz="8" w:space="0"/>
              <w:left w:val="nil"/>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描述</w:t>
            </w:r>
          </w:p>
        </w:tc>
      </w:tr>
      <w:tr>
        <w:tblPrEx>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90</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电子产品</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Electronic product</w:t>
            </w: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以电能为工作基础的相关产品，如手机、电视等</w:t>
            </w:r>
          </w:p>
        </w:tc>
      </w:tr>
      <w:tr>
        <w:tblPrEx>
          <w:tblCellMar>
            <w:top w:w="0" w:type="dxa"/>
            <w:left w:w="108" w:type="dxa"/>
            <w:bottom w:w="0" w:type="dxa"/>
            <w:right w:w="108" w:type="dxa"/>
          </w:tblCellMar>
        </w:tblPrEx>
        <w:trPr>
          <w:trHeight w:val="397" w:hRule="atLeast"/>
        </w:trPr>
        <w:tc>
          <w:tcPr>
            <w:tcW w:w="1354" w:type="dxa"/>
            <w:tcBorders>
              <w:top w:val="nil"/>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92</w:t>
            </w:r>
          </w:p>
        </w:tc>
        <w:tc>
          <w:tcPr>
            <w:tcW w:w="1354"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商品汽车</w:t>
            </w:r>
          </w:p>
        </w:tc>
        <w:tc>
          <w:tcPr>
            <w:tcW w:w="2935"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Automobile</w:t>
            </w:r>
          </w:p>
        </w:tc>
        <w:tc>
          <w:tcPr>
            <w:tcW w:w="3360"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商品运输车</w:t>
            </w:r>
          </w:p>
        </w:tc>
      </w:tr>
      <w:tr>
        <w:tblPrEx>
          <w:tblCellMar>
            <w:top w:w="0" w:type="dxa"/>
            <w:left w:w="108" w:type="dxa"/>
            <w:bottom w:w="0" w:type="dxa"/>
            <w:right w:w="108" w:type="dxa"/>
          </w:tblCellMar>
        </w:tblPrEx>
        <w:trPr>
          <w:trHeight w:val="397" w:hRule="atLeast"/>
        </w:trPr>
        <w:tc>
          <w:tcPr>
            <w:tcW w:w="1354" w:type="dxa"/>
            <w:tcBorders>
              <w:top w:val="nil"/>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93</w:t>
            </w:r>
          </w:p>
        </w:tc>
        <w:tc>
          <w:tcPr>
            <w:tcW w:w="1354"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冷藏货物</w:t>
            </w:r>
          </w:p>
        </w:tc>
        <w:tc>
          <w:tcPr>
            <w:tcW w:w="2935"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Cold cargo</w:t>
            </w:r>
          </w:p>
        </w:tc>
        <w:tc>
          <w:tcPr>
            <w:tcW w:w="3360"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冷藏产品的货物</w:t>
            </w:r>
          </w:p>
        </w:tc>
      </w:tr>
      <w:tr>
        <w:tblPrEx>
          <w:tblCellMar>
            <w:top w:w="0" w:type="dxa"/>
            <w:left w:w="108" w:type="dxa"/>
            <w:bottom w:w="0" w:type="dxa"/>
            <w:right w:w="108" w:type="dxa"/>
          </w:tblCellMar>
        </w:tblPrEx>
        <w:trPr>
          <w:trHeight w:val="397" w:hRule="atLeast"/>
        </w:trPr>
        <w:tc>
          <w:tcPr>
            <w:tcW w:w="1354" w:type="dxa"/>
            <w:tcBorders>
              <w:top w:val="nil"/>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94</w:t>
            </w:r>
          </w:p>
        </w:tc>
        <w:tc>
          <w:tcPr>
            <w:tcW w:w="1354"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大宗货物</w:t>
            </w:r>
          </w:p>
        </w:tc>
        <w:tc>
          <w:tcPr>
            <w:tcW w:w="2935"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Bulk cargo</w:t>
            </w:r>
          </w:p>
        </w:tc>
        <w:tc>
          <w:tcPr>
            <w:tcW w:w="3360"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大批量运输的货物，如能源产品、基础原材料和农副产品</w:t>
            </w:r>
          </w:p>
        </w:tc>
      </w:tr>
      <w:tr>
        <w:tblPrEx>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95</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快速消费品</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Fast-moving consumer goods</w:t>
            </w: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消费速度快的消费品</w:t>
            </w:r>
          </w:p>
        </w:tc>
      </w:tr>
      <w:tr>
        <w:tblPrEx>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96</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农产品</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agricultural products</w:t>
            </w: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农业中生产的供小批量销售物品，如高粱、稻子、玉米等。</w:t>
            </w:r>
          </w:p>
        </w:tc>
      </w:tr>
      <w:tr>
        <w:tblPrEx>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999</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4" w:name="_Toc476581375"/>
      <w:r>
        <w:rPr>
          <w:rFonts w:eastAsia="黑体"/>
          <w:b w:val="0"/>
        </w:rPr>
        <w:t xml:space="preserve">4.2.6 </w:t>
      </w:r>
      <w:r>
        <w:rPr>
          <w:rFonts w:hint="eastAsia" w:eastAsia="黑体"/>
          <w:b w:val="0"/>
        </w:rPr>
        <w:t>国家行政区划代码（分类编号</w:t>
      </w:r>
      <w:r>
        <w:rPr>
          <w:rFonts w:eastAsia="黑体"/>
          <w:b w:val="0"/>
        </w:rPr>
        <w:t>:WL0300229</w:t>
      </w:r>
      <w:r>
        <w:rPr>
          <w:rFonts w:hint="eastAsia" w:eastAsia="黑体"/>
          <w:b w:val="0"/>
        </w:rPr>
        <w:t>）</w:t>
      </w:r>
      <w:bookmarkEnd w:id="14"/>
    </w:p>
    <w:p>
      <w:pPr>
        <w:overflowPunct w:val="0"/>
        <w:snapToGrid w:val="0"/>
        <w:spacing w:line="360" w:lineRule="auto"/>
        <w:ind w:firstLine="640"/>
        <w:rPr>
          <w:rFonts w:ascii="Times New Roman" w:hAnsi="Times New Roman"/>
          <w:kern w:val="0"/>
        </w:rPr>
      </w:pPr>
      <w:r>
        <w:rPr>
          <w:rFonts w:hint="eastAsia" w:ascii="Times New Roman" w:hAnsi="Times New Roman"/>
          <w:kern w:val="0"/>
        </w:rPr>
        <w:t>定义：标识国家或地区行政区划的代码。</w:t>
      </w:r>
    </w:p>
    <w:p>
      <w:pPr>
        <w:overflowPunct w:val="0"/>
        <w:snapToGrid w:val="0"/>
        <w:spacing w:line="360" w:lineRule="auto"/>
        <w:ind w:firstLine="640"/>
        <w:rPr>
          <w:rFonts w:ascii="Times New Roman" w:hAnsi="Times New Roman"/>
          <w:kern w:val="0"/>
        </w:rPr>
      </w:pPr>
      <w:r>
        <w:rPr>
          <w:rFonts w:hint="eastAsia" w:ascii="Times New Roman" w:hAnsi="Times New Roman"/>
          <w:kern w:val="0"/>
        </w:rPr>
        <w:t>参考标准：参考</w:t>
      </w:r>
      <w:r>
        <w:rPr>
          <w:rFonts w:ascii="Times New Roman" w:hAnsi="Times New Roman"/>
          <w:kern w:val="0"/>
        </w:rPr>
        <w:t>GB/T 2260</w:t>
      </w:r>
      <w:r>
        <w:rPr>
          <w:rFonts w:hint="eastAsia" w:ascii="Times New Roman" w:hAnsi="Times New Roman"/>
          <w:kern w:val="0"/>
        </w:rPr>
        <w:t>中的行政区划数字代码</w:t>
      </w:r>
    </w:p>
    <w:p>
      <w:pPr>
        <w:overflowPunct w:val="0"/>
        <w:snapToGrid w:val="0"/>
        <w:spacing w:line="360" w:lineRule="auto"/>
        <w:ind w:firstLine="640"/>
        <w:rPr>
          <w:rFonts w:ascii="Times New Roman" w:hAnsi="Times New Roman"/>
          <w:kern w:val="0"/>
        </w:rPr>
      </w:pPr>
      <w:r>
        <w:rPr>
          <w:rFonts w:hint="eastAsia" w:ascii="Times New Roman" w:hAnsi="Times New Roman"/>
        </w:rPr>
        <w:t>代码集中未具体列出的代码值域范围可参见网站：“下载目录”</w:t>
      </w:r>
      <w:r>
        <w:rPr>
          <w:rFonts w:ascii="Times New Roman" w:hAnsi="Times New Roman"/>
        </w:rPr>
        <w:t>-</w:t>
      </w:r>
      <w:r>
        <w:rPr>
          <w:rFonts w:hint="eastAsia" w:ascii="Times New Roman" w:hAnsi="Times New Roman"/>
        </w:rPr>
        <w:t>“交通运输物流信息互联共享标准（</w:t>
      </w:r>
      <w:r>
        <w:rPr>
          <w:rFonts w:ascii="Times New Roman" w:hAnsi="Times New Roman"/>
        </w:rPr>
        <w:t>2015</w:t>
      </w:r>
      <w:r>
        <w:rPr>
          <w:rFonts w:hint="eastAsia" w:ascii="Times New Roman" w:hAnsi="Times New Roman"/>
        </w:rPr>
        <w:t>）”</w:t>
      </w:r>
      <w:r>
        <w:rPr>
          <w:rFonts w:ascii="Times New Roman" w:hAnsi="Times New Roman"/>
        </w:rPr>
        <w:t>-</w:t>
      </w:r>
      <w:r>
        <w:rPr>
          <w:rFonts w:hint="eastAsia" w:ascii="Times New Roman" w:hAnsi="Times New Roman"/>
        </w:rPr>
        <w:t>“基础标准</w:t>
      </w:r>
      <w:r>
        <w:rPr>
          <w:rFonts w:ascii="Times New Roman" w:hAnsi="Times New Roman"/>
        </w:rPr>
        <w:t>:</w:t>
      </w:r>
      <w:r>
        <w:rPr>
          <w:rFonts w:hint="eastAsia" w:ascii="Times New Roman" w:hAnsi="Times New Roman"/>
        </w:rPr>
        <w:t>代码集”内容。</w:t>
      </w:r>
    </w:p>
    <w:p>
      <w:pPr>
        <w:pStyle w:val="2"/>
        <w:numPr>
          <w:ilvl w:val="0"/>
          <w:numId w:val="0"/>
        </w:numPr>
        <w:overflowPunct w:val="0"/>
        <w:snapToGrid w:val="0"/>
        <w:spacing w:before="156" w:after="156" w:line="360" w:lineRule="auto"/>
        <w:jc w:val="both"/>
        <w:rPr>
          <w:b w:val="0"/>
          <w:sz w:val="32"/>
          <w:szCs w:val="32"/>
        </w:rPr>
      </w:pPr>
      <w:bookmarkStart w:id="15" w:name="_Toc476581376"/>
      <w:r>
        <w:rPr>
          <w:b w:val="0"/>
          <w:sz w:val="32"/>
          <w:szCs w:val="32"/>
        </w:rPr>
        <w:t>5</w:t>
      </w:r>
      <w:r>
        <w:rPr>
          <w:rFonts w:hint="eastAsia"/>
          <w:b w:val="0"/>
          <w:sz w:val="32"/>
          <w:szCs w:val="32"/>
        </w:rPr>
        <w:t>异常情况说明及处理</w:t>
      </w:r>
      <w:bookmarkEnd w:id="15"/>
    </w:p>
    <w:p>
      <w:pPr>
        <w:pStyle w:val="3"/>
        <w:numPr>
          <w:ilvl w:val="0"/>
          <w:numId w:val="0"/>
        </w:numPr>
        <w:overflowPunct w:val="0"/>
        <w:snapToGrid w:val="0"/>
        <w:spacing w:before="156" w:after="156" w:line="360" w:lineRule="auto"/>
        <w:jc w:val="both"/>
        <w:rPr>
          <w:rFonts w:ascii="Times New Roman" w:hAnsi="Times New Roman" w:eastAsia="黑体"/>
          <w:b w:val="0"/>
        </w:rPr>
      </w:pPr>
      <w:bookmarkStart w:id="16" w:name="_Toc476581377"/>
      <w:r>
        <w:rPr>
          <w:rFonts w:ascii="Times New Roman" w:hAnsi="Times New Roman" w:eastAsia="黑体"/>
          <w:b w:val="0"/>
        </w:rPr>
        <w:t>5.1</w:t>
      </w:r>
      <w:r>
        <w:rPr>
          <w:rFonts w:hint="eastAsia" w:ascii="Times New Roman" w:hAnsi="Times New Roman" w:eastAsia="黑体"/>
          <w:b w:val="0"/>
        </w:rPr>
        <w:t>异常情况说明</w:t>
      </w:r>
      <w:bookmarkEnd w:id="16"/>
    </w:p>
    <w:p>
      <w:pPr>
        <w:ind w:firstLine="640"/>
      </w:pPr>
      <w:r>
        <w:rPr>
          <w:rFonts w:hint="eastAsia"/>
        </w:rPr>
        <w:t>部监测平台将对企业上报数据进行异常情况的统计分析，主要为单据接入异常、车辆资质异常、车辆入网异常、车辆定位异常、综合异常等。</w:t>
      </w:r>
    </w:p>
    <w:p>
      <w:pPr>
        <w:ind w:firstLine="640"/>
      </w:pPr>
      <w:r>
        <w:rPr>
          <w:rFonts w:hint="eastAsia"/>
        </w:rPr>
        <w:t>（</w:t>
      </w:r>
      <w:r>
        <w:t>1</w:t>
      </w:r>
      <w:r>
        <w:rPr>
          <w:rFonts w:hint="eastAsia"/>
        </w:rPr>
        <w:t>）单据接入异常，指企业上报的单据未按填报要求填报，必填项未填或填报数据格式不符合要求。</w:t>
      </w:r>
    </w:p>
    <w:p>
      <w:pPr>
        <w:ind w:firstLine="640"/>
      </w:pPr>
      <w:r>
        <w:rPr>
          <w:rFonts w:hint="eastAsia"/>
        </w:rPr>
        <w:t>（</w:t>
      </w:r>
      <w:r>
        <w:t>2</w:t>
      </w:r>
      <w:r>
        <w:rPr>
          <w:rFonts w:hint="eastAsia"/>
        </w:rPr>
        <w:t>）车辆资质异常，指企业上报业务单据中的车辆信息与运政系统信息相比对，存在车辆无道路运输证、证件过期、运政信息与证件信息不符的情况。</w:t>
      </w:r>
    </w:p>
    <w:p>
      <w:pPr>
        <w:ind w:firstLine="640"/>
      </w:pPr>
      <w:r>
        <w:rPr>
          <w:rFonts w:hint="eastAsia"/>
        </w:rPr>
        <w:t>（</w:t>
      </w:r>
      <w:r>
        <w:t>3</w:t>
      </w:r>
      <w:r>
        <w:rPr>
          <w:rFonts w:hint="eastAsia"/>
        </w:rPr>
        <w:t>）车辆入网异常，指总质量</w:t>
      </w:r>
      <w:r>
        <w:t>12</w:t>
      </w:r>
      <w:r>
        <w:rPr>
          <w:rFonts w:hint="eastAsia"/>
        </w:rPr>
        <w:t>吨及以上普通货运车辆尚未接入全国道路货运车辆公共监管与服务平台。</w:t>
      </w:r>
    </w:p>
    <w:p>
      <w:pPr>
        <w:ind w:firstLine="640"/>
      </w:pPr>
      <w:r>
        <w:rPr>
          <w:rFonts w:hint="eastAsia"/>
        </w:rPr>
        <w:t>（</w:t>
      </w:r>
      <w:r>
        <w:t>4</w:t>
      </w:r>
      <w:r>
        <w:rPr>
          <w:rFonts w:hint="eastAsia"/>
        </w:rPr>
        <w:t>）车辆定位异常，指总质量</w:t>
      </w:r>
      <w:r>
        <w:t>12</w:t>
      </w:r>
      <w:r>
        <w:rPr>
          <w:rFonts w:hint="eastAsia"/>
        </w:rPr>
        <w:t>吨及以上货运车辆进行运输的业务单据中，起讫点的定位信息与全国道路货运车辆公共监管与服务平台轨迹定位信息不符。</w:t>
      </w:r>
    </w:p>
    <w:p>
      <w:pPr>
        <w:ind w:firstLine="640"/>
      </w:pPr>
      <w:r>
        <w:rPr>
          <w:rFonts w:hint="eastAsia"/>
        </w:rPr>
        <w:t>如一条单据中含以上任意一种或几种异常的，则该单据为异常单据。综合异常率为一定时期内异常单据占总上传单据量的比例。</w:t>
      </w:r>
    </w:p>
    <w:p>
      <w:pPr>
        <w:pStyle w:val="3"/>
        <w:numPr>
          <w:ilvl w:val="0"/>
          <w:numId w:val="0"/>
        </w:numPr>
        <w:overflowPunct w:val="0"/>
        <w:snapToGrid w:val="0"/>
        <w:spacing w:before="156" w:after="156" w:line="360" w:lineRule="auto"/>
        <w:jc w:val="both"/>
        <w:rPr>
          <w:rFonts w:ascii="Times New Roman" w:hAnsi="Times New Roman" w:eastAsia="黑体"/>
          <w:b w:val="0"/>
        </w:rPr>
      </w:pPr>
      <w:bookmarkStart w:id="17" w:name="_Toc476581378"/>
      <w:r>
        <w:rPr>
          <w:rFonts w:ascii="Times New Roman" w:hAnsi="Times New Roman" w:eastAsia="黑体"/>
          <w:b w:val="0"/>
        </w:rPr>
        <w:t>5.2</w:t>
      </w:r>
      <w:r>
        <w:rPr>
          <w:rFonts w:hint="eastAsia" w:ascii="Times New Roman" w:hAnsi="Times New Roman" w:eastAsia="黑体"/>
          <w:b w:val="0"/>
        </w:rPr>
        <w:t>异常情况处理</w:t>
      </w:r>
      <w:bookmarkEnd w:id="17"/>
    </w:p>
    <w:p>
      <w:pPr>
        <w:ind w:firstLine="640"/>
      </w:pPr>
      <w:r>
        <w:rPr>
          <w:rFonts w:hint="eastAsia"/>
        </w:rPr>
        <w:t>企业需登录省监测平台（包括省级虚拟监测平台）查看企业上报单据的异常情况，并对异常进行反馈处理：</w:t>
      </w:r>
    </w:p>
    <w:p>
      <w:pPr>
        <w:ind w:firstLine="640"/>
      </w:pPr>
      <w:r>
        <w:rPr>
          <w:rFonts w:hint="eastAsia"/>
        </w:rPr>
        <w:t>（</w:t>
      </w:r>
      <w:r>
        <w:t>1</w:t>
      </w:r>
      <w:r>
        <w:rPr>
          <w:rFonts w:hint="eastAsia"/>
        </w:rPr>
        <w:t>）单据接入异常，通过监测平台查询具体接入异常原因（必填项未填、填报格式不正确），改正后重新上报此单据。</w:t>
      </w:r>
    </w:p>
    <w:p>
      <w:pPr>
        <w:ind w:firstLine="640"/>
      </w:pPr>
      <w:r>
        <w:rPr>
          <w:rFonts w:hint="eastAsia"/>
        </w:rPr>
        <w:t>（</w:t>
      </w:r>
      <w:r>
        <w:t>2</w:t>
      </w:r>
      <w:r>
        <w:rPr>
          <w:rFonts w:hint="eastAsia"/>
        </w:rPr>
        <w:t>）车辆资质异常（无道路运输证、证件过期、运政信息与证件信息不符），需立即补办证件、换发新证或更新运政系统信息。</w:t>
      </w:r>
    </w:p>
    <w:p>
      <w:pPr>
        <w:ind w:firstLine="640"/>
      </w:pPr>
      <w:r>
        <w:rPr>
          <w:rFonts w:hint="eastAsia"/>
        </w:rPr>
        <w:t>（</w:t>
      </w:r>
      <w:r>
        <w:t>3</w:t>
      </w:r>
      <w:r>
        <w:rPr>
          <w:rFonts w:hint="eastAsia"/>
        </w:rPr>
        <w:t>）如车辆入网异常，总质量</w:t>
      </w:r>
      <w:r>
        <w:t>12</w:t>
      </w:r>
      <w:r>
        <w:rPr>
          <w:rFonts w:hint="eastAsia"/>
        </w:rPr>
        <w:t>吨及以上的货运车辆需尽快接入全国道路货运车辆公共监管与服务平台。</w:t>
      </w:r>
    </w:p>
    <w:p>
      <w:pPr>
        <w:ind w:firstLine="640"/>
      </w:pPr>
      <w:r>
        <w:rPr>
          <w:rFonts w:hint="eastAsia"/>
        </w:rPr>
        <w:t>（</w:t>
      </w:r>
      <w:r>
        <w:t>4</w:t>
      </w:r>
      <w:r>
        <w:rPr>
          <w:rFonts w:hint="eastAsia"/>
        </w:rPr>
        <w:t>）车辆定位异常，需做好车辆运输过程的动态跟踪和监管。</w:t>
      </w:r>
    </w:p>
    <w:p>
      <w:pPr>
        <w:ind w:firstLine="640"/>
      </w:pPr>
      <w:r>
        <w:rPr>
          <w:rFonts w:hint="eastAsia"/>
        </w:rPr>
        <w:t>车辆资质异常、车辆入网异常、车辆定位异常三种情况进行整改后不需要重新上传对应单据，部监测平台将在推送异常情况提示后的次月最后一日对异常单据进行再次比对，若异常情况已正确处理，则该单据由异常状态更新为正常状态，相应月份的异常率也随之更新；若仍为异常，则纳入本省异常情况统计范围。</w:t>
      </w:r>
    </w:p>
    <w:p>
      <w:pPr>
        <w:ind w:firstLine="640"/>
      </w:pPr>
      <w:r>
        <w:rPr>
          <w:rFonts w:hint="eastAsia"/>
        </w:rPr>
        <w:t>各省交通运输主管部门需根据部、省两级监测平台（包括省级监测虚拟平台）的动态跟踪监测结果，全面掌握本省试点企业运行情况，同时切实履行考核和督导责任，督促试点企业做好异常情况的整改，并于每个月最后一日在省监测平台（包括省级虚拟监测平台）中对本省上个月的异常率进行确认，部将以各省交通运输主管部门确认后的数据为依据，研究分析全国无车承运试点运行情况。</w:t>
      </w:r>
    </w:p>
    <w:p>
      <w:pPr>
        <w:pStyle w:val="2"/>
        <w:numPr>
          <w:ilvl w:val="0"/>
          <w:numId w:val="0"/>
        </w:numPr>
        <w:overflowPunct w:val="0"/>
        <w:snapToGrid w:val="0"/>
        <w:spacing w:before="156" w:after="156" w:line="360" w:lineRule="auto"/>
        <w:jc w:val="both"/>
        <w:rPr>
          <w:b w:val="0"/>
          <w:sz w:val="32"/>
          <w:szCs w:val="32"/>
        </w:rPr>
      </w:pPr>
      <w:bookmarkStart w:id="18" w:name="_Toc476581379"/>
      <w:r>
        <w:rPr>
          <w:b w:val="0"/>
          <w:sz w:val="32"/>
          <w:szCs w:val="32"/>
        </w:rPr>
        <w:t xml:space="preserve">6 </w:t>
      </w:r>
      <w:r>
        <w:rPr>
          <w:rFonts w:hint="eastAsia"/>
          <w:b w:val="0"/>
          <w:sz w:val="32"/>
          <w:szCs w:val="32"/>
        </w:rPr>
        <w:t>相关服务</w:t>
      </w:r>
      <w:bookmarkEnd w:id="18"/>
    </w:p>
    <w:p>
      <w:pPr>
        <w:overflowPunct w:val="0"/>
        <w:snapToGrid w:val="0"/>
        <w:spacing w:before="156" w:beforeLines="50" w:after="156" w:afterLines="50" w:line="360" w:lineRule="auto"/>
        <w:ind w:firstLine="640"/>
        <w:rPr>
          <w:b/>
          <w:szCs w:val="32"/>
        </w:rPr>
      </w:pPr>
      <w:r>
        <w:rPr>
          <w:rFonts w:hint="eastAsia" w:ascii="Times New Roman" w:hAnsi="Times New Roman"/>
        </w:rPr>
        <w:t>为服务无车承运人信息平台建设，部监测平台提供了人、车、户资质信息以及总质量</w:t>
      </w:r>
      <w:r>
        <w:rPr>
          <w:rFonts w:ascii="Times New Roman" w:hAnsi="Times New Roman"/>
        </w:rPr>
        <w:t>12</w:t>
      </w:r>
      <w:r>
        <w:rPr>
          <w:rFonts w:hint="eastAsia" w:ascii="Times New Roman" w:hAnsi="Times New Roman"/>
        </w:rPr>
        <w:t>吨及以上货运车辆接入道路货运车辆公共平台的入网查询服务，为企业充分利用运政信息做好人、车、户基本信息核验以及车辆入网查询提供支持。</w:t>
      </w:r>
    </w:p>
    <w:p>
      <w:pPr>
        <w:pStyle w:val="2"/>
        <w:numPr>
          <w:ilvl w:val="0"/>
          <w:numId w:val="0"/>
        </w:numPr>
        <w:overflowPunct w:val="0"/>
        <w:snapToGrid w:val="0"/>
        <w:spacing w:before="156" w:after="156" w:line="360" w:lineRule="auto"/>
        <w:jc w:val="both"/>
        <w:rPr>
          <w:b w:val="0"/>
          <w:sz w:val="32"/>
          <w:szCs w:val="32"/>
        </w:rPr>
      </w:pPr>
      <w:bookmarkStart w:id="19" w:name="_Toc476581380"/>
      <w:r>
        <w:rPr>
          <w:b w:val="0"/>
          <w:sz w:val="32"/>
          <w:szCs w:val="32"/>
        </w:rPr>
        <w:t xml:space="preserve">7 </w:t>
      </w:r>
      <w:r>
        <w:rPr>
          <w:rFonts w:hint="eastAsia"/>
          <w:b w:val="0"/>
          <w:sz w:val="32"/>
          <w:szCs w:val="32"/>
        </w:rPr>
        <w:t>技术支持</w:t>
      </w:r>
      <w:bookmarkEnd w:id="19"/>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）开放接入中心网址</w:t>
      </w:r>
    </w:p>
    <w:p>
      <w:pPr>
        <w:overflowPunct w:val="0"/>
        <w:snapToGrid w:val="0"/>
        <w:spacing w:before="156" w:beforeLines="50" w:after="156" w:afterLines="50" w:line="360" w:lineRule="auto"/>
        <w:ind w:firstLine="640"/>
        <w:rPr>
          <w:rFonts w:hint="eastAsia" w:ascii="Times New Roman" w:hAnsi="Times New Roman" w:eastAsia="仿宋_GB2312"/>
          <w:lang w:eastAsia="zh-CN"/>
        </w:rPr>
      </w:pPr>
      <w:r>
        <w:rPr>
          <w:rFonts w:hint="eastAsia" w:ascii="Times New Roman" w:hAnsi="Times New Roman"/>
        </w:rPr>
        <w:t>接入技术文档以及其他开发相关的问题，可访问平台开放接入中心</w:t>
      </w:r>
      <w:r>
        <w:rPr>
          <w:rFonts w:hint="eastAsia" w:ascii="Times New Roman" w:hAnsi="Times New Roman"/>
          <w:lang w:eastAsia="zh-CN"/>
        </w:rPr>
        <w:t>。</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）技术沟通</w:t>
      </w:r>
      <w:r>
        <w:rPr>
          <w:rFonts w:ascii="Times New Roman" w:hAnsi="Times New Roman"/>
        </w:rPr>
        <w:t>Q</w:t>
      </w:r>
      <w:bookmarkStart w:id="22" w:name="_GoBack"/>
      <w:bookmarkEnd w:id="22"/>
      <w:r>
        <w:rPr>
          <w:rFonts w:ascii="Times New Roman" w:hAnsi="Times New Roman"/>
        </w:rPr>
        <w:t>Q</w:t>
      </w:r>
      <w:r>
        <w:rPr>
          <w:rFonts w:hint="eastAsia" w:ascii="Times New Roman" w:hAnsi="Times New Roman"/>
        </w:rPr>
        <w:t>群</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无车承运互联平台接入</w:t>
      </w:r>
      <w:r>
        <w:rPr>
          <w:rFonts w:ascii="Times New Roman" w:hAnsi="Times New Roman"/>
        </w:rPr>
        <w:t>QQ</w:t>
      </w:r>
      <w:r>
        <w:rPr>
          <w:rFonts w:hint="eastAsia" w:ascii="Times New Roman" w:hAnsi="Times New Roman"/>
        </w:rPr>
        <w:t>群号码为：</w:t>
      </w:r>
      <w:r>
        <w:rPr>
          <w:rFonts w:ascii="Times New Roman" w:hAnsi="Times New Roman"/>
        </w:rPr>
        <w:t>466573536</w:t>
      </w:r>
      <w:r>
        <w:rPr>
          <w:rFonts w:hint="eastAsia" w:ascii="Times New Roman" w:hAnsi="Times New Roman"/>
        </w:rPr>
        <w:t>。</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）电子邮箱：</w:t>
      </w:r>
      <w:r>
        <w:rPr>
          <w:rFonts w:ascii="Times New Roman" w:hAnsi="Times New Roman"/>
        </w:rPr>
        <w:t>wccy@logink.org</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联系电话：</w:t>
      </w:r>
      <w:r>
        <w:rPr>
          <w:rFonts w:ascii="Times New Roman" w:hAnsi="Times New Roman"/>
        </w:rPr>
        <w:t>0571-87850256</w:t>
      </w:r>
    </w:p>
    <w:bookmarkEnd w:id="1"/>
    <w:bookmarkEnd w:id="2"/>
    <w:bookmarkEnd w:id="3"/>
    <w:p>
      <w:pPr>
        <w:overflowPunct w:val="0"/>
        <w:snapToGrid w:val="0"/>
        <w:spacing w:before="156" w:beforeLines="50" w:after="156" w:afterLines="50" w:line="360" w:lineRule="auto"/>
        <w:ind w:firstLine="640"/>
        <w:rPr>
          <w:rFonts w:ascii="Times New Roman" w:hAnsi="Times New Roman"/>
        </w:rPr>
      </w:pPr>
      <w:bookmarkStart w:id="20" w:name="_Toc470536702"/>
      <w:bookmarkEnd w:id="20"/>
      <w:bookmarkStart w:id="21" w:name="_Toc470536703"/>
      <w:bookmarkEnd w:id="21"/>
      <w:r>
        <w:rPr>
          <w:rFonts w:hint="eastAsia" w:ascii="Times New Roman" w:hAnsi="Times New Roman"/>
        </w:rPr>
        <w:t>联系电话：</w:t>
      </w:r>
      <w:r>
        <w:rPr>
          <w:rFonts w:ascii="Times New Roman" w:hAnsi="Times New Roman"/>
        </w:rPr>
        <w:t>0571-87850256</w:t>
      </w:r>
    </w:p>
    <w:p>
      <w:pPr>
        <w:overflowPunct w:val="0"/>
        <w:snapToGrid w:val="0"/>
        <w:spacing w:before="156" w:beforeLines="50" w:after="156" w:afterLines="50" w:line="360" w:lineRule="auto"/>
        <w:ind w:firstLine="0" w:firstLineChars="0"/>
        <w:rPr>
          <w:rFonts w:ascii="Times New Roman" w:hAnsi="Times New Roman"/>
          <w:b/>
        </w:rPr>
        <w:sectPr>
          <w:pgSz w:w="11906" w:h="16838"/>
          <w:pgMar w:top="1418" w:right="1418" w:bottom="1418" w:left="1701" w:header="992" w:footer="992" w:gutter="0"/>
          <w:cols w:space="425" w:num="1"/>
          <w:docGrid w:type="linesAndChars" w:linePitch="312" w:charSpace="0"/>
        </w:sectPr>
      </w:pPr>
    </w:p>
    <w:p>
      <w:pPr>
        <w:overflowPunct w:val="0"/>
        <w:snapToGrid w:val="0"/>
        <w:spacing w:before="156" w:beforeLines="50" w:after="156" w:afterLines="50" w:line="360" w:lineRule="auto"/>
        <w:ind w:firstLine="0" w:firstLineChars="0"/>
        <w:rPr>
          <w:rFonts w:ascii="Times New Roman" w:hAnsi="Times New Roman"/>
          <w:b/>
        </w:rPr>
      </w:pPr>
      <w:r>
        <w:rPr>
          <w:rFonts w:hint="eastAsia" w:ascii="方正小标宋简体" w:hAnsi="Times New Roman" w:eastAsia="方正小标宋简体"/>
          <w:b/>
        </w:rPr>
        <w:t>附件</w:t>
      </w:r>
      <w:r>
        <w:rPr>
          <w:rFonts w:ascii="Times New Roman" w:hAnsi="Times New Roman"/>
          <w:b/>
        </w:rPr>
        <w:t>3</w:t>
      </w:r>
    </w:p>
    <w:p>
      <w:pPr>
        <w:overflowPunct w:val="0"/>
        <w:snapToGrid w:val="0"/>
        <w:spacing w:before="156" w:beforeLines="50" w:after="156" w:afterLines="50" w:line="360" w:lineRule="auto"/>
        <w:ind w:firstLine="0" w:firstLineChars="0"/>
        <w:jc w:val="center"/>
        <w:rPr>
          <w:rFonts w:ascii="黑体" w:hAnsi="黑体" w:eastAsia="黑体"/>
        </w:rPr>
      </w:pPr>
      <w:r>
        <w:rPr>
          <w:rFonts w:hint="eastAsia" w:ascii="黑体" w:hAnsi="黑体" w:eastAsia="黑体"/>
        </w:rPr>
        <w:t>无车承运试点运行监测分析报告编写指南</w:t>
      </w:r>
    </w:p>
    <w:p>
      <w:pPr>
        <w:overflowPunct w:val="0"/>
        <w:snapToGrid w:val="0"/>
        <w:spacing w:line="360" w:lineRule="auto"/>
        <w:ind w:firstLine="640"/>
        <w:jc w:val="both"/>
        <w:rPr>
          <w:rFonts w:ascii="Times New Roman" w:hAnsi="Times New Roman"/>
        </w:rPr>
      </w:pPr>
      <w:r>
        <w:rPr>
          <w:rFonts w:hint="eastAsia" w:ascii="Times New Roman" w:hAnsi="Times New Roman"/>
        </w:rPr>
        <w:t>无车承运试点运行监测分析应围绕试点工作整体目标、主要任务和工作要求，采取实地调查、材料报送、数据互联交换等形式，加强对试点企业运营管理相关信息采集、跟踪、整理和归纳总结，重点分析试点运行情况、工作成效、模式与制度创新等方面，主要内容包括：</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（一）试点企业总体情况</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p>
    <w:p>
      <w:pPr>
        <w:overflowPunct w:val="0"/>
        <w:snapToGrid w:val="0"/>
        <w:spacing w:line="360" w:lineRule="auto"/>
        <w:ind w:firstLine="640"/>
        <w:jc w:val="both"/>
        <w:rPr>
          <w:rFonts w:ascii="Times New Roman" w:hAnsi="Times New Roman"/>
        </w:rPr>
      </w:pPr>
      <w:r>
        <w:rPr>
          <w:rFonts w:hint="eastAsia" w:ascii="Times New Roman" w:hAnsi="Times New Roman"/>
        </w:rPr>
        <w:t>——无车承运人试点企业情况，包括试点企业数量，企业类别和业务类型结构，空间地理分布、运营组织模式分布，企业经营规模、完成货运量等；</w:t>
      </w:r>
    </w:p>
    <w:p>
      <w:pPr>
        <w:overflowPunct w:val="0"/>
        <w:snapToGrid w:val="0"/>
        <w:spacing w:line="360" w:lineRule="auto"/>
        <w:ind w:firstLine="640"/>
        <w:jc w:val="both"/>
        <w:rPr>
          <w:rFonts w:ascii="Times New Roman" w:hAnsi="Times New Roman"/>
        </w:rPr>
      </w:pPr>
      <w:r>
        <w:rPr>
          <w:rFonts w:hint="eastAsia" w:ascii="Times New Roman" w:hAnsi="Times New Roman"/>
        </w:rPr>
        <w:t>——签约注册实际承运人情况，包括签约总量（含企业和个体业户），签约企业资质情况及业务类型结构，签约合作内容、服务网络情况，与签约方信息系统互联等。</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（二）试点运行情况分析</w:t>
      </w:r>
    </w:p>
    <w:p>
      <w:pPr>
        <w:overflowPunct w:val="0"/>
        <w:snapToGrid w:val="0"/>
        <w:spacing w:line="360" w:lineRule="auto"/>
        <w:ind w:firstLine="640"/>
        <w:jc w:val="both"/>
        <w:rPr>
          <w:rFonts w:ascii="Times New Roman" w:hAnsi="Times New Roman"/>
        </w:rPr>
      </w:pPr>
      <w:r>
        <w:rPr>
          <w:rFonts w:ascii="Times New Roman" w:hAnsi="Times New Roman"/>
        </w:rPr>
        <w:t>1.</w:t>
      </w:r>
      <w:r>
        <w:rPr>
          <w:rFonts w:hint="eastAsia" w:ascii="Times New Roman" w:hAnsi="Times New Roman"/>
        </w:rPr>
        <w:t>运力及其运行情况分析</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r>
        <w:rPr>
          <w:rFonts w:ascii="Times New Roman" w:hAnsi="Times New Roman"/>
        </w:rPr>
        <w:br w:type="textWrapping"/>
      </w:r>
      <w:r>
        <w:rPr>
          <w:rFonts w:ascii="Times New Roman" w:hAnsi="Times New Roman"/>
        </w:rPr>
        <w:t xml:space="preserve">    </w:t>
      </w:r>
      <w:r>
        <w:rPr>
          <w:rFonts w:hint="eastAsia" w:ascii="Times New Roman" w:hAnsi="Times New Roman"/>
        </w:rPr>
        <w:t>——整合运力规模；</w:t>
      </w:r>
    </w:p>
    <w:p>
      <w:pPr>
        <w:overflowPunct w:val="0"/>
        <w:snapToGrid w:val="0"/>
        <w:spacing w:line="360" w:lineRule="auto"/>
        <w:ind w:firstLine="640"/>
        <w:jc w:val="both"/>
        <w:rPr>
          <w:rFonts w:ascii="Times New Roman" w:hAnsi="Times New Roman"/>
        </w:rPr>
      </w:pPr>
      <w:r>
        <w:rPr>
          <w:rFonts w:hint="eastAsia" w:ascii="Times New Roman" w:hAnsi="Times New Roman"/>
        </w:rPr>
        <w:t>——运力车型分布；</w:t>
      </w:r>
    </w:p>
    <w:p>
      <w:pPr>
        <w:overflowPunct w:val="0"/>
        <w:snapToGrid w:val="0"/>
        <w:spacing w:line="360" w:lineRule="auto"/>
        <w:ind w:firstLine="640"/>
        <w:jc w:val="both"/>
        <w:rPr>
          <w:rFonts w:ascii="Times New Roman" w:hAnsi="Times New Roman"/>
        </w:rPr>
      </w:pPr>
      <w:r>
        <w:rPr>
          <w:rFonts w:hint="eastAsia" w:ascii="Times New Roman" w:hAnsi="Times New Roman"/>
        </w:rPr>
        <w:t>——按运力注册地划分的运力区域分布；</w:t>
      </w:r>
    </w:p>
    <w:p>
      <w:pPr>
        <w:overflowPunct w:val="0"/>
        <w:snapToGrid w:val="0"/>
        <w:spacing w:line="360" w:lineRule="auto"/>
        <w:ind w:firstLine="640"/>
        <w:jc w:val="both"/>
        <w:rPr>
          <w:rFonts w:ascii="Times New Roman" w:hAnsi="Times New Roman"/>
        </w:rPr>
      </w:pPr>
      <w:r>
        <w:rPr>
          <w:rFonts w:hint="eastAsia" w:ascii="Times New Roman" w:hAnsi="Times New Roman"/>
        </w:rPr>
        <w:t>——运力交易活跃度情况。</w:t>
      </w:r>
    </w:p>
    <w:p>
      <w:pPr>
        <w:overflowPunct w:val="0"/>
        <w:snapToGrid w:val="0"/>
        <w:spacing w:line="360" w:lineRule="auto"/>
        <w:ind w:firstLine="640"/>
        <w:jc w:val="both"/>
        <w:rPr>
          <w:rFonts w:ascii="Times New Roman" w:hAnsi="Times New Roman"/>
        </w:rPr>
      </w:pPr>
      <w:r>
        <w:rPr>
          <w:rFonts w:ascii="Times New Roman" w:hAnsi="Times New Roman"/>
        </w:rPr>
        <w:t>2.</w:t>
      </w:r>
      <w:r>
        <w:rPr>
          <w:rFonts w:hint="eastAsia" w:ascii="Times New Roman" w:hAnsi="Times New Roman"/>
        </w:rPr>
        <w:t>货物运输特点分析</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p>
    <w:p>
      <w:pPr>
        <w:overflowPunct w:val="0"/>
        <w:snapToGrid w:val="0"/>
        <w:spacing w:line="360" w:lineRule="auto"/>
        <w:ind w:firstLine="640"/>
        <w:jc w:val="both"/>
        <w:rPr>
          <w:rFonts w:ascii="Times New Roman" w:hAnsi="Times New Roman"/>
        </w:rPr>
      </w:pPr>
      <w:r>
        <w:rPr>
          <w:rFonts w:hint="eastAsia" w:ascii="Times New Roman" w:hAnsi="Times New Roman"/>
        </w:rPr>
        <w:t>——总交易额、承担货运量同环比变化情况；</w:t>
      </w:r>
    </w:p>
    <w:p>
      <w:pPr>
        <w:overflowPunct w:val="0"/>
        <w:snapToGrid w:val="0"/>
        <w:spacing w:line="360" w:lineRule="auto"/>
        <w:ind w:firstLine="640"/>
        <w:jc w:val="both"/>
        <w:rPr>
          <w:rFonts w:ascii="Times New Roman" w:hAnsi="Times New Roman"/>
        </w:rPr>
      </w:pPr>
      <w:r>
        <w:rPr>
          <w:rFonts w:hint="eastAsia" w:ascii="Times New Roman" w:hAnsi="Times New Roman"/>
        </w:rPr>
        <w:t>——运输货类结构分析；</w:t>
      </w:r>
      <w:r>
        <w:rPr>
          <w:rFonts w:ascii="Times New Roman" w:hAnsi="Times New Roman"/>
        </w:rPr>
        <w:br w:type="textWrapping"/>
      </w:r>
      <w:r>
        <w:rPr>
          <w:rFonts w:ascii="Times New Roman" w:hAnsi="Times New Roman"/>
        </w:rPr>
        <w:t xml:space="preserve">    </w:t>
      </w:r>
      <w:r>
        <w:rPr>
          <w:rFonts w:hint="eastAsia" w:ascii="Times New Roman" w:hAnsi="Times New Roman"/>
        </w:rPr>
        <w:t>——平均运距分析及变化情况；</w:t>
      </w:r>
    </w:p>
    <w:p>
      <w:pPr>
        <w:overflowPunct w:val="0"/>
        <w:snapToGrid w:val="0"/>
        <w:spacing w:line="360" w:lineRule="auto"/>
        <w:ind w:firstLine="640"/>
        <w:jc w:val="both"/>
        <w:rPr>
          <w:rFonts w:ascii="Times New Roman" w:hAnsi="Times New Roman"/>
        </w:rPr>
      </w:pPr>
      <w:r>
        <w:rPr>
          <w:rFonts w:hint="eastAsia" w:ascii="Times New Roman" w:hAnsi="Times New Roman"/>
        </w:rPr>
        <w:t>——货运量跨省和省内起讫点（</w:t>
      </w:r>
      <w:r>
        <w:rPr>
          <w:rFonts w:ascii="Times New Roman" w:hAnsi="Times New Roman"/>
        </w:rPr>
        <w:t>OD</w:t>
      </w:r>
      <w:r>
        <w:rPr>
          <w:rFonts w:hint="eastAsia" w:ascii="Times New Roman" w:hAnsi="Times New Roman"/>
        </w:rPr>
        <w:t>）分析；</w:t>
      </w:r>
    </w:p>
    <w:p>
      <w:pPr>
        <w:overflowPunct w:val="0"/>
        <w:snapToGrid w:val="0"/>
        <w:spacing w:line="360" w:lineRule="auto"/>
        <w:ind w:firstLine="640"/>
        <w:jc w:val="both"/>
        <w:rPr>
          <w:rFonts w:ascii="Times New Roman" w:hAnsi="Times New Roman"/>
        </w:rPr>
      </w:pPr>
      <w:r>
        <w:rPr>
          <w:rFonts w:hint="eastAsia" w:ascii="Times New Roman" w:hAnsi="Times New Roman"/>
        </w:rPr>
        <w:t>——分省（市、区）交易活跃度（主要业务为省内范围的，可分析省内各地市间交易活跃度）。</w:t>
      </w:r>
    </w:p>
    <w:p>
      <w:pPr>
        <w:overflowPunct w:val="0"/>
        <w:snapToGrid w:val="0"/>
        <w:spacing w:line="360" w:lineRule="auto"/>
        <w:ind w:firstLine="643"/>
        <w:jc w:val="both"/>
        <w:rPr>
          <w:rFonts w:ascii="Times New Roman" w:hAnsi="Times New Roman"/>
          <w:b/>
        </w:rPr>
      </w:pPr>
      <w:r>
        <w:rPr>
          <w:rFonts w:hint="eastAsia" w:ascii="Times New Roman" w:hAnsi="Times New Roman"/>
          <w:b/>
        </w:rPr>
        <w:t>（三）试点工作成效分析</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p>
    <w:p>
      <w:pPr>
        <w:overflowPunct w:val="0"/>
        <w:snapToGrid w:val="0"/>
        <w:spacing w:line="360" w:lineRule="auto"/>
        <w:ind w:firstLine="640"/>
        <w:jc w:val="both"/>
        <w:rPr>
          <w:rFonts w:ascii="Times New Roman" w:hAnsi="Times New Roman"/>
        </w:rPr>
      </w:pPr>
      <w:r>
        <w:rPr>
          <w:rFonts w:hint="eastAsia" w:ascii="Times New Roman" w:hAnsi="Times New Roman"/>
        </w:rPr>
        <w:t>——推动物流降本增效：重点分析与试点企业签订全日制、长时间合作协议的运输车辆单车月平均完成运输量、周转量、平均等货时间、里程利用率、平均运价等指标，与全行业平均水平进行对比，分析试点工作对提升组织效率、降低物流成本、促进节能减排（减少车辆空驶而降低的能源消耗和污染排放）的影响。</w:t>
      </w:r>
    </w:p>
    <w:p>
      <w:pPr>
        <w:overflowPunct w:val="0"/>
        <w:snapToGrid w:val="0"/>
        <w:spacing w:line="360" w:lineRule="auto"/>
        <w:ind w:firstLine="640"/>
        <w:jc w:val="both"/>
        <w:rPr>
          <w:rFonts w:ascii="Times New Roman" w:hAnsi="Times New Roman"/>
        </w:rPr>
      </w:pPr>
      <w:r>
        <w:rPr>
          <w:rFonts w:ascii="Times New Roman" w:hAnsi="Times New Roman"/>
        </w:rPr>
        <w:t>——</w:t>
      </w:r>
      <w:r>
        <w:rPr>
          <w:rFonts w:hint="eastAsia" w:ascii="Times New Roman" w:hAnsi="Times New Roman"/>
        </w:rPr>
        <w:t>创新运输组织模式：分析企业在采用甩挂运输、多式联运等先进运输组织方式，采用集装箱和托盘等模块化运输，以及采用定位跟踪、电子运单、网络结算、大数据分析等现代信息技术手段带来的效率提升、成本降低和节能减排。</w:t>
      </w:r>
    </w:p>
    <w:p>
      <w:pPr>
        <w:overflowPunct w:val="0"/>
        <w:snapToGrid w:val="0"/>
        <w:spacing w:line="360" w:lineRule="auto"/>
        <w:ind w:firstLine="640"/>
        <w:jc w:val="both"/>
        <w:rPr>
          <w:rFonts w:ascii="Times New Roman" w:hAnsi="Times New Roman"/>
        </w:rPr>
      </w:pPr>
      <w:r>
        <w:rPr>
          <w:rFonts w:hint="eastAsia" w:ascii="Times New Roman" w:hAnsi="Times New Roman"/>
        </w:rPr>
        <w:t>——促进物流资源整合：围绕平台完成的交易量、交易额、整合货车资源占全社会总量的比例等指标，分析物流资源整合成效。</w:t>
      </w:r>
    </w:p>
    <w:p>
      <w:pPr>
        <w:overflowPunct w:val="0"/>
        <w:snapToGrid w:val="0"/>
        <w:spacing w:line="360" w:lineRule="auto"/>
        <w:ind w:firstLine="640"/>
        <w:jc w:val="both"/>
        <w:rPr>
          <w:rFonts w:ascii="Times New Roman" w:hAnsi="Times New Roman"/>
        </w:rPr>
      </w:pPr>
      <w:r>
        <w:rPr>
          <w:rFonts w:hint="eastAsia" w:ascii="Times New Roman" w:hAnsi="Times New Roman"/>
        </w:rPr>
        <w:t>——规范市场主体行为：分析汇总平台对实际承运人的考核评价、信用监督、质量管控、保险理赔等方面的技术和管理创新。</w:t>
      </w:r>
    </w:p>
    <w:p>
      <w:pPr>
        <w:overflowPunct w:val="0"/>
        <w:snapToGrid w:val="0"/>
        <w:spacing w:line="360" w:lineRule="auto"/>
        <w:ind w:firstLine="640"/>
        <w:jc w:val="both"/>
        <w:rPr>
          <w:rFonts w:ascii="Times New Roman" w:hAnsi="Times New Roman"/>
        </w:rPr>
      </w:pPr>
      <w:r>
        <w:rPr>
          <w:rFonts w:hint="eastAsia" w:ascii="Times New Roman" w:hAnsi="Times New Roman"/>
        </w:rPr>
        <w:t>——提升物流服务水平：分析汇总平台在提供供应链管理、优化客户管理流程、提高仓、运、配一体化水平、拓展跨区域渠道网络、提供物流增值服务等方面的创新，以及实际的效果。</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（四）管理制度创新情况</w:t>
      </w:r>
    </w:p>
    <w:p>
      <w:pPr>
        <w:overflowPunct w:val="0"/>
        <w:snapToGrid w:val="0"/>
        <w:spacing w:line="360" w:lineRule="auto"/>
        <w:ind w:firstLine="640"/>
        <w:jc w:val="both"/>
        <w:rPr>
          <w:rFonts w:ascii="Times New Roman" w:hAnsi="Times New Roman"/>
        </w:rPr>
      </w:pPr>
      <w:r>
        <w:rPr>
          <w:rFonts w:hint="eastAsia" w:ascii="Times New Roman" w:hAnsi="Times New Roman"/>
        </w:rPr>
        <w:t>——无车承运人税收政策落实情况。各地落实和创新无车承运人税收政策，协调解决增值税开票资格、进项抵扣、额度监管等实际问题，规范企业纳税行为，建立健全交通运输和税务部门间业务联动、政策协同等方面的相关做法。</w:t>
      </w:r>
    </w:p>
    <w:p>
      <w:pPr>
        <w:overflowPunct w:val="0"/>
        <w:snapToGrid w:val="0"/>
        <w:spacing w:line="360" w:lineRule="auto"/>
        <w:ind w:firstLine="640"/>
        <w:jc w:val="both"/>
        <w:rPr>
          <w:rFonts w:ascii="Times New Roman" w:hAnsi="Times New Roman"/>
        </w:rPr>
      </w:pPr>
      <w:r>
        <w:rPr>
          <w:rFonts w:hint="eastAsia" w:ascii="Times New Roman" w:hAnsi="Times New Roman"/>
        </w:rPr>
        <w:t>——探索创新管理制度情况。总结各地在探索无车承运人市场准入和退出、运营管理等相关制度，以及完善企业经营服务标准规范等方面的创新。</w:t>
      </w:r>
    </w:p>
    <w:p>
      <w:pPr>
        <w:overflowPunct w:val="0"/>
        <w:snapToGrid w:val="0"/>
        <w:spacing w:line="360" w:lineRule="auto"/>
        <w:ind w:firstLine="640"/>
        <w:jc w:val="both"/>
        <w:rPr>
          <w:rFonts w:ascii="Times New Roman" w:hAnsi="Times New Roman"/>
        </w:rPr>
      </w:pPr>
      <w:r>
        <w:rPr>
          <w:rFonts w:hint="eastAsia" w:ascii="Times New Roman" w:hAnsi="Times New Roman"/>
        </w:rPr>
        <w:t>——完善配套支持政策情况。梳理各地在鼓励试点企业创新发展、转型升级等方面制定出台的简化审批流程、改进公共服务、加大人才培养、减免通行费等配套支持政策和举措。</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（五）运行监测异常发生及处理情况</w:t>
      </w:r>
    </w:p>
    <w:p>
      <w:pPr>
        <w:overflowPunct w:val="0"/>
        <w:snapToGrid w:val="0"/>
        <w:spacing w:line="360" w:lineRule="auto"/>
        <w:ind w:firstLine="640"/>
        <w:jc w:val="both"/>
        <w:rPr>
          <w:rFonts w:ascii="Times New Roman" w:hAnsi="Times New Roman"/>
        </w:rPr>
      </w:pPr>
      <w:r>
        <w:rPr>
          <w:rFonts w:hint="eastAsia" w:ascii="Times New Roman" w:hAnsi="Times New Roman"/>
        </w:rPr>
        <w:t>结合运行监测平台预警信息，通报试点企业异常运行单证发生情况，交通运输主管部门对异常单证的调查、分析和反馈情况，提出的整改措施要求及试点企业整改落实情况，研究分析试点运行中存在的主要问题和原因。</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（六）下一步工作建议</w:t>
      </w:r>
    </w:p>
    <w:p>
      <w:pPr>
        <w:overflowPunct w:val="0"/>
        <w:snapToGrid w:val="0"/>
        <w:spacing w:line="360" w:lineRule="auto"/>
        <w:ind w:firstLine="640"/>
        <w:jc w:val="both"/>
        <w:rPr>
          <w:rFonts w:ascii="Times New Roman" w:hAnsi="Times New Roman"/>
        </w:rPr>
      </w:pPr>
      <w:r>
        <w:rPr>
          <w:rFonts w:hint="eastAsia" w:ascii="Times New Roman" w:hAnsi="Times New Roman"/>
        </w:rPr>
        <w:t>结合本地区工作实际和试点企业合理诉求，从市场需求、政策环境、管理制度等角度分析试点运行过程中存在的问题，提出下一阶段推进和完善试点工作的相关建议。</w:t>
      </w:r>
    </w:p>
    <w:p>
      <w:pPr>
        <w:overflowPunct w:val="0"/>
        <w:snapToGrid w:val="0"/>
        <w:spacing w:before="156" w:beforeLines="50" w:after="156" w:afterLines="50" w:line="360" w:lineRule="auto"/>
        <w:ind w:firstLine="0" w:firstLineChars="0"/>
        <w:rPr>
          <w:rFonts w:ascii="Times New Roman" w:hAnsi="Times New Roman"/>
        </w:rPr>
      </w:pPr>
    </w:p>
    <w:sectPr>
      <w:pgSz w:w="11906" w:h="16838"/>
      <w:pgMar w:top="1418" w:right="1418" w:bottom="1418" w:left="1701" w:header="992"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firstLineChars="0"/>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1</w:t>
    </w:r>
    <w:r>
      <w:rPr>
        <w:rFonts w:ascii="Times New Roman" w:hAnsi="Times New Roman" w:cs="Times New Roman"/>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708D4"/>
    <w:multiLevelType w:val="multilevel"/>
    <w:tmpl w:val="235708D4"/>
    <w:lvl w:ilvl="0" w:tentative="0">
      <w:start w:val="1"/>
      <w:numFmt w:val="lowerLetter"/>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40135CF"/>
    <w:multiLevelType w:val="multilevel"/>
    <w:tmpl w:val="340135CF"/>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7E2BCE"/>
    <w:multiLevelType w:val="multilevel"/>
    <w:tmpl w:val="5B7E2BCE"/>
    <w:lvl w:ilvl="0" w:tentative="0">
      <w:start w:val="1"/>
      <w:numFmt w:val="decimal"/>
      <w:pStyle w:val="2"/>
      <w:lvlText w:val="%1"/>
      <w:lvlJc w:val="left"/>
      <w:pPr>
        <w:tabs>
          <w:tab w:val="left" w:pos="0"/>
        </w:tabs>
        <w:ind w:left="0" w:firstLine="0"/>
      </w:pPr>
      <w:rPr>
        <w:rFonts w:hint="eastAsia"/>
        <w:sz w:val="32"/>
        <w:szCs w:val="32"/>
      </w:rPr>
    </w:lvl>
    <w:lvl w:ilvl="1" w:tentative="0">
      <w:start w:val="1"/>
      <w:numFmt w:val="decimal"/>
      <w:pStyle w:val="3"/>
      <w:lvlText w:val="%1.%2"/>
      <w:lvlJc w:val="left"/>
      <w:pPr>
        <w:tabs>
          <w:tab w:val="left" w:pos="567"/>
        </w:tabs>
        <w:ind w:left="0" w:firstLine="0"/>
      </w:pPr>
      <w:rPr>
        <w:rFonts w:hint="eastAsia"/>
      </w:rPr>
    </w:lvl>
    <w:lvl w:ilvl="2" w:tentative="0">
      <w:start w:val="1"/>
      <w:numFmt w:val="decimal"/>
      <w:pStyle w:val="4"/>
      <w:isLgl/>
      <w:lvlText w:val="%1.%2.%3"/>
      <w:lvlJc w:val="left"/>
      <w:pPr>
        <w:tabs>
          <w:tab w:val="left" w:pos="680"/>
        </w:tabs>
        <w:ind w:left="0" w:firstLine="0"/>
      </w:pPr>
      <w:rPr>
        <w:rFonts w:hint="eastAsia"/>
      </w:rPr>
    </w:lvl>
    <w:lvl w:ilvl="3" w:tentative="0">
      <w:start w:val="1"/>
      <w:numFmt w:val="decimal"/>
      <w:lvlText w:val="（%4）"/>
      <w:lvlJc w:val="left"/>
      <w:pPr>
        <w:tabs>
          <w:tab w:val="left" w:pos="-254"/>
        </w:tabs>
        <w:ind w:left="0" w:firstLine="0"/>
      </w:pPr>
      <w:rPr>
        <w:rFonts w:hint="eastAsia"/>
      </w:rPr>
    </w:lvl>
    <w:lvl w:ilvl="4" w:tentative="0">
      <w:start w:val="1"/>
      <w:numFmt w:val="decimal"/>
      <w:lvlText w:val="%1.%2.%3.%4.%5."/>
      <w:lvlJc w:val="left"/>
      <w:pPr>
        <w:tabs>
          <w:tab w:val="left" w:pos="738"/>
        </w:tabs>
        <w:ind w:left="738" w:hanging="992"/>
      </w:pPr>
      <w:rPr>
        <w:rFonts w:hint="eastAsia"/>
      </w:rPr>
    </w:lvl>
    <w:lvl w:ilvl="5" w:tentative="0">
      <w:start w:val="1"/>
      <w:numFmt w:val="decimal"/>
      <w:lvlText w:val="%1.%2.%3.%4.%5.%6."/>
      <w:lvlJc w:val="left"/>
      <w:pPr>
        <w:tabs>
          <w:tab w:val="left" w:pos="880"/>
        </w:tabs>
        <w:ind w:left="880" w:hanging="1134"/>
      </w:pPr>
      <w:rPr>
        <w:rFonts w:hint="eastAsia"/>
      </w:rPr>
    </w:lvl>
    <w:lvl w:ilvl="6" w:tentative="0">
      <w:start w:val="1"/>
      <w:numFmt w:val="decimal"/>
      <w:lvlText w:val="%1.%2.%3.%4.%5.%6.%7."/>
      <w:lvlJc w:val="left"/>
      <w:pPr>
        <w:tabs>
          <w:tab w:val="left" w:pos="1022"/>
        </w:tabs>
        <w:ind w:left="1022" w:hanging="1276"/>
      </w:pPr>
      <w:rPr>
        <w:rFonts w:hint="eastAsia"/>
      </w:rPr>
    </w:lvl>
    <w:lvl w:ilvl="7" w:tentative="0">
      <w:start w:val="1"/>
      <w:numFmt w:val="decimal"/>
      <w:lvlText w:val="%1.%2.%3.%4.%5.%6.%7.%8."/>
      <w:lvlJc w:val="left"/>
      <w:pPr>
        <w:tabs>
          <w:tab w:val="left" w:pos="1164"/>
        </w:tabs>
        <w:ind w:left="1164" w:hanging="1418"/>
      </w:pPr>
      <w:rPr>
        <w:rFonts w:hint="eastAsia"/>
      </w:rPr>
    </w:lvl>
    <w:lvl w:ilvl="8" w:tentative="0">
      <w:start w:val="1"/>
      <w:numFmt w:val="decimal"/>
      <w:lvlText w:val="%1.%2.%3.%4.%5.%6.%7.%8.%9."/>
      <w:lvlJc w:val="left"/>
      <w:pPr>
        <w:tabs>
          <w:tab w:val="left" w:pos="1305"/>
        </w:tabs>
        <w:ind w:left="1305"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0F"/>
    <w:rsid w:val="00001397"/>
    <w:rsid w:val="00001C33"/>
    <w:rsid w:val="000027AC"/>
    <w:rsid w:val="00003C8D"/>
    <w:rsid w:val="0000569E"/>
    <w:rsid w:val="00005C38"/>
    <w:rsid w:val="00005F88"/>
    <w:rsid w:val="0000695A"/>
    <w:rsid w:val="00007738"/>
    <w:rsid w:val="000121D7"/>
    <w:rsid w:val="0001379C"/>
    <w:rsid w:val="00015AB2"/>
    <w:rsid w:val="000216B6"/>
    <w:rsid w:val="00023543"/>
    <w:rsid w:val="000307DB"/>
    <w:rsid w:val="00030BB1"/>
    <w:rsid w:val="00034302"/>
    <w:rsid w:val="000344A4"/>
    <w:rsid w:val="00035ABA"/>
    <w:rsid w:val="00037B1F"/>
    <w:rsid w:val="00043E38"/>
    <w:rsid w:val="00044C4C"/>
    <w:rsid w:val="000454CD"/>
    <w:rsid w:val="00046C90"/>
    <w:rsid w:val="00055188"/>
    <w:rsid w:val="00056CD8"/>
    <w:rsid w:val="00057758"/>
    <w:rsid w:val="000616B7"/>
    <w:rsid w:val="0006314A"/>
    <w:rsid w:val="00064A3F"/>
    <w:rsid w:val="0006587E"/>
    <w:rsid w:val="00065F3D"/>
    <w:rsid w:val="000727F6"/>
    <w:rsid w:val="00073A86"/>
    <w:rsid w:val="000744CA"/>
    <w:rsid w:val="00076A0F"/>
    <w:rsid w:val="00082DCF"/>
    <w:rsid w:val="00091A51"/>
    <w:rsid w:val="00092C0E"/>
    <w:rsid w:val="00094F13"/>
    <w:rsid w:val="00095B3D"/>
    <w:rsid w:val="00096374"/>
    <w:rsid w:val="000972FE"/>
    <w:rsid w:val="000A0BEF"/>
    <w:rsid w:val="000A1BBB"/>
    <w:rsid w:val="000A3CF6"/>
    <w:rsid w:val="000A4DE7"/>
    <w:rsid w:val="000A7209"/>
    <w:rsid w:val="000A772C"/>
    <w:rsid w:val="000B1704"/>
    <w:rsid w:val="000B562F"/>
    <w:rsid w:val="000C0A57"/>
    <w:rsid w:val="000C20C4"/>
    <w:rsid w:val="000C3E6A"/>
    <w:rsid w:val="000C4DD7"/>
    <w:rsid w:val="000C5227"/>
    <w:rsid w:val="000C7D43"/>
    <w:rsid w:val="000D0446"/>
    <w:rsid w:val="000D1AA6"/>
    <w:rsid w:val="000D407B"/>
    <w:rsid w:val="000D7322"/>
    <w:rsid w:val="000E14AB"/>
    <w:rsid w:val="000E60CA"/>
    <w:rsid w:val="000E71CA"/>
    <w:rsid w:val="000E7415"/>
    <w:rsid w:val="000F1CC4"/>
    <w:rsid w:val="0010025D"/>
    <w:rsid w:val="00103C86"/>
    <w:rsid w:val="001075CB"/>
    <w:rsid w:val="00110684"/>
    <w:rsid w:val="00111340"/>
    <w:rsid w:val="00111437"/>
    <w:rsid w:val="0011169E"/>
    <w:rsid w:val="001121BD"/>
    <w:rsid w:val="00122E3F"/>
    <w:rsid w:val="0012467F"/>
    <w:rsid w:val="00124DF5"/>
    <w:rsid w:val="00126B4B"/>
    <w:rsid w:val="001325AB"/>
    <w:rsid w:val="00133A7C"/>
    <w:rsid w:val="001349C0"/>
    <w:rsid w:val="00134E14"/>
    <w:rsid w:val="001372FE"/>
    <w:rsid w:val="00143CF0"/>
    <w:rsid w:val="00144BC9"/>
    <w:rsid w:val="00153B82"/>
    <w:rsid w:val="00157AA5"/>
    <w:rsid w:val="00162F65"/>
    <w:rsid w:val="00171A44"/>
    <w:rsid w:val="00173AA7"/>
    <w:rsid w:val="00173B8D"/>
    <w:rsid w:val="001764BA"/>
    <w:rsid w:val="00180189"/>
    <w:rsid w:val="00186A0A"/>
    <w:rsid w:val="00187741"/>
    <w:rsid w:val="0019071A"/>
    <w:rsid w:val="00190ABB"/>
    <w:rsid w:val="001913FE"/>
    <w:rsid w:val="00193EC0"/>
    <w:rsid w:val="0019524A"/>
    <w:rsid w:val="0019580B"/>
    <w:rsid w:val="001961C1"/>
    <w:rsid w:val="00197540"/>
    <w:rsid w:val="0019780E"/>
    <w:rsid w:val="001A1324"/>
    <w:rsid w:val="001A1A6D"/>
    <w:rsid w:val="001A2236"/>
    <w:rsid w:val="001A2936"/>
    <w:rsid w:val="001A52BE"/>
    <w:rsid w:val="001A719F"/>
    <w:rsid w:val="001B2F3A"/>
    <w:rsid w:val="001B46E9"/>
    <w:rsid w:val="001B62E6"/>
    <w:rsid w:val="001B70C7"/>
    <w:rsid w:val="001C2CC6"/>
    <w:rsid w:val="001C333A"/>
    <w:rsid w:val="001C35B4"/>
    <w:rsid w:val="001C599C"/>
    <w:rsid w:val="001C7410"/>
    <w:rsid w:val="001D01A4"/>
    <w:rsid w:val="001D04ED"/>
    <w:rsid w:val="001D1472"/>
    <w:rsid w:val="001D5CDB"/>
    <w:rsid w:val="001E36A1"/>
    <w:rsid w:val="001E6A95"/>
    <w:rsid w:val="001F1FA7"/>
    <w:rsid w:val="001F3E1F"/>
    <w:rsid w:val="001F5179"/>
    <w:rsid w:val="001F5181"/>
    <w:rsid w:val="00201FEA"/>
    <w:rsid w:val="00204072"/>
    <w:rsid w:val="002078F0"/>
    <w:rsid w:val="00211F0C"/>
    <w:rsid w:val="0021289E"/>
    <w:rsid w:val="00212D3F"/>
    <w:rsid w:val="00213FB5"/>
    <w:rsid w:val="00215F56"/>
    <w:rsid w:val="0022112F"/>
    <w:rsid w:val="00223564"/>
    <w:rsid w:val="00224788"/>
    <w:rsid w:val="00224D6D"/>
    <w:rsid w:val="00230CF3"/>
    <w:rsid w:val="0023187A"/>
    <w:rsid w:val="00232FF0"/>
    <w:rsid w:val="00234196"/>
    <w:rsid w:val="0023468E"/>
    <w:rsid w:val="002354DE"/>
    <w:rsid w:val="002355DB"/>
    <w:rsid w:val="0023588B"/>
    <w:rsid w:val="002427F1"/>
    <w:rsid w:val="002478A6"/>
    <w:rsid w:val="00247C7F"/>
    <w:rsid w:val="00256943"/>
    <w:rsid w:val="002600FF"/>
    <w:rsid w:val="00261EDB"/>
    <w:rsid w:val="00265A89"/>
    <w:rsid w:val="00270551"/>
    <w:rsid w:val="0027115D"/>
    <w:rsid w:val="00273A66"/>
    <w:rsid w:val="00274AFE"/>
    <w:rsid w:val="00274D74"/>
    <w:rsid w:val="00275662"/>
    <w:rsid w:val="00276ADD"/>
    <w:rsid w:val="002805E8"/>
    <w:rsid w:val="00286FD1"/>
    <w:rsid w:val="002920B6"/>
    <w:rsid w:val="00292595"/>
    <w:rsid w:val="002A5F5A"/>
    <w:rsid w:val="002B0A75"/>
    <w:rsid w:val="002B1CC9"/>
    <w:rsid w:val="002B265F"/>
    <w:rsid w:val="002B5894"/>
    <w:rsid w:val="002C0D20"/>
    <w:rsid w:val="002C1319"/>
    <w:rsid w:val="002C28F6"/>
    <w:rsid w:val="002C4E95"/>
    <w:rsid w:val="002C7DD6"/>
    <w:rsid w:val="002D1B1A"/>
    <w:rsid w:val="002D4046"/>
    <w:rsid w:val="002D4CEC"/>
    <w:rsid w:val="002D571D"/>
    <w:rsid w:val="002E3F77"/>
    <w:rsid w:val="002E54CA"/>
    <w:rsid w:val="002E5923"/>
    <w:rsid w:val="002E6356"/>
    <w:rsid w:val="002F0E5B"/>
    <w:rsid w:val="002F4B2F"/>
    <w:rsid w:val="002F4E82"/>
    <w:rsid w:val="002F5635"/>
    <w:rsid w:val="002F7214"/>
    <w:rsid w:val="002F7583"/>
    <w:rsid w:val="002F7EBB"/>
    <w:rsid w:val="003008A8"/>
    <w:rsid w:val="00305A1A"/>
    <w:rsid w:val="003066E7"/>
    <w:rsid w:val="00306C73"/>
    <w:rsid w:val="00306D2E"/>
    <w:rsid w:val="00310D5F"/>
    <w:rsid w:val="00317C98"/>
    <w:rsid w:val="003225E9"/>
    <w:rsid w:val="00325F93"/>
    <w:rsid w:val="003338A5"/>
    <w:rsid w:val="003359EB"/>
    <w:rsid w:val="00337F97"/>
    <w:rsid w:val="0034078D"/>
    <w:rsid w:val="00340862"/>
    <w:rsid w:val="003421D3"/>
    <w:rsid w:val="00343501"/>
    <w:rsid w:val="003504C7"/>
    <w:rsid w:val="0035138E"/>
    <w:rsid w:val="00360044"/>
    <w:rsid w:val="00360336"/>
    <w:rsid w:val="00360D74"/>
    <w:rsid w:val="00362EEB"/>
    <w:rsid w:val="00363CFC"/>
    <w:rsid w:val="00364205"/>
    <w:rsid w:val="0036544F"/>
    <w:rsid w:val="00365FFE"/>
    <w:rsid w:val="003676F8"/>
    <w:rsid w:val="00371287"/>
    <w:rsid w:val="00373441"/>
    <w:rsid w:val="00377097"/>
    <w:rsid w:val="00377183"/>
    <w:rsid w:val="00380D89"/>
    <w:rsid w:val="00380E0F"/>
    <w:rsid w:val="00383452"/>
    <w:rsid w:val="003911A6"/>
    <w:rsid w:val="003913E0"/>
    <w:rsid w:val="00393B93"/>
    <w:rsid w:val="00397567"/>
    <w:rsid w:val="003A66A7"/>
    <w:rsid w:val="003A7EC9"/>
    <w:rsid w:val="003B0784"/>
    <w:rsid w:val="003B2FF2"/>
    <w:rsid w:val="003B4804"/>
    <w:rsid w:val="003B6963"/>
    <w:rsid w:val="003C6317"/>
    <w:rsid w:val="003D1246"/>
    <w:rsid w:val="003D2264"/>
    <w:rsid w:val="003D534B"/>
    <w:rsid w:val="003F2394"/>
    <w:rsid w:val="003F7F98"/>
    <w:rsid w:val="00406DD7"/>
    <w:rsid w:val="00407275"/>
    <w:rsid w:val="00411ED1"/>
    <w:rsid w:val="0041283B"/>
    <w:rsid w:val="00414D62"/>
    <w:rsid w:val="00415D1C"/>
    <w:rsid w:val="00420C98"/>
    <w:rsid w:val="00420E26"/>
    <w:rsid w:val="00421884"/>
    <w:rsid w:val="00424948"/>
    <w:rsid w:val="004250C2"/>
    <w:rsid w:val="00427481"/>
    <w:rsid w:val="00431309"/>
    <w:rsid w:val="004314E3"/>
    <w:rsid w:val="00431FF3"/>
    <w:rsid w:val="004356C6"/>
    <w:rsid w:val="00436908"/>
    <w:rsid w:val="00437297"/>
    <w:rsid w:val="0044041D"/>
    <w:rsid w:val="00440A28"/>
    <w:rsid w:val="0044112F"/>
    <w:rsid w:val="0044186C"/>
    <w:rsid w:val="00442C43"/>
    <w:rsid w:val="00445A39"/>
    <w:rsid w:val="00453394"/>
    <w:rsid w:val="00453D6F"/>
    <w:rsid w:val="00454BC0"/>
    <w:rsid w:val="00457B3C"/>
    <w:rsid w:val="0046047C"/>
    <w:rsid w:val="004619A9"/>
    <w:rsid w:val="00462A76"/>
    <w:rsid w:val="00462ABD"/>
    <w:rsid w:val="00462F6F"/>
    <w:rsid w:val="00463C21"/>
    <w:rsid w:val="00477BAD"/>
    <w:rsid w:val="0048352C"/>
    <w:rsid w:val="0048381A"/>
    <w:rsid w:val="00485D7F"/>
    <w:rsid w:val="0049012D"/>
    <w:rsid w:val="00490F2B"/>
    <w:rsid w:val="00491BFD"/>
    <w:rsid w:val="00491E5D"/>
    <w:rsid w:val="004964FC"/>
    <w:rsid w:val="0049763E"/>
    <w:rsid w:val="004A4BEE"/>
    <w:rsid w:val="004A5A46"/>
    <w:rsid w:val="004A6AC2"/>
    <w:rsid w:val="004B0668"/>
    <w:rsid w:val="004B5B88"/>
    <w:rsid w:val="004C15BB"/>
    <w:rsid w:val="004C1705"/>
    <w:rsid w:val="004C3D4B"/>
    <w:rsid w:val="004C5DB6"/>
    <w:rsid w:val="004D149E"/>
    <w:rsid w:val="004D2243"/>
    <w:rsid w:val="004D26B9"/>
    <w:rsid w:val="004D58E6"/>
    <w:rsid w:val="004D5FED"/>
    <w:rsid w:val="004D72A7"/>
    <w:rsid w:val="004D7D7F"/>
    <w:rsid w:val="004E0886"/>
    <w:rsid w:val="004E247D"/>
    <w:rsid w:val="004E6523"/>
    <w:rsid w:val="004E787F"/>
    <w:rsid w:val="004E7EEF"/>
    <w:rsid w:val="004F0E5C"/>
    <w:rsid w:val="004F78FE"/>
    <w:rsid w:val="005005DE"/>
    <w:rsid w:val="0050265B"/>
    <w:rsid w:val="00506CEB"/>
    <w:rsid w:val="00513043"/>
    <w:rsid w:val="00522C21"/>
    <w:rsid w:val="0052464D"/>
    <w:rsid w:val="00524782"/>
    <w:rsid w:val="005264A7"/>
    <w:rsid w:val="00527FDB"/>
    <w:rsid w:val="005377D3"/>
    <w:rsid w:val="0054033F"/>
    <w:rsid w:val="005461B0"/>
    <w:rsid w:val="0054795A"/>
    <w:rsid w:val="0055038D"/>
    <w:rsid w:val="00552EDB"/>
    <w:rsid w:val="005553A2"/>
    <w:rsid w:val="00560503"/>
    <w:rsid w:val="00564112"/>
    <w:rsid w:val="005648B5"/>
    <w:rsid w:val="00571085"/>
    <w:rsid w:val="005807D6"/>
    <w:rsid w:val="00580BEF"/>
    <w:rsid w:val="00580CA1"/>
    <w:rsid w:val="00585BC9"/>
    <w:rsid w:val="0058705E"/>
    <w:rsid w:val="005902C2"/>
    <w:rsid w:val="005914C5"/>
    <w:rsid w:val="00592147"/>
    <w:rsid w:val="00594A82"/>
    <w:rsid w:val="00595FBB"/>
    <w:rsid w:val="0059794E"/>
    <w:rsid w:val="005A029C"/>
    <w:rsid w:val="005A21CD"/>
    <w:rsid w:val="005A2DAD"/>
    <w:rsid w:val="005A3B54"/>
    <w:rsid w:val="005A6E85"/>
    <w:rsid w:val="005A70FC"/>
    <w:rsid w:val="005B10E7"/>
    <w:rsid w:val="005B10E9"/>
    <w:rsid w:val="005B2887"/>
    <w:rsid w:val="005B30B0"/>
    <w:rsid w:val="005B5132"/>
    <w:rsid w:val="005B6F5B"/>
    <w:rsid w:val="005C1E5F"/>
    <w:rsid w:val="005C213A"/>
    <w:rsid w:val="005C5640"/>
    <w:rsid w:val="005D0D94"/>
    <w:rsid w:val="005D196B"/>
    <w:rsid w:val="005D1B2D"/>
    <w:rsid w:val="005D2681"/>
    <w:rsid w:val="005D6E33"/>
    <w:rsid w:val="005D7CB1"/>
    <w:rsid w:val="005E0103"/>
    <w:rsid w:val="005E1534"/>
    <w:rsid w:val="005E2825"/>
    <w:rsid w:val="005E2C2A"/>
    <w:rsid w:val="005E42BB"/>
    <w:rsid w:val="005E643A"/>
    <w:rsid w:val="005E7E0D"/>
    <w:rsid w:val="005F2F92"/>
    <w:rsid w:val="0060363D"/>
    <w:rsid w:val="006058D0"/>
    <w:rsid w:val="00606345"/>
    <w:rsid w:val="0060694D"/>
    <w:rsid w:val="00607A81"/>
    <w:rsid w:val="006109B7"/>
    <w:rsid w:val="00614028"/>
    <w:rsid w:val="00614CD8"/>
    <w:rsid w:val="00615AE9"/>
    <w:rsid w:val="00622545"/>
    <w:rsid w:val="006267D6"/>
    <w:rsid w:val="00626862"/>
    <w:rsid w:val="00634B14"/>
    <w:rsid w:val="00636685"/>
    <w:rsid w:val="00642BD6"/>
    <w:rsid w:val="00643771"/>
    <w:rsid w:val="00645149"/>
    <w:rsid w:val="006464AA"/>
    <w:rsid w:val="00646A30"/>
    <w:rsid w:val="00650AD2"/>
    <w:rsid w:val="00651714"/>
    <w:rsid w:val="00653941"/>
    <w:rsid w:val="00655195"/>
    <w:rsid w:val="00660418"/>
    <w:rsid w:val="0066124B"/>
    <w:rsid w:val="00661FDC"/>
    <w:rsid w:val="00662639"/>
    <w:rsid w:val="006629BB"/>
    <w:rsid w:val="0066436D"/>
    <w:rsid w:val="00664F2D"/>
    <w:rsid w:val="00666969"/>
    <w:rsid w:val="00666BDD"/>
    <w:rsid w:val="00667069"/>
    <w:rsid w:val="006673CD"/>
    <w:rsid w:val="00671BC5"/>
    <w:rsid w:val="006723BE"/>
    <w:rsid w:val="00673B6F"/>
    <w:rsid w:val="00673E16"/>
    <w:rsid w:val="00674AD6"/>
    <w:rsid w:val="00677614"/>
    <w:rsid w:val="00680290"/>
    <w:rsid w:val="00680BA5"/>
    <w:rsid w:val="00685ED3"/>
    <w:rsid w:val="006902AD"/>
    <w:rsid w:val="006910AC"/>
    <w:rsid w:val="0069110B"/>
    <w:rsid w:val="006912FD"/>
    <w:rsid w:val="00691EDB"/>
    <w:rsid w:val="006A017B"/>
    <w:rsid w:val="006A2B32"/>
    <w:rsid w:val="006A35FD"/>
    <w:rsid w:val="006A6DE6"/>
    <w:rsid w:val="006B0AC6"/>
    <w:rsid w:val="006B1272"/>
    <w:rsid w:val="006B6AAB"/>
    <w:rsid w:val="006C437F"/>
    <w:rsid w:val="006D18E4"/>
    <w:rsid w:val="006D4C89"/>
    <w:rsid w:val="006D5791"/>
    <w:rsid w:val="006E3C4A"/>
    <w:rsid w:val="006E6099"/>
    <w:rsid w:val="006F018E"/>
    <w:rsid w:val="006F0EA2"/>
    <w:rsid w:val="006F1946"/>
    <w:rsid w:val="006F1DB4"/>
    <w:rsid w:val="006F3BB7"/>
    <w:rsid w:val="006F3DEF"/>
    <w:rsid w:val="006F4237"/>
    <w:rsid w:val="006F5D50"/>
    <w:rsid w:val="006F653F"/>
    <w:rsid w:val="00711479"/>
    <w:rsid w:val="00713570"/>
    <w:rsid w:val="00714F75"/>
    <w:rsid w:val="00716744"/>
    <w:rsid w:val="00722EB9"/>
    <w:rsid w:val="0072572D"/>
    <w:rsid w:val="007259A2"/>
    <w:rsid w:val="007316EE"/>
    <w:rsid w:val="00732B8C"/>
    <w:rsid w:val="007344DB"/>
    <w:rsid w:val="007360BF"/>
    <w:rsid w:val="007406A8"/>
    <w:rsid w:val="00750739"/>
    <w:rsid w:val="007510C8"/>
    <w:rsid w:val="00752A7F"/>
    <w:rsid w:val="0075394E"/>
    <w:rsid w:val="00753BD6"/>
    <w:rsid w:val="007552F4"/>
    <w:rsid w:val="007612E8"/>
    <w:rsid w:val="00780AC7"/>
    <w:rsid w:val="0078532E"/>
    <w:rsid w:val="0078563B"/>
    <w:rsid w:val="0078741E"/>
    <w:rsid w:val="007922F5"/>
    <w:rsid w:val="007944C6"/>
    <w:rsid w:val="007964BB"/>
    <w:rsid w:val="007A04E8"/>
    <w:rsid w:val="007A4F57"/>
    <w:rsid w:val="007A5699"/>
    <w:rsid w:val="007B0244"/>
    <w:rsid w:val="007B41D4"/>
    <w:rsid w:val="007B54B8"/>
    <w:rsid w:val="007B58BF"/>
    <w:rsid w:val="007C1984"/>
    <w:rsid w:val="007C1CF0"/>
    <w:rsid w:val="007C3220"/>
    <w:rsid w:val="007D3677"/>
    <w:rsid w:val="007D4466"/>
    <w:rsid w:val="007D69A2"/>
    <w:rsid w:val="007E2C17"/>
    <w:rsid w:val="007E3AC4"/>
    <w:rsid w:val="007F26A2"/>
    <w:rsid w:val="007F3313"/>
    <w:rsid w:val="007F33F9"/>
    <w:rsid w:val="007F646E"/>
    <w:rsid w:val="007F6F99"/>
    <w:rsid w:val="0080222D"/>
    <w:rsid w:val="00804DF9"/>
    <w:rsid w:val="00813097"/>
    <w:rsid w:val="00816EE3"/>
    <w:rsid w:val="008245F2"/>
    <w:rsid w:val="00826750"/>
    <w:rsid w:val="00827814"/>
    <w:rsid w:val="00827B19"/>
    <w:rsid w:val="0083040A"/>
    <w:rsid w:val="0083085B"/>
    <w:rsid w:val="00831826"/>
    <w:rsid w:val="008320BE"/>
    <w:rsid w:val="0083266F"/>
    <w:rsid w:val="00835E29"/>
    <w:rsid w:val="008418C1"/>
    <w:rsid w:val="0084253E"/>
    <w:rsid w:val="00843188"/>
    <w:rsid w:val="00843FAD"/>
    <w:rsid w:val="0084579F"/>
    <w:rsid w:val="00845840"/>
    <w:rsid w:val="00850781"/>
    <w:rsid w:val="00857631"/>
    <w:rsid w:val="00861D39"/>
    <w:rsid w:val="0087119E"/>
    <w:rsid w:val="008752DC"/>
    <w:rsid w:val="00877257"/>
    <w:rsid w:val="00880D9C"/>
    <w:rsid w:val="0088193B"/>
    <w:rsid w:val="00884F79"/>
    <w:rsid w:val="00887B2F"/>
    <w:rsid w:val="00892F90"/>
    <w:rsid w:val="00894039"/>
    <w:rsid w:val="00896782"/>
    <w:rsid w:val="008978C5"/>
    <w:rsid w:val="008A37E5"/>
    <w:rsid w:val="008A604A"/>
    <w:rsid w:val="008A7658"/>
    <w:rsid w:val="008A781A"/>
    <w:rsid w:val="008B1118"/>
    <w:rsid w:val="008B20DA"/>
    <w:rsid w:val="008B22D0"/>
    <w:rsid w:val="008B3077"/>
    <w:rsid w:val="008B419D"/>
    <w:rsid w:val="008B7431"/>
    <w:rsid w:val="008B7A70"/>
    <w:rsid w:val="008C231C"/>
    <w:rsid w:val="008C4894"/>
    <w:rsid w:val="008C48A1"/>
    <w:rsid w:val="008C5C8D"/>
    <w:rsid w:val="008C6200"/>
    <w:rsid w:val="008D06DC"/>
    <w:rsid w:val="008D0DE0"/>
    <w:rsid w:val="008D0FB0"/>
    <w:rsid w:val="008D14DF"/>
    <w:rsid w:val="008D24AA"/>
    <w:rsid w:val="008D3232"/>
    <w:rsid w:val="008D5A87"/>
    <w:rsid w:val="008E1125"/>
    <w:rsid w:val="008E116C"/>
    <w:rsid w:val="008E2517"/>
    <w:rsid w:val="008E271C"/>
    <w:rsid w:val="008E463C"/>
    <w:rsid w:val="008E54A7"/>
    <w:rsid w:val="008E5E70"/>
    <w:rsid w:val="008E6EC2"/>
    <w:rsid w:val="008E6F6F"/>
    <w:rsid w:val="008E7F13"/>
    <w:rsid w:val="008F1A53"/>
    <w:rsid w:val="008F1C8E"/>
    <w:rsid w:val="008F2BFF"/>
    <w:rsid w:val="008F2D04"/>
    <w:rsid w:val="008F4A45"/>
    <w:rsid w:val="008F681D"/>
    <w:rsid w:val="008F7E60"/>
    <w:rsid w:val="009001BA"/>
    <w:rsid w:val="00900803"/>
    <w:rsid w:val="00901067"/>
    <w:rsid w:val="00904EA3"/>
    <w:rsid w:val="0090571F"/>
    <w:rsid w:val="00906519"/>
    <w:rsid w:val="00910AE5"/>
    <w:rsid w:val="0091230E"/>
    <w:rsid w:val="00912E99"/>
    <w:rsid w:val="0091522F"/>
    <w:rsid w:val="009171C2"/>
    <w:rsid w:val="00920CF5"/>
    <w:rsid w:val="00922CDE"/>
    <w:rsid w:val="00923A34"/>
    <w:rsid w:val="00925C86"/>
    <w:rsid w:val="009278FB"/>
    <w:rsid w:val="009301FA"/>
    <w:rsid w:val="00930359"/>
    <w:rsid w:val="009305D1"/>
    <w:rsid w:val="00930B3B"/>
    <w:rsid w:val="0093130F"/>
    <w:rsid w:val="00932749"/>
    <w:rsid w:val="009332B8"/>
    <w:rsid w:val="00935C58"/>
    <w:rsid w:val="00937D53"/>
    <w:rsid w:val="00937E3E"/>
    <w:rsid w:val="00941D92"/>
    <w:rsid w:val="00944E5E"/>
    <w:rsid w:val="0095086C"/>
    <w:rsid w:val="00951795"/>
    <w:rsid w:val="0095276C"/>
    <w:rsid w:val="00952A71"/>
    <w:rsid w:val="00953EB8"/>
    <w:rsid w:val="009575A5"/>
    <w:rsid w:val="00960EBA"/>
    <w:rsid w:val="00962902"/>
    <w:rsid w:val="00964BC2"/>
    <w:rsid w:val="00970159"/>
    <w:rsid w:val="009730B1"/>
    <w:rsid w:val="00974557"/>
    <w:rsid w:val="009747C8"/>
    <w:rsid w:val="00975073"/>
    <w:rsid w:val="00977819"/>
    <w:rsid w:val="00994B5D"/>
    <w:rsid w:val="00995AA3"/>
    <w:rsid w:val="0099772B"/>
    <w:rsid w:val="009A1058"/>
    <w:rsid w:val="009A3911"/>
    <w:rsid w:val="009A6552"/>
    <w:rsid w:val="009A69FC"/>
    <w:rsid w:val="009B0636"/>
    <w:rsid w:val="009B1364"/>
    <w:rsid w:val="009B15E0"/>
    <w:rsid w:val="009B7E56"/>
    <w:rsid w:val="009C1432"/>
    <w:rsid w:val="009C1A59"/>
    <w:rsid w:val="009C33D1"/>
    <w:rsid w:val="009C45A4"/>
    <w:rsid w:val="009C5E23"/>
    <w:rsid w:val="009C70E8"/>
    <w:rsid w:val="009E1D0B"/>
    <w:rsid w:val="009E275C"/>
    <w:rsid w:val="009E67C2"/>
    <w:rsid w:val="009F0DF6"/>
    <w:rsid w:val="009F49A7"/>
    <w:rsid w:val="009F581D"/>
    <w:rsid w:val="009F7986"/>
    <w:rsid w:val="00A02A9D"/>
    <w:rsid w:val="00A030A0"/>
    <w:rsid w:val="00A03149"/>
    <w:rsid w:val="00A034E4"/>
    <w:rsid w:val="00A054F5"/>
    <w:rsid w:val="00A060E6"/>
    <w:rsid w:val="00A13D78"/>
    <w:rsid w:val="00A17807"/>
    <w:rsid w:val="00A22A06"/>
    <w:rsid w:val="00A23046"/>
    <w:rsid w:val="00A25A3D"/>
    <w:rsid w:val="00A2633D"/>
    <w:rsid w:val="00A26997"/>
    <w:rsid w:val="00A316C4"/>
    <w:rsid w:val="00A32ABC"/>
    <w:rsid w:val="00A3390B"/>
    <w:rsid w:val="00A41078"/>
    <w:rsid w:val="00A4112F"/>
    <w:rsid w:val="00A438EC"/>
    <w:rsid w:val="00A44D04"/>
    <w:rsid w:val="00A45759"/>
    <w:rsid w:val="00A47482"/>
    <w:rsid w:val="00A4788E"/>
    <w:rsid w:val="00A5008B"/>
    <w:rsid w:val="00A5039C"/>
    <w:rsid w:val="00A50BF8"/>
    <w:rsid w:val="00A50E07"/>
    <w:rsid w:val="00A52434"/>
    <w:rsid w:val="00A52D10"/>
    <w:rsid w:val="00A53C0D"/>
    <w:rsid w:val="00A55217"/>
    <w:rsid w:val="00A56A66"/>
    <w:rsid w:val="00A56ADA"/>
    <w:rsid w:val="00A5769C"/>
    <w:rsid w:val="00A613D8"/>
    <w:rsid w:val="00A649F8"/>
    <w:rsid w:val="00A64A0B"/>
    <w:rsid w:val="00A6723F"/>
    <w:rsid w:val="00A6743C"/>
    <w:rsid w:val="00A7381C"/>
    <w:rsid w:val="00A744D5"/>
    <w:rsid w:val="00A76B27"/>
    <w:rsid w:val="00A76B76"/>
    <w:rsid w:val="00A76C32"/>
    <w:rsid w:val="00A86850"/>
    <w:rsid w:val="00A86A2E"/>
    <w:rsid w:val="00A876C9"/>
    <w:rsid w:val="00A94E23"/>
    <w:rsid w:val="00A95E0E"/>
    <w:rsid w:val="00AA0214"/>
    <w:rsid w:val="00AA2963"/>
    <w:rsid w:val="00AA3FB8"/>
    <w:rsid w:val="00AA443E"/>
    <w:rsid w:val="00AA7E4D"/>
    <w:rsid w:val="00AB6434"/>
    <w:rsid w:val="00AC10FE"/>
    <w:rsid w:val="00AC190C"/>
    <w:rsid w:val="00AC51B2"/>
    <w:rsid w:val="00AC7BC5"/>
    <w:rsid w:val="00AD0FAD"/>
    <w:rsid w:val="00AD29CE"/>
    <w:rsid w:val="00AD4C8B"/>
    <w:rsid w:val="00AD68A6"/>
    <w:rsid w:val="00AD75A1"/>
    <w:rsid w:val="00AD7A8E"/>
    <w:rsid w:val="00AE07E4"/>
    <w:rsid w:val="00AE0A2F"/>
    <w:rsid w:val="00AE4091"/>
    <w:rsid w:val="00AE63B5"/>
    <w:rsid w:val="00AF1030"/>
    <w:rsid w:val="00AF2589"/>
    <w:rsid w:val="00AF62D1"/>
    <w:rsid w:val="00AF7C5C"/>
    <w:rsid w:val="00B00800"/>
    <w:rsid w:val="00B00FB5"/>
    <w:rsid w:val="00B01057"/>
    <w:rsid w:val="00B024C9"/>
    <w:rsid w:val="00B02AD5"/>
    <w:rsid w:val="00B03347"/>
    <w:rsid w:val="00B048D3"/>
    <w:rsid w:val="00B051BD"/>
    <w:rsid w:val="00B1119A"/>
    <w:rsid w:val="00B115CF"/>
    <w:rsid w:val="00B132BA"/>
    <w:rsid w:val="00B15C66"/>
    <w:rsid w:val="00B16881"/>
    <w:rsid w:val="00B2071D"/>
    <w:rsid w:val="00B27AD6"/>
    <w:rsid w:val="00B31ECB"/>
    <w:rsid w:val="00B3311D"/>
    <w:rsid w:val="00B33898"/>
    <w:rsid w:val="00B34233"/>
    <w:rsid w:val="00B35060"/>
    <w:rsid w:val="00B37BFE"/>
    <w:rsid w:val="00B40557"/>
    <w:rsid w:val="00B40906"/>
    <w:rsid w:val="00B42A1A"/>
    <w:rsid w:val="00B436F5"/>
    <w:rsid w:val="00B60A0D"/>
    <w:rsid w:val="00B60F38"/>
    <w:rsid w:val="00B6373A"/>
    <w:rsid w:val="00B66C42"/>
    <w:rsid w:val="00B75EE4"/>
    <w:rsid w:val="00B76E37"/>
    <w:rsid w:val="00B774ED"/>
    <w:rsid w:val="00B81D23"/>
    <w:rsid w:val="00B82D4A"/>
    <w:rsid w:val="00B84DB3"/>
    <w:rsid w:val="00B84E06"/>
    <w:rsid w:val="00B925B8"/>
    <w:rsid w:val="00B945D0"/>
    <w:rsid w:val="00B95F49"/>
    <w:rsid w:val="00B96C42"/>
    <w:rsid w:val="00BA0286"/>
    <w:rsid w:val="00BA0893"/>
    <w:rsid w:val="00BA0AE7"/>
    <w:rsid w:val="00BA2F52"/>
    <w:rsid w:val="00BA624B"/>
    <w:rsid w:val="00BB1F38"/>
    <w:rsid w:val="00BB3FE4"/>
    <w:rsid w:val="00BB4862"/>
    <w:rsid w:val="00BB53D5"/>
    <w:rsid w:val="00BB65DD"/>
    <w:rsid w:val="00BC15D7"/>
    <w:rsid w:val="00BC16AF"/>
    <w:rsid w:val="00BC1F9A"/>
    <w:rsid w:val="00BC3BEF"/>
    <w:rsid w:val="00BC5443"/>
    <w:rsid w:val="00BC62C6"/>
    <w:rsid w:val="00BC6527"/>
    <w:rsid w:val="00BD1D0F"/>
    <w:rsid w:val="00BD1DE1"/>
    <w:rsid w:val="00BD4032"/>
    <w:rsid w:val="00BD4184"/>
    <w:rsid w:val="00BD5178"/>
    <w:rsid w:val="00BD7FF4"/>
    <w:rsid w:val="00BE1FF3"/>
    <w:rsid w:val="00BE43B2"/>
    <w:rsid w:val="00BE6AFD"/>
    <w:rsid w:val="00C022C1"/>
    <w:rsid w:val="00C029FA"/>
    <w:rsid w:val="00C06D45"/>
    <w:rsid w:val="00C0749C"/>
    <w:rsid w:val="00C07809"/>
    <w:rsid w:val="00C1144D"/>
    <w:rsid w:val="00C129EC"/>
    <w:rsid w:val="00C12F14"/>
    <w:rsid w:val="00C153D2"/>
    <w:rsid w:val="00C17640"/>
    <w:rsid w:val="00C20923"/>
    <w:rsid w:val="00C24AE5"/>
    <w:rsid w:val="00C26975"/>
    <w:rsid w:val="00C33271"/>
    <w:rsid w:val="00C355AE"/>
    <w:rsid w:val="00C4053F"/>
    <w:rsid w:val="00C439EA"/>
    <w:rsid w:val="00C44BB6"/>
    <w:rsid w:val="00C461C0"/>
    <w:rsid w:val="00C5065A"/>
    <w:rsid w:val="00C50F38"/>
    <w:rsid w:val="00C51475"/>
    <w:rsid w:val="00C52F20"/>
    <w:rsid w:val="00C53367"/>
    <w:rsid w:val="00C55C81"/>
    <w:rsid w:val="00C56C54"/>
    <w:rsid w:val="00C57C44"/>
    <w:rsid w:val="00C66060"/>
    <w:rsid w:val="00C66E8D"/>
    <w:rsid w:val="00C7193F"/>
    <w:rsid w:val="00C71F24"/>
    <w:rsid w:val="00C753F1"/>
    <w:rsid w:val="00C82B34"/>
    <w:rsid w:val="00C90AD8"/>
    <w:rsid w:val="00C921BA"/>
    <w:rsid w:val="00C924D3"/>
    <w:rsid w:val="00C92D64"/>
    <w:rsid w:val="00C9361C"/>
    <w:rsid w:val="00C96834"/>
    <w:rsid w:val="00CA2242"/>
    <w:rsid w:val="00CA6349"/>
    <w:rsid w:val="00CB1D2F"/>
    <w:rsid w:val="00CB55BD"/>
    <w:rsid w:val="00CB7D07"/>
    <w:rsid w:val="00CC157F"/>
    <w:rsid w:val="00CC2019"/>
    <w:rsid w:val="00CC6069"/>
    <w:rsid w:val="00CC6A5B"/>
    <w:rsid w:val="00CC7E6D"/>
    <w:rsid w:val="00CD1658"/>
    <w:rsid w:val="00CD1BD1"/>
    <w:rsid w:val="00CD6669"/>
    <w:rsid w:val="00CD74E2"/>
    <w:rsid w:val="00CE1267"/>
    <w:rsid w:val="00CE4FEF"/>
    <w:rsid w:val="00CE52CE"/>
    <w:rsid w:val="00CF0764"/>
    <w:rsid w:val="00CF5155"/>
    <w:rsid w:val="00CF5341"/>
    <w:rsid w:val="00CF6822"/>
    <w:rsid w:val="00D0001C"/>
    <w:rsid w:val="00D10A91"/>
    <w:rsid w:val="00D1280F"/>
    <w:rsid w:val="00D146D6"/>
    <w:rsid w:val="00D1506C"/>
    <w:rsid w:val="00D15227"/>
    <w:rsid w:val="00D15699"/>
    <w:rsid w:val="00D21819"/>
    <w:rsid w:val="00D24703"/>
    <w:rsid w:val="00D2693A"/>
    <w:rsid w:val="00D27011"/>
    <w:rsid w:val="00D270E8"/>
    <w:rsid w:val="00D30FD3"/>
    <w:rsid w:val="00D31FF1"/>
    <w:rsid w:val="00D33986"/>
    <w:rsid w:val="00D33D7E"/>
    <w:rsid w:val="00D35D72"/>
    <w:rsid w:val="00D364D2"/>
    <w:rsid w:val="00D40366"/>
    <w:rsid w:val="00D41E7E"/>
    <w:rsid w:val="00D43022"/>
    <w:rsid w:val="00D433F6"/>
    <w:rsid w:val="00D4372B"/>
    <w:rsid w:val="00D46A92"/>
    <w:rsid w:val="00D5044A"/>
    <w:rsid w:val="00D64511"/>
    <w:rsid w:val="00D64D42"/>
    <w:rsid w:val="00D66356"/>
    <w:rsid w:val="00D71353"/>
    <w:rsid w:val="00D73A58"/>
    <w:rsid w:val="00D74CF2"/>
    <w:rsid w:val="00D752F9"/>
    <w:rsid w:val="00D77ADE"/>
    <w:rsid w:val="00D80205"/>
    <w:rsid w:val="00D81751"/>
    <w:rsid w:val="00D82219"/>
    <w:rsid w:val="00D84802"/>
    <w:rsid w:val="00D86D0D"/>
    <w:rsid w:val="00D87025"/>
    <w:rsid w:val="00D91DA4"/>
    <w:rsid w:val="00D9216A"/>
    <w:rsid w:val="00D92AA7"/>
    <w:rsid w:val="00D93FA3"/>
    <w:rsid w:val="00D97C18"/>
    <w:rsid w:val="00D97F15"/>
    <w:rsid w:val="00DA0CB5"/>
    <w:rsid w:val="00DA443B"/>
    <w:rsid w:val="00DA6182"/>
    <w:rsid w:val="00DB0A0A"/>
    <w:rsid w:val="00DB10A2"/>
    <w:rsid w:val="00DB12A1"/>
    <w:rsid w:val="00DB1D31"/>
    <w:rsid w:val="00DB4417"/>
    <w:rsid w:val="00DC039C"/>
    <w:rsid w:val="00DC147A"/>
    <w:rsid w:val="00DC1D0C"/>
    <w:rsid w:val="00DC4617"/>
    <w:rsid w:val="00DC6C4A"/>
    <w:rsid w:val="00DC7BFC"/>
    <w:rsid w:val="00DD3E63"/>
    <w:rsid w:val="00DD68BB"/>
    <w:rsid w:val="00DE0C79"/>
    <w:rsid w:val="00DE4CEE"/>
    <w:rsid w:val="00DE7801"/>
    <w:rsid w:val="00DF104D"/>
    <w:rsid w:val="00DF4093"/>
    <w:rsid w:val="00DF4895"/>
    <w:rsid w:val="00DF4EDC"/>
    <w:rsid w:val="00DF5C98"/>
    <w:rsid w:val="00DF6621"/>
    <w:rsid w:val="00E04262"/>
    <w:rsid w:val="00E06C8E"/>
    <w:rsid w:val="00E10FEF"/>
    <w:rsid w:val="00E15FCD"/>
    <w:rsid w:val="00E212F5"/>
    <w:rsid w:val="00E22618"/>
    <w:rsid w:val="00E243EC"/>
    <w:rsid w:val="00E30F20"/>
    <w:rsid w:val="00E333EB"/>
    <w:rsid w:val="00E35D20"/>
    <w:rsid w:val="00E37DE9"/>
    <w:rsid w:val="00E403BB"/>
    <w:rsid w:val="00E41006"/>
    <w:rsid w:val="00E434B5"/>
    <w:rsid w:val="00E43E7C"/>
    <w:rsid w:val="00E448A2"/>
    <w:rsid w:val="00E45375"/>
    <w:rsid w:val="00E466AE"/>
    <w:rsid w:val="00E47148"/>
    <w:rsid w:val="00E5263B"/>
    <w:rsid w:val="00E545FF"/>
    <w:rsid w:val="00E575D1"/>
    <w:rsid w:val="00E60946"/>
    <w:rsid w:val="00E64921"/>
    <w:rsid w:val="00E67F56"/>
    <w:rsid w:val="00E743D9"/>
    <w:rsid w:val="00E75AB7"/>
    <w:rsid w:val="00E77AAF"/>
    <w:rsid w:val="00E80C16"/>
    <w:rsid w:val="00E852EB"/>
    <w:rsid w:val="00E92600"/>
    <w:rsid w:val="00E93210"/>
    <w:rsid w:val="00E94336"/>
    <w:rsid w:val="00E9473D"/>
    <w:rsid w:val="00E94895"/>
    <w:rsid w:val="00E9621C"/>
    <w:rsid w:val="00EA0FEC"/>
    <w:rsid w:val="00EA22C3"/>
    <w:rsid w:val="00EA259D"/>
    <w:rsid w:val="00EA28F0"/>
    <w:rsid w:val="00EA5B4B"/>
    <w:rsid w:val="00EA7B15"/>
    <w:rsid w:val="00EB0869"/>
    <w:rsid w:val="00EB4992"/>
    <w:rsid w:val="00EB5F73"/>
    <w:rsid w:val="00EC25CF"/>
    <w:rsid w:val="00EC4141"/>
    <w:rsid w:val="00EC5AF8"/>
    <w:rsid w:val="00EC7157"/>
    <w:rsid w:val="00ED2F59"/>
    <w:rsid w:val="00ED32A8"/>
    <w:rsid w:val="00EE0413"/>
    <w:rsid w:val="00EE0C1A"/>
    <w:rsid w:val="00EE2DAC"/>
    <w:rsid w:val="00EE4611"/>
    <w:rsid w:val="00EE6830"/>
    <w:rsid w:val="00EE7521"/>
    <w:rsid w:val="00EE7CA3"/>
    <w:rsid w:val="00EF1613"/>
    <w:rsid w:val="00EF1795"/>
    <w:rsid w:val="00EF3B2E"/>
    <w:rsid w:val="00EF54E4"/>
    <w:rsid w:val="00EF58C7"/>
    <w:rsid w:val="00F00D43"/>
    <w:rsid w:val="00F02D94"/>
    <w:rsid w:val="00F10ACB"/>
    <w:rsid w:val="00F1265F"/>
    <w:rsid w:val="00F13EB3"/>
    <w:rsid w:val="00F14915"/>
    <w:rsid w:val="00F1573E"/>
    <w:rsid w:val="00F2658C"/>
    <w:rsid w:val="00F27275"/>
    <w:rsid w:val="00F36F39"/>
    <w:rsid w:val="00F37618"/>
    <w:rsid w:val="00F406EE"/>
    <w:rsid w:val="00F417D8"/>
    <w:rsid w:val="00F53321"/>
    <w:rsid w:val="00F54225"/>
    <w:rsid w:val="00F54A53"/>
    <w:rsid w:val="00F61678"/>
    <w:rsid w:val="00F62745"/>
    <w:rsid w:val="00F73C4E"/>
    <w:rsid w:val="00F76BBA"/>
    <w:rsid w:val="00F770D4"/>
    <w:rsid w:val="00F77D80"/>
    <w:rsid w:val="00F86013"/>
    <w:rsid w:val="00F86AEA"/>
    <w:rsid w:val="00F900C6"/>
    <w:rsid w:val="00F94F0D"/>
    <w:rsid w:val="00F966C5"/>
    <w:rsid w:val="00F97A30"/>
    <w:rsid w:val="00FA2C23"/>
    <w:rsid w:val="00FA40FA"/>
    <w:rsid w:val="00FA4729"/>
    <w:rsid w:val="00FA4BFA"/>
    <w:rsid w:val="00FA710F"/>
    <w:rsid w:val="00FB0A9A"/>
    <w:rsid w:val="00FB0DF1"/>
    <w:rsid w:val="00FB1D5A"/>
    <w:rsid w:val="00FB3AAE"/>
    <w:rsid w:val="00FB5246"/>
    <w:rsid w:val="00FC4178"/>
    <w:rsid w:val="00FC4396"/>
    <w:rsid w:val="00FD49FE"/>
    <w:rsid w:val="00FD527A"/>
    <w:rsid w:val="00FD7819"/>
    <w:rsid w:val="00FE1C61"/>
    <w:rsid w:val="00FE405B"/>
    <w:rsid w:val="00FE48CB"/>
    <w:rsid w:val="00FF7163"/>
    <w:rsid w:val="0D5D7B22"/>
    <w:rsid w:val="2F04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eastAsia="仿宋_GB2312" w:asciiTheme="minorHAnsi" w:hAnsiTheme="minorHAnsi" w:cstheme="minorBidi"/>
      <w:kern w:val="2"/>
      <w:sz w:val="32"/>
      <w:szCs w:val="21"/>
      <w:lang w:val="en-US" w:eastAsia="zh-CN" w:bidi="ar-SA"/>
    </w:rPr>
  </w:style>
  <w:style w:type="paragraph" w:styleId="2">
    <w:name w:val="heading 1"/>
    <w:basedOn w:val="1"/>
    <w:next w:val="1"/>
    <w:link w:val="27"/>
    <w:qFormat/>
    <w:uiPriority w:val="0"/>
    <w:pPr>
      <w:keepNext/>
      <w:keepLines/>
      <w:numPr>
        <w:ilvl w:val="0"/>
        <w:numId w:val="1"/>
      </w:numPr>
      <w:spacing w:beforeLines="50" w:afterLines="50"/>
      <w:ind w:firstLineChars="0"/>
      <w:outlineLvl w:val="0"/>
    </w:pPr>
    <w:rPr>
      <w:rFonts w:ascii="Times New Roman" w:hAnsi="Times New Roman" w:eastAsia="黑体" w:cs="Times New Roman"/>
      <w:b/>
      <w:kern w:val="44"/>
      <w:sz w:val="44"/>
      <w:szCs w:val="20"/>
    </w:rPr>
  </w:style>
  <w:style w:type="paragraph" w:styleId="3">
    <w:name w:val="heading 2"/>
    <w:basedOn w:val="1"/>
    <w:next w:val="1"/>
    <w:link w:val="28"/>
    <w:qFormat/>
    <w:uiPriority w:val="0"/>
    <w:pPr>
      <w:keepNext/>
      <w:keepLines/>
      <w:numPr>
        <w:ilvl w:val="1"/>
        <w:numId w:val="1"/>
      </w:numPr>
      <w:tabs>
        <w:tab w:val="left" w:pos="210"/>
      </w:tabs>
      <w:spacing w:beforeLines="50" w:afterLines="50"/>
      <w:ind w:firstLineChars="0"/>
      <w:outlineLvl w:val="1"/>
    </w:pPr>
    <w:rPr>
      <w:rFonts w:ascii="Arial" w:hAnsi="Arial" w:cs="Times New Roman"/>
      <w:b/>
      <w:sz w:val="30"/>
      <w:szCs w:val="20"/>
    </w:rPr>
  </w:style>
  <w:style w:type="paragraph" w:styleId="4">
    <w:name w:val="heading 3"/>
    <w:basedOn w:val="1"/>
    <w:next w:val="1"/>
    <w:link w:val="29"/>
    <w:qFormat/>
    <w:uiPriority w:val="0"/>
    <w:pPr>
      <w:keepNext/>
      <w:keepLines/>
      <w:numPr>
        <w:ilvl w:val="2"/>
        <w:numId w:val="1"/>
      </w:numPr>
      <w:ind w:firstLineChars="0"/>
      <w:outlineLvl w:val="2"/>
    </w:pPr>
    <w:rPr>
      <w:rFonts w:ascii="Times New Roman" w:hAnsi="Times New Roman" w:cs="Times New Roman"/>
      <w:b/>
      <w:szCs w:val="20"/>
    </w:rPr>
  </w:style>
  <w:style w:type="paragraph" w:styleId="5">
    <w:name w:val="heading 4"/>
    <w:basedOn w:val="1"/>
    <w:next w:val="1"/>
    <w:link w:val="30"/>
    <w:qFormat/>
    <w:uiPriority w:val="0"/>
    <w:pPr>
      <w:keepNext/>
      <w:keepLines/>
      <w:outlineLvl w:val="3"/>
    </w:pPr>
    <w:rPr>
      <w:rFonts w:ascii="Arial" w:hAnsi="Arial" w:cs="Times New Roman" w:eastAsiaTheme="minorEastAsia"/>
      <w:b/>
      <w:bCs/>
      <w:szCs w:val="28"/>
    </w:rPr>
  </w:style>
  <w:style w:type="character" w:default="1" w:styleId="24">
    <w:name w:val="Default Paragraph Font"/>
    <w:unhideWhenUsed/>
    <w:qFormat/>
    <w:uiPriority w:val="1"/>
  </w:style>
  <w:style w:type="table" w:default="1" w:styleId="22">
    <w:name w:val="Normal Table"/>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920"/>
    </w:pPr>
    <w:rPr>
      <w:sz w:val="18"/>
      <w:szCs w:val="18"/>
    </w:rPr>
  </w:style>
  <w:style w:type="paragraph" w:styleId="7">
    <w:name w:val="Document Map"/>
    <w:basedOn w:val="1"/>
    <w:link w:val="33"/>
    <w:unhideWhenUsed/>
    <w:uiPriority w:val="99"/>
    <w:rPr>
      <w:rFonts w:ascii="宋体"/>
      <w:sz w:val="18"/>
      <w:szCs w:val="18"/>
    </w:rPr>
  </w:style>
  <w:style w:type="paragraph" w:styleId="8">
    <w:name w:val="annotation text"/>
    <w:basedOn w:val="1"/>
    <w:link w:val="42"/>
    <w:unhideWhenUsed/>
    <w:uiPriority w:val="99"/>
  </w:style>
  <w:style w:type="paragraph" w:styleId="9">
    <w:name w:val="toc 5"/>
    <w:basedOn w:val="1"/>
    <w:next w:val="1"/>
    <w:unhideWhenUsed/>
    <w:uiPriority w:val="39"/>
    <w:pPr>
      <w:ind w:left="1280"/>
    </w:pPr>
    <w:rPr>
      <w:sz w:val="18"/>
      <w:szCs w:val="18"/>
    </w:rPr>
  </w:style>
  <w:style w:type="paragraph" w:styleId="10">
    <w:name w:val="toc 3"/>
    <w:basedOn w:val="1"/>
    <w:next w:val="1"/>
    <w:unhideWhenUsed/>
    <w:qFormat/>
    <w:uiPriority w:val="39"/>
    <w:pPr>
      <w:ind w:left="640"/>
    </w:pPr>
    <w:rPr>
      <w:i/>
      <w:iCs/>
      <w:sz w:val="20"/>
      <w:szCs w:val="20"/>
    </w:rPr>
  </w:style>
  <w:style w:type="paragraph" w:styleId="11">
    <w:name w:val="toc 8"/>
    <w:basedOn w:val="1"/>
    <w:next w:val="1"/>
    <w:unhideWhenUsed/>
    <w:qFormat/>
    <w:uiPriority w:val="39"/>
    <w:pPr>
      <w:ind w:left="2240"/>
    </w:pPr>
    <w:rPr>
      <w:sz w:val="18"/>
      <w:szCs w:val="18"/>
    </w:rPr>
  </w:style>
  <w:style w:type="paragraph" w:styleId="12">
    <w:name w:val="Date"/>
    <w:basedOn w:val="1"/>
    <w:next w:val="1"/>
    <w:link w:val="44"/>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32"/>
    <w:unhideWhenUsed/>
    <w:qFormat/>
    <w:uiPriority w:val="99"/>
    <w:pPr>
      <w:pBdr>
        <w:top w:val="thickThinSmallGap" w:color="auto" w:sz="12" w:space="1"/>
      </w:pBdr>
      <w:tabs>
        <w:tab w:val="center" w:pos="4153"/>
        <w:tab w:val="right" w:pos="8306"/>
      </w:tabs>
      <w:snapToGrid w:val="0"/>
    </w:pPr>
    <w:rPr>
      <w:sz w:val="18"/>
      <w:szCs w:val="18"/>
    </w:rPr>
  </w:style>
  <w:style w:type="paragraph" w:styleId="15">
    <w:name w:val="header"/>
    <w:basedOn w:val="1"/>
    <w:link w:val="31"/>
    <w:unhideWhenUsed/>
    <w:qFormat/>
    <w:uiPriority w:val="0"/>
    <w:pPr>
      <w:pBdr>
        <w:bottom w:val="single" w:color="auto" w:sz="6" w:space="1"/>
      </w:pBdr>
      <w:tabs>
        <w:tab w:val="center" w:pos="4153"/>
        <w:tab w:val="right" w:pos="8306"/>
      </w:tabs>
      <w:snapToGrid w:val="0"/>
      <w:ind w:firstLine="0" w:firstLineChars="0"/>
    </w:pPr>
    <w:rPr>
      <w:sz w:val="18"/>
      <w:szCs w:val="18"/>
    </w:rPr>
  </w:style>
  <w:style w:type="paragraph" w:styleId="16">
    <w:name w:val="toc 1"/>
    <w:basedOn w:val="1"/>
    <w:next w:val="1"/>
    <w:unhideWhenUsed/>
    <w:uiPriority w:val="39"/>
    <w:pPr>
      <w:spacing w:before="120" w:after="120"/>
    </w:pPr>
    <w:rPr>
      <w:b/>
      <w:bCs/>
      <w:caps/>
      <w:sz w:val="20"/>
      <w:szCs w:val="20"/>
    </w:rPr>
  </w:style>
  <w:style w:type="paragraph" w:styleId="17">
    <w:name w:val="toc 4"/>
    <w:basedOn w:val="1"/>
    <w:next w:val="1"/>
    <w:unhideWhenUsed/>
    <w:uiPriority w:val="39"/>
    <w:pPr>
      <w:ind w:left="960"/>
    </w:pPr>
    <w:rPr>
      <w:sz w:val="18"/>
      <w:szCs w:val="18"/>
    </w:rPr>
  </w:style>
  <w:style w:type="paragraph" w:styleId="18">
    <w:name w:val="toc 6"/>
    <w:basedOn w:val="1"/>
    <w:next w:val="1"/>
    <w:unhideWhenUsed/>
    <w:qFormat/>
    <w:uiPriority w:val="39"/>
    <w:pPr>
      <w:ind w:left="1600"/>
    </w:pPr>
    <w:rPr>
      <w:sz w:val="18"/>
      <w:szCs w:val="18"/>
    </w:rPr>
  </w:style>
  <w:style w:type="paragraph" w:styleId="19">
    <w:name w:val="toc 2"/>
    <w:basedOn w:val="1"/>
    <w:next w:val="1"/>
    <w:unhideWhenUsed/>
    <w:uiPriority w:val="39"/>
    <w:pPr>
      <w:ind w:left="320"/>
    </w:pPr>
    <w:rPr>
      <w:smallCaps/>
      <w:sz w:val="20"/>
      <w:szCs w:val="20"/>
    </w:rPr>
  </w:style>
  <w:style w:type="paragraph" w:styleId="20">
    <w:name w:val="toc 9"/>
    <w:basedOn w:val="1"/>
    <w:next w:val="1"/>
    <w:unhideWhenUsed/>
    <w:uiPriority w:val="39"/>
    <w:pPr>
      <w:ind w:left="2560"/>
    </w:pPr>
    <w:rPr>
      <w:sz w:val="18"/>
      <w:szCs w:val="18"/>
    </w:rPr>
  </w:style>
  <w:style w:type="paragraph" w:styleId="21">
    <w:name w:val="annotation subject"/>
    <w:basedOn w:val="8"/>
    <w:next w:val="8"/>
    <w:link w:val="43"/>
    <w:unhideWhenUsed/>
    <w:uiPriority w:val="99"/>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page number"/>
    <w:basedOn w:val="24"/>
    <w:semiHidden/>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标题 1 Char"/>
    <w:basedOn w:val="24"/>
    <w:link w:val="2"/>
    <w:qFormat/>
    <w:uiPriority w:val="0"/>
    <w:rPr>
      <w:rFonts w:ascii="Times New Roman" w:hAnsi="Times New Roman" w:eastAsia="黑体" w:cs="Times New Roman"/>
      <w:b/>
      <w:kern w:val="44"/>
      <w:sz w:val="44"/>
      <w:szCs w:val="20"/>
    </w:rPr>
  </w:style>
  <w:style w:type="character" w:customStyle="1" w:styleId="28">
    <w:name w:val="标题 2 Char"/>
    <w:basedOn w:val="24"/>
    <w:link w:val="3"/>
    <w:qFormat/>
    <w:uiPriority w:val="0"/>
    <w:rPr>
      <w:rFonts w:ascii="Arial" w:hAnsi="Arial" w:eastAsia="仿宋_GB2312" w:cs="Times New Roman"/>
      <w:b/>
      <w:sz w:val="30"/>
      <w:szCs w:val="20"/>
    </w:rPr>
  </w:style>
  <w:style w:type="character" w:customStyle="1" w:styleId="29">
    <w:name w:val="标题 3 Char"/>
    <w:basedOn w:val="24"/>
    <w:link w:val="4"/>
    <w:uiPriority w:val="0"/>
    <w:rPr>
      <w:rFonts w:ascii="Times New Roman" w:hAnsi="Times New Roman" w:eastAsia="仿宋_GB2312" w:cs="Times New Roman"/>
      <w:b/>
      <w:sz w:val="32"/>
      <w:szCs w:val="20"/>
    </w:rPr>
  </w:style>
  <w:style w:type="character" w:customStyle="1" w:styleId="30">
    <w:name w:val="标题 4 Char"/>
    <w:basedOn w:val="24"/>
    <w:link w:val="5"/>
    <w:qFormat/>
    <w:uiPriority w:val="0"/>
    <w:rPr>
      <w:rFonts w:ascii="Arial" w:hAnsi="Arial" w:cs="Times New Roman"/>
      <w:b/>
      <w:bCs/>
      <w:sz w:val="28"/>
      <w:szCs w:val="28"/>
    </w:rPr>
  </w:style>
  <w:style w:type="character" w:customStyle="1" w:styleId="31">
    <w:name w:val="页眉 Char"/>
    <w:basedOn w:val="24"/>
    <w:link w:val="15"/>
    <w:uiPriority w:val="0"/>
    <w:rPr>
      <w:rFonts w:eastAsia="仿宋_GB2312"/>
      <w:sz w:val="18"/>
      <w:szCs w:val="18"/>
    </w:rPr>
  </w:style>
  <w:style w:type="character" w:customStyle="1" w:styleId="32">
    <w:name w:val="页脚 Char"/>
    <w:basedOn w:val="24"/>
    <w:link w:val="14"/>
    <w:uiPriority w:val="99"/>
    <w:rPr>
      <w:rFonts w:eastAsia="楷体_GB2312"/>
      <w:sz w:val="18"/>
      <w:szCs w:val="18"/>
    </w:rPr>
  </w:style>
  <w:style w:type="character" w:customStyle="1" w:styleId="33">
    <w:name w:val="文档结构图 Char"/>
    <w:basedOn w:val="24"/>
    <w:link w:val="7"/>
    <w:semiHidden/>
    <w:uiPriority w:val="99"/>
    <w:rPr>
      <w:rFonts w:ascii="宋体" w:eastAsia="宋体"/>
      <w:sz w:val="18"/>
      <w:szCs w:val="18"/>
    </w:rPr>
  </w:style>
  <w:style w:type="paragraph" w:customStyle="1" w:styleId="34">
    <w:name w:val="表头"/>
    <w:basedOn w:val="1"/>
    <w:link w:val="35"/>
    <w:qFormat/>
    <w:uiPriority w:val="0"/>
    <w:pPr>
      <w:spacing w:beforeLines="100" w:afterLines="50"/>
      <w:ind w:firstLine="0" w:firstLineChars="0"/>
      <w:jc w:val="center"/>
    </w:pPr>
    <w:rPr>
      <w:rFonts w:ascii="Times New Roman" w:hAnsi="Times New Roman" w:cs="Times New Roman"/>
      <w:b/>
      <w:sz w:val="24"/>
      <w:szCs w:val="24"/>
    </w:rPr>
  </w:style>
  <w:style w:type="character" w:customStyle="1" w:styleId="35">
    <w:name w:val="表头 Char"/>
    <w:basedOn w:val="24"/>
    <w:link w:val="34"/>
    <w:uiPriority w:val="0"/>
    <w:rPr>
      <w:rFonts w:ascii="Times New Roman" w:hAnsi="Times New Roman" w:eastAsia="宋体" w:cs="Times New Roman"/>
      <w:b/>
      <w:sz w:val="24"/>
      <w:szCs w:val="24"/>
    </w:rPr>
  </w:style>
  <w:style w:type="paragraph" w:customStyle="1" w:styleId="36">
    <w:name w:val="图头"/>
    <w:basedOn w:val="1"/>
    <w:link w:val="37"/>
    <w:qFormat/>
    <w:uiPriority w:val="0"/>
    <w:pPr>
      <w:spacing w:beforeLines="50" w:afterLines="100"/>
      <w:ind w:firstLine="0" w:firstLineChars="0"/>
      <w:jc w:val="center"/>
    </w:pPr>
    <w:rPr>
      <w:rFonts w:ascii="Times New Roman" w:hAnsi="Times New Roman" w:cs="Times New Roman"/>
      <w:b/>
      <w:sz w:val="24"/>
      <w:szCs w:val="24"/>
    </w:rPr>
  </w:style>
  <w:style w:type="character" w:customStyle="1" w:styleId="37">
    <w:name w:val="图头 Char"/>
    <w:basedOn w:val="24"/>
    <w:link w:val="36"/>
    <w:qFormat/>
    <w:uiPriority w:val="0"/>
    <w:rPr>
      <w:rFonts w:ascii="Times New Roman" w:hAnsi="Times New Roman" w:eastAsia="宋体" w:cs="Times New Roman"/>
      <w:b/>
      <w:sz w:val="24"/>
      <w:szCs w:val="24"/>
    </w:rPr>
  </w:style>
  <w:style w:type="character" w:customStyle="1" w:styleId="38">
    <w:name w:val="图 Char"/>
    <w:basedOn w:val="24"/>
    <w:link w:val="39"/>
    <w:qFormat/>
    <w:uiPriority w:val="0"/>
    <w:rPr>
      <w:rFonts w:eastAsia="宋体"/>
      <w:sz w:val="28"/>
      <w:szCs w:val="24"/>
    </w:rPr>
  </w:style>
  <w:style w:type="paragraph" w:customStyle="1" w:styleId="39">
    <w:name w:val="图"/>
    <w:basedOn w:val="1"/>
    <w:link w:val="38"/>
    <w:qFormat/>
    <w:uiPriority w:val="0"/>
    <w:pPr>
      <w:ind w:firstLine="0" w:firstLineChars="0"/>
      <w:jc w:val="center"/>
    </w:pPr>
    <w:rPr>
      <w:szCs w:val="24"/>
    </w:rPr>
  </w:style>
  <w:style w:type="character" w:customStyle="1" w:styleId="40">
    <w:name w:val="批注框文本 Char"/>
    <w:basedOn w:val="24"/>
    <w:link w:val="13"/>
    <w:semiHidden/>
    <w:qFormat/>
    <w:uiPriority w:val="99"/>
    <w:rPr>
      <w:rFonts w:eastAsia="楷体_GB2312"/>
      <w:sz w:val="18"/>
      <w:szCs w:val="18"/>
    </w:rPr>
  </w:style>
  <w:style w:type="paragraph" w:customStyle="1" w:styleId="41">
    <w:name w:val="List Paragraph"/>
    <w:basedOn w:val="1"/>
    <w:qFormat/>
    <w:uiPriority w:val="34"/>
    <w:pPr>
      <w:ind w:firstLine="420"/>
      <w:jc w:val="both"/>
    </w:pPr>
    <w:rPr>
      <w:rFonts w:eastAsiaTheme="minorEastAsia"/>
      <w:sz w:val="21"/>
      <w:szCs w:val="22"/>
    </w:rPr>
  </w:style>
  <w:style w:type="character" w:customStyle="1" w:styleId="42">
    <w:name w:val="批注文字 Char"/>
    <w:basedOn w:val="24"/>
    <w:link w:val="8"/>
    <w:semiHidden/>
    <w:qFormat/>
    <w:uiPriority w:val="99"/>
    <w:rPr>
      <w:rFonts w:eastAsia="仿宋_GB2312"/>
      <w:sz w:val="32"/>
    </w:rPr>
  </w:style>
  <w:style w:type="character" w:customStyle="1" w:styleId="43">
    <w:name w:val="批注主题 Char"/>
    <w:basedOn w:val="42"/>
    <w:link w:val="21"/>
    <w:semiHidden/>
    <w:uiPriority w:val="99"/>
    <w:rPr>
      <w:rFonts w:eastAsia="仿宋_GB2312"/>
      <w:b/>
      <w:bCs/>
      <w:sz w:val="32"/>
    </w:rPr>
  </w:style>
  <w:style w:type="character" w:customStyle="1" w:styleId="44">
    <w:name w:val="日期 Char"/>
    <w:basedOn w:val="24"/>
    <w:link w:val="12"/>
    <w:semiHidden/>
    <w:uiPriority w:val="99"/>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4FFE-58D4-4A70-B99D-BCC82A01B2C3}">
  <ds:schemaRefs/>
</ds:datastoreItem>
</file>

<file path=docProps/app.xml><?xml version="1.0" encoding="utf-8"?>
<Properties xmlns="http://schemas.openxmlformats.org/officeDocument/2006/extended-properties" xmlns:vt="http://schemas.openxmlformats.org/officeDocument/2006/docPropsVTypes">
  <Template>Normal.dotm</Template>
  <Company>交通部科学研究院现代物流研发中心</Company>
  <Pages>21</Pages>
  <Words>1567</Words>
  <Characters>8935</Characters>
  <Lines>74</Lines>
  <Paragraphs>20</Paragraphs>
  <TotalTime>1</TotalTime>
  <ScaleCrop>false</ScaleCrop>
  <LinksUpToDate>false</LinksUpToDate>
  <CharactersWithSpaces>10482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2017-03-06T08:21:00Z</dcterms:created>
  <dc:creator>宋昊</dc:creator>
  <cp:lastModifiedBy>刘欣欣</cp:lastModifiedBy>
  <cp:lastPrinted>2017-02-28T00:45:00Z</cp:lastPrinted>
  <dcterms:modified xsi:type="dcterms:W3CDTF">2026-06-03T08:33:37Z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4136A323B9C947DEA04A378FE0741F6C</vt:lpwstr>
  </property>
</Properties>
</file>