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D24" w:rsidRPr="00311DCA" w:rsidRDefault="00163D24" w:rsidP="00163D24">
      <w:pPr>
        <w:snapToGrid w:val="0"/>
        <w:spacing w:line="360" w:lineRule="auto"/>
        <w:jc w:val="left"/>
        <w:rPr>
          <w:rFonts w:eastAsia="黑体"/>
          <w:sz w:val="28"/>
          <w:szCs w:val="28"/>
        </w:rPr>
      </w:pPr>
      <w:bookmarkStart w:id="0" w:name="_GoBack"/>
      <w:bookmarkEnd w:id="0"/>
      <w:r w:rsidRPr="00311DCA">
        <w:rPr>
          <w:rFonts w:eastAsia="黑体"/>
          <w:sz w:val="28"/>
          <w:szCs w:val="28"/>
        </w:rPr>
        <w:t>附件</w:t>
      </w:r>
      <w:r w:rsidRPr="00311DCA">
        <w:rPr>
          <w:rFonts w:eastAsia="黑体"/>
          <w:sz w:val="28"/>
          <w:szCs w:val="28"/>
        </w:rPr>
        <w:t>1</w:t>
      </w:r>
    </w:p>
    <w:p w:rsidR="00163D24" w:rsidRPr="00311DCA" w:rsidRDefault="00163D24" w:rsidP="00163D24">
      <w:pPr>
        <w:snapToGrid w:val="0"/>
        <w:spacing w:line="360" w:lineRule="auto"/>
        <w:jc w:val="center"/>
        <w:rPr>
          <w:rFonts w:eastAsia="方正小标宋_GBK"/>
          <w:sz w:val="32"/>
          <w:szCs w:val="28"/>
        </w:rPr>
      </w:pPr>
      <w:r w:rsidRPr="00311DCA">
        <w:rPr>
          <w:rFonts w:eastAsia="方正小标宋_GBK"/>
          <w:sz w:val="32"/>
          <w:szCs w:val="28"/>
        </w:rPr>
        <w:t>技术咨询机构应当具备的条件、技术咨询工作流程及要求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2699"/>
        <w:gridCol w:w="3410"/>
        <w:gridCol w:w="6679"/>
      </w:tblGrid>
      <w:tr w:rsidR="00163D24" w:rsidRPr="00311DCA" w:rsidTr="00473E88">
        <w:trPr>
          <w:tblHeader/>
        </w:trPr>
        <w:tc>
          <w:tcPr>
            <w:tcW w:w="489" w:type="pct"/>
            <w:vAlign w:val="center"/>
          </w:tcPr>
          <w:p w:rsidR="00163D24" w:rsidRPr="00311DCA" w:rsidRDefault="00163D24" w:rsidP="00473E88">
            <w:pPr>
              <w:spacing w:beforeLines="25" w:before="78" w:afterLines="25" w:after="78" w:line="264" w:lineRule="auto"/>
              <w:jc w:val="center"/>
              <w:rPr>
                <w:rFonts w:eastAsia="黑体"/>
                <w:szCs w:val="28"/>
              </w:rPr>
            </w:pPr>
            <w:r w:rsidRPr="00311DCA">
              <w:rPr>
                <w:rFonts w:eastAsia="黑体"/>
                <w:szCs w:val="28"/>
              </w:rPr>
              <w:t>序</w:t>
            </w:r>
            <w:r w:rsidRPr="00311DCA">
              <w:rPr>
                <w:rFonts w:eastAsia="黑体"/>
                <w:szCs w:val="28"/>
              </w:rPr>
              <w:t xml:space="preserve"> </w:t>
            </w:r>
            <w:r w:rsidRPr="00311DCA">
              <w:rPr>
                <w:rFonts w:eastAsia="黑体"/>
                <w:szCs w:val="28"/>
              </w:rPr>
              <w:t>号</w:t>
            </w:r>
          </w:p>
        </w:tc>
        <w:tc>
          <w:tcPr>
            <w:tcW w:w="952" w:type="pct"/>
            <w:vAlign w:val="center"/>
          </w:tcPr>
          <w:p w:rsidR="00163D24" w:rsidRPr="00311DCA" w:rsidRDefault="00163D24" w:rsidP="00473E88">
            <w:pPr>
              <w:spacing w:beforeLines="25" w:before="78" w:afterLines="25" w:after="78" w:line="264" w:lineRule="auto"/>
              <w:jc w:val="center"/>
              <w:rPr>
                <w:rFonts w:eastAsia="黑体"/>
                <w:szCs w:val="28"/>
              </w:rPr>
            </w:pPr>
            <w:r w:rsidRPr="00311DCA">
              <w:rPr>
                <w:rFonts w:eastAsia="黑体"/>
                <w:szCs w:val="28"/>
              </w:rPr>
              <w:t>委托技术咨询事项</w:t>
            </w:r>
          </w:p>
        </w:tc>
        <w:tc>
          <w:tcPr>
            <w:tcW w:w="1203" w:type="pct"/>
            <w:vAlign w:val="center"/>
          </w:tcPr>
          <w:p w:rsidR="00163D24" w:rsidRPr="00311DCA" w:rsidRDefault="00163D24" w:rsidP="00473E88">
            <w:pPr>
              <w:spacing w:beforeLines="25" w:before="78" w:afterLines="25" w:after="78" w:line="264" w:lineRule="auto"/>
              <w:jc w:val="center"/>
              <w:rPr>
                <w:rFonts w:eastAsia="黑体"/>
                <w:szCs w:val="28"/>
              </w:rPr>
            </w:pPr>
            <w:r w:rsidRPr="00311DCA">
              <w:rPr>
                <w:rFonts w:eastAsia="黑体"/>
                <w:szCs w:val="28"/>
              </w:rPr>
              <w:t>技术咨询机构资质条件</w:t>
            </w:r>
          </w:p>
        </w:tc>
        <w:tc>
          <w:tcPr>
            <w:tcW w:w="2356" w:type="pct"/>
            <w:vAlign w:val="center"/>
          </w:tcPr>
          <w:p w:rsidR="00163D24" w:rsidRPr="00311DCA" w:rsidRDefault="00163D24" w:rsidP="00473E88">
            <w:pPr>
              <w:spacing w:beforeLines="25" w:before="78" w:afterLines="25" w:after="78" w:line="264" w:lineRule="auto"/>
              <w:jc w:val="center"/>
              <w:rPr>
                <w:rFonts w:eastAsia="黑体"/>
                <w:szCs w:val="28"/>
              </w:rPr>
            </w:pPr>
            <w:r w:rsidRPr="00311DCA">
              <w:rPr>
                <w:rFonts w:eastAsia="黑体"/>
                <w:szCs w:val="28"/>
              </w:rPr>
              <w:t>工作流程及要求</w:t>
            </w:r>
          </w:p>
        </w:tc>
      </w:tr>
      <w:tr w:rsidR="00163D24" w:rsidRPr="00311DCA" w:rsidTr="00473E88">
        <w:tc>
          <w:tcPr>
            <w:tcW w:w="489" w:type="pct"/>
            <w:vAlign w:val="center"/>
          </w:tcPr>
          <w:p w:rsidR="00163D24" w:rsidRPr="00311DCA" w:rsidRDefault="00163D24" w:rsidP="00473E88">
            <w:pPr>
              <w:snapToGrid w:val="0"/>
              <w:spacing w:beforeLines="25" w:before="78" w:afterLines="25" w:after="78"/>
              <w:jc w:val="center"/>
              <w:rPr>
                <w:rFonts w:eastAsia="仿宋_GB2312"/>
                <w:szCs w:val="24"/>
              </w:rPr>
            </w:pPr>
            <w:r w:rsidRPr="00311DCA">
              <w:rPr>
                <w:rFonts w:eastAsia="仿宋_GB2312"/>
                <w:szCs w:val="24"/>
              </w:rPr>
              <w:t>1</w:t>
            </w:r>
          </w:p>
        </w:tc>
        <w:tc>
          <w:tcPr>
            <w:tcW w:w="952" w:type="pct"/>
            <w:vAlign w:val="center"/>
          </w:tcPr>
          <w:p w:rsidR="00163D24" w:rsidRPr="00311DCA" w:rsidRDefault="00163D24" w:rsidP="00473E88">
            <w:pPr>
              <w:snapToGrid w:val="0"/>
              <w:spacing w:beforeLines="25" w:before="78" w:afterLines="25" w:after="78"/>
              <w:jc w:val="left"/>
              <w:rPr>
                <w:rFonts w:eastAsia="仿宋_GB2312"/>
                <w:szCs w:val="24"/>
              </w:rPr>
            </w:pPr>
            <w:r w:rsidRPr="00311DCA">
              <w:rPr>
                <w:rFonts w:eastAsia="仿宋_GB2312"/>
                <w:szCs w:val="24"/>
              </w:rPr>
              <w:t>项目建议书、项目可行性研究报告、项目申请报告、项目资金申请报告</w:t>
            </w:r>
            <w:r w:rsidRPr="00311DCA">
              <w:rPr>
                <w:rFonts w:eastAsia="仿宋_GB2312" w:hint="eastAsia"/>
                <w:szCs w:val="24"/>
              </w:rPr>
              <w:t>及建设项目后评价</w:t>
            </w:r>
          </w:p>
        </w:tc>
        <w:tc>
          <w:tcPr>
            <w:tcW w:w="1203" w:type="pct"/>
            <w:vAlign w:val="center"/>
          </w:tcPr>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hint="eastAsia"/>
                <w:szCs w:val="24"/>
              </w:rPr>
              <w:t>1</w:t>
            </w:r>
            <w:r w:rsidRPr="00311DCA">
              <w:rPr>
                <w:rFonts w:eastAsia="仿宋_GB2312"/>
                <w:szCs w:val="24"/>
              </w:rPr>
              <w:t>.</w:t>
            </w:r>
            <w:r w:rsidRPr="00311DCA">
              <w:rPr>
                <w:rFonts w:eastAsia="仿宋_GB2312" w:hint="eastAsia"/>
                <w:szCs w:val="24"/>
              </w:rPr>
              <w:t>通过全国投资项目</w:t>
            </w:r>
            <w:proofErr w:type="gramStart"/>
            <w:r w:rsidRPr="00311DCA">
              <w:rPr>
                <w:rFonts w:eastAsia="仿宋_GB2312" w:hint="eastAsia"/>
                <w:szCs w:val="24"/>
              </w:rPr>
              <w:t>在线审批</w:t>
            </w:r>
            <w:proofErr w:type="gramEnd"/>
            <w:r w:rsidRPr="00311DCA">
              <w:rPr>
                <w:rFonts w:eastAsia="仿宋_GB2312" w:hint="eastAsia"/>
                <w:szCs w:val="24"/>
              </w:rPr>
              <w:t>监管平台备案并列入公示名录的工程咨询单位</w:t>
            </w:r>
            <w:r w:rsidR="006714DB">
              <w:rPr>
                <w:rFonts w:eastAsia="仿宋_GB2312" w:hint="eastAsia"/>
                <w:szCs w:val="24"/>
              </w:rPr>
              <w:t>。</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2.</w:t>
            </w:r>
            <w:r w:rsidRPr="00311DCA">
              <w:rPr>
                <w:rFonts w:eastAsia="仿宋_GB2312"/>
                <w:szCs w:val="24"/>
              </w:rPr>
              <w:t>具有所申请专业的甲级</w:t>
            </w:r>
            <w:r w:rsidRPr="00311DCA">
              <w:rPr>
                <w:rFonts w:eastAsia="仿宋_GB2312" w:hint="eastAsia"/>
                <w:szCs w:val="24"/>
              </w:rPr>
              <w:t>资信等级，或具有甲级综合资信</w:t>
            </w:r>
            <w:r w:rsidR="006714DB">
              <w:rPr>
                <w:rFonts w:eastAsia="仿宋_GB2312"/>
                <w:szCs w:val="24"/>
              </w:rPr>
              <w:t>。</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3.</w:t>
            </w:r>
            <w:r w:rsidRPr="00311DCA">
              <w:rPr>
                <w:rFonts w:eastAsia="仿宋_GB2312"/>
                <w:szCs w:val="24"/>
              </w:rPr>
              <w:t>专职从事所申请专业工程咨询的高级职称专业技术人员不少于</w:t>
            </w:r>
            <w:r w:rsidRPr="00311DCA">
              <w:rPr>
                <w:rFonts w:eastAsia="仿宋_GB2312"/>
                <w:szCs w:val="24"/>
              </w:rPr>
              <w:t>10</w:t>
            </w:r>
            <w:r w:rsidRPr="00311DCA">
              <w:rPr>
                <w:rFonts w:eastAsia="仿宋_GB2312"/>
                <w:szCs w:val="24"/>
              </w:rPr>
              <w:t>人</w:t>
            </w:r>
            <w:r w:rsidR="006714DB">
              <w:rPr>
                <w:rFonts w:eastAsia="仿宋_GB2312"/>
                <w:szCs w:val="24"/>
              </w:rPr>
              <w:t>。</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4.</w:t>
            </w:r>
            <w:r w:rsidRPr="00311DCA">
              <w:rPr>
                <w:rFonts w:eastAsia="仿宋_GB2312" w:hint="eastAsia"/>
                <w:szCs w:val="24"/>
              </w:rPr>
              <w:t>近</w:t>
            </w:r>
            <w:r w:rsidRPr="00311DCA">
              <w:rPr>
                <w:rFonts w:eastAsia="仿宋_GB2312"/>
                <w:szCs w:val="24"/>
              </w:rPr>
              <w:t>3</w:t>
            </w:r>
            <w:r w:rsidRPr="00311DCA">
              <w:rPr>
                <w:rFonts w:eastAsia="仿宋_GB2312" w:hint="eastAsia"/>
                <w:szCs w:val="24"/>
              </w:rPr>
              <w:t>年完成所申请专业总投资</w:t>
            </w:r>
            <w:r w:rsidRPr="00311DCA">
              <w:rPr>
                <w:rFonts w:eastAsia="仿宋_GB2312"/>
                <w:szCs w:val="24"/>
              </w:rPr>
              <w:t>5000</w:t>
            </w:r>
            <w:r w:rsidRPr="00311DCA">
              <w:rPr>
                <w:rFonts w:eastAsia="仿宋_GB2312" w:hint="eastAsia"/>
                <w:szCs w:val="24"/>
              </w:rPr>
              <w:t>万元以上项目可行性研究报告、项目申请报告编制，项目建议书、可行性研究报告、项目申请报告、项目资金申请报告及规划的评估业绩共不少于</w:t>
            </w:r>
            <w:r w:rsidRPr="00311DCA">
              <w:rPr>
                <w:rFonts w:eastAsia="仿宋_GB2312"/>
                <w:szCs w:val="24"/>
              </w:rPr>
              <w:t>10</w:t>
            </w:r>
            <w:r w:rsidRPr="00311DCA">
              <w:rPr>
                <w:rFonts w:eastAsia="仿宋_GB2312" w:hint="eastAsia"/>
                <w:szCs w:val="24"/>
              </w:rPr>
              <w:t>项（特殊行业除外）。</w:t>
            </w:r>
          </w:p>
        </w:tc>
        <w:tc>
          <w:tcPr>
            <w:tcW w:w="2356" w:type="pct"/>
            <w:vAlign w:val="center"/>
          </w:tcPr>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一般包括预审、会审和复审三个阶段。</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1.</w:t>
            </w:r>
            <w:r w:rsidRPr="00311DCA">
              <w:rPr>
                <w:rFonts w:eastAsia="仿宋_GB2312"/>
                <w:szCs w:val="24"/>
              </w:rPr>
              <w:t>预审是对上报文件的依据文件和资料、建设需求、必要性和建设方案等主要内容进行审核，把握项目是否有重大技术问题和依据疏失，同时审核送审文件的质量是否满足相关要求等。</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2.</w:t>
            </w:r>
            <w:r w:rsidRPr="00311DCA">
              <w:rPr>
                <w:rFonts w:eastAsia="仿宋_GB2312"/>
                <w:szCs w:val="24"/>
              </w:rPr>
              <w:t>会审是以会议形式对项目进行审核。会审一般应当邀请技术咨询机构以外熟悉该领域的专家和相关单位的代表参加。关系简单、规模较小和技术成熟的项目，可以适当简化程序，结合实地调研，以技术咨询机构内部会议的方式进行审查。</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3.</w:t>
            </w:r>
            <w:r w:rsidRPr="00311DCA">
              <w:rPr>
                <w:rFonts w:eastAsia="仿宋_GB2312"/>
                <w:szCs w:val="24"/>
              </w:rPr>
              <w:t>复审是对会审后修改完善的补充报告进行复核，重点复核补充报告是否符合预审和会审要求等，如不符合应当及时告知项目单位（或编制单位），项目单位（或编制单位）应当按要求重新补充报告。</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各阶段审核意见应当以书面形式反馈项目单位（或编制单位），项目单位（或编制单位）应当根据审核意见修改完善项目文件，并以书面形式向技术咨询机构说明修改情况。</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hint="eastAsia"/>
                <w:szCs w:val="24"/>
              </w:rPr>
              <w:t>建设项目后评价根据国家关于项目后评价的相关要求开展工作。</w:t>
            </w:r>
          </w:p>
        </w:tc>
      </w:tr>
      <w:tr w:rsidR="00163D24" w:rsidRPr="00311DCA" w:rsidTr="00473E88">
        <w:tc>
          <w:tcPr>
            <w:tcW w:w="489" w:type="pct"/>
            <w:vAlign w:val="center"/>
          </w:tcPr>
          <w:p w:rsidR="00163D24" w:rsidRPr="00311DCA" w:rsidRDefault="00163D24" w:rsidP="00473E88">
            <w:pPr>
              <w:snapToGrid w:val="0"/>
              <w:spacing w:beforeLines="25" w:before="78" w:afterLines="25" w:after="78"/>
              <w:jc w:val="center"/>
              <w:rPr>
                <w:rFonts w:eastAsia="仿宋_GB2312"/>
                <w:szCs w:val="24"/>
              </w:rPr>
            </w:pPr>
            <w:r w:rsidRPr="00311DCA">
              <w:rPr>
                <w:rFonts w:eastAsia="仿宋_GB2312"/>
                <w:szCs w:val="24"/>
              </w:rPr>
              <w:t>2</w:t>
            </w:r>
          </w:p>
        </w:tc>
        <w:tc>
          <w:tcPr>
            <w:tcW w:w="952" w:type="pct"/>
            <w:vAlign w:val="center"/>
          </w:tcPr>
          <w:p w:rsidR="00163D24" w:rsidRPr="00311DCA" w:rsidRDefault="00163D24" w:rsidP="00473E88">
            <w:pPr>
              <w:snapToGrid w:val="0"/>
              <w:spacing w:beforeLines="25" w:before="78" w:afterLines="25" w:after="78"/>
              <w:jc w:val="left"/>
              <w:rPr>
                <w:rFonts w:eastAsia="仿宋_GB2312"/>
                <w:szCs w:val="24"/>
              </w:rPr>
            </w:pPr>
            <w:r w:rsidRPr="00311DCA">
              <w:rPr>
                <w:rFonts w:eastAsia="仿宋_GB2312"/>
                <w:szCs w:val="24"/>
              </w:rPr>
              <w:t>国家重点公路建设项目初步设计文件</w:t>
            </w:r>
          </w:p>
        </w:tc>
        <w:tc>
          <w:tcPr>
            <w:tcW w:w="1203" w:type="pct"/>
            <w:vAlign w:val="center"/>
          </w:tcPr>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 xml:space="preserve">1. </w:t>
            </w:r>
            <w:r w:rsidRPr="00311DCA">
              <w:rPr>
                <w:rFonts w:eastAsia="仿宋_GB2312" w:hint="eastAsia"/>
                <w:szCs w:val="24"/>
              </w:rPr>
              <w:t>通过全国投资项目</w:t>
            </w:r>
            <w:proofErr w:type="gramStart"/>
            <w:r w:rsidRPr="00311DCA">
              <w:rPr>
                <w:rFonts w:eastAsia="仿宋_GB2312" w:hint="eastAsia"/>
                <w:szCs w:val="24"/>
              </w:rPr>
              <w:t>在线审批</w:t>
            </w:r>
            <w:proofErr w:type="gramEnd"/>
            <w:r w:rsidRPr="00311DCA">
              <w:rPr>
                <w:rFonts w:eastAsia="仿宋_GB2312" w:hint="eastAsia"/>
                <w:szCs w:val="24"/>
              </w:rPr>
              <w:t>监管平台备案并列入公示名录的工程咨询机构</w:t>
            </w:r>
            <w:r w:rsidR="006714DB">
              <w:rPr>
                <w:rFonts w:eastAsia="仿宋_GB2312"/>
                <w:szCs w:val="24"/>
              </w:rPr>
              <w:t>。</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2.</w:t>
            </w:r>
            <w:r w:rsidRPr="00311DCA">
              <w:rPr>
                <w:rFonts w:eastAsia="仿宋_GB2312" w:hint="eastAsia"/>
                <w:szCs w:val="24"/>
              </w:rPr>
              <w:t>具有公路</w:t>
            </w:r>
            <w:proofErr w:type="gramStart"/>
            <w:r w:rsidRPr="00311DCA">
              <w:rPr>
                <w:rFonts w:eastAsia="仿宋_GB2312" w:hint="eastAsia"/>
                <w:szCs w:val="24"/>
              </w:rPr>
              <w:t>行业甲级</w:t>
            </w:r>
            <w:proofErr w:type="gramEnd"/>
            <w:r w:rsidRPr="00311DCA">
              <w:rPr>
                <w:rFonts w:eastAsia="仿宋_GB2312" w:hint="eastAsia"/>
                <w:szCs w:val="24"/>
              </w:rPr>
              <w:t>工程设计资质或工程咨询</w:t>
            </w:r>
            <w:proofErr w:type="gramStart"/>
            <w:r w:rsidRPr="00311DCA">
              <w:rPr>
                <w:rFonts w:eastAsia="仿宋_GB2312" w:hint="eastAsia"/>
                <w:szCs w:val="24"/>
              </w:rPr>
              <w:t>单位甲级</w:t>
            </w:r>
            <w:proofErr w:type="gramEnd"/>
            <w:r w:rsidRPr="00311DCA">
              <w:rPr>
                <w:rFonts w:eastAsia="仿宋_GB2312" w:hint="eastAsia"/>
                <w:szCs w:val="24"/>
              </w:rPr>
              <w:t>资信（公</w:t>
            </w:r>
            <w:r w:rsidRPr="00311DCA">
              <w:rPr>
                <w:rFonts w:eastAsia="仿宋_GB2312" w:hint="eastAsia"/>
                <w:szCs w:val="24"/>
              </w:rPr>
              <w:lastRenderedPageBreak/>
              <w:t>路行业）</w:t>
            </w:r>
            <w:r w:rsidR="006714DB">
              <w:rPr>
                <w:rFonts w:eastAsia="仿宋_GB2312" w:hint="eastAsia"/>
                <w:szCs w:val="24"/>
              </w:rPr>
              <w:t>。</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3.</w:t>
            </w:r>
            <w:r w:rsidRPr="00311DCA">
              <w:rPr>
                <w:rFonts w:eastAsia="仿宋_GB2312"/>
                <w:szCs w:val="24"/>
              </w:rPr>
              <w:t>路线、工程地质、桥梁、隧道、路基路面、交通工程、概算等专业配备齐全，专职从事公路行业工程咨询和设计的高级专业技术职称的人员不少于</w:t>
            </w:r>
            <w:r w:rsidRPr="00311DCA">
              <w:rPr>
                <w:rFonts w:eastAsia="仿宋_GB2312"/>
                <w:szCs w:val="24"/>
              </w:rPr>
              <w:t>10</w:t>
            </w:r>
            <w:r w:rsidRPr="00311DCA">
              <w:rPr>
                <w:rFonts w:eastAsia="仿宋_GB2312"/>
                <w:szCs w:val="24"/>
              </w:rPr>
              <w:t>人，具有相应的设计、审查工作业绩</w:t>
            </w:r>
            <w:r w:rsidR="006714DB">
              <w:rPr>
                <w:rFonts w:eastAsia="仿宋_GB2312"/>
                <w:szCs w:val="24"/>
              </w:rPr>
              <w:t>。</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4.</w:t>
            </w:r>
            <w:r w:rsidRPr="00311DCA">
              <w:rPr>
                <w:rFonts w:eastAsia="仿宋_GB2312"/>
                <w:szCs w:val="24"/>
              </w:rPr>
              <w:t>承担过国家重点公路建设项目的初步设计技术咨询工作</w:t>
            </w:r>
            <w:r w:rsidRPr="00311DCA">
              <w:rPr>
                <w:rFonts w:eastAsia="仿宋_GB2312" w:hint="eastAsia"/>
                <w:szCs w:val="24"/>
              </w:rPr>
              <w:t>业绩不少于</w:t>
            </w:r>
            <w:r w:rsidRPr="00311DCA">
              <w:rPr>
                <w:rFonts w:eastAsia="仿宋_GB2312" w:hint="eastAsia"/>
                <w:szCs w:val="24"/>
              </w:rPr>
              <w:t>1</w:t>
            </w:r>
            <w:r w:rsidRPr="00311DCA">
              <w:rPr>
                <w:rFonts w:eastAsia="仿宋_GB2312"/>
                <w:szCs w:val="24"/>
              </w:rPr>
              <w:t>0</w:t>
            </w:r>
            <w:r w:rsidRPr="00311DCA">
              <w:rPr>
                <w:rFonts w:eastAsia="仿宋_GB2312" w:hint="eastAsia"/>
                <w:szCs w:val="24"/>
              </w:rPr>
              <w:t>项</w:t>
            </w:r>
            <w:r w:rsidRPr="00311DCA">
              <w:rPr>
                <w:rFonts w:eastAsia="仿宋_GB2312"/>
                <w:szCs w:val="24"/>
              </w:rPr>
              <w:t>。</w:t>
            </w:r>
          </w:p>
        </w:tc>
        <w:tc>
          <w:tcPr>
            <w:tcW w:w="2356" w:type="pct"/>
            <w:vAlign w:val="center"/>
          </w:tcPr>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lastRenderedPageBreak/>
              <w:t>一般包括预审、会审和复审三个阶段。</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 xml:space="preserve">1. </w:t>
            </w:r>
            <w:r w:rsidRPr="00311DCA">
              <w:rPr>
                <w:rFonts w:eastAsia="仿宋_GB2312" w:hint="eastAsia"/>
                <w:szCs w:val="24"/>
              </w:rPr>
              <w:t>预审一般包括符合性审查和文件审查两个环节。</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符合性审查是对上报文件的完整性、是否符合可行性研究（项目申请）报告批复要求和《公路工程技术标准》进行审查。符合性审查意见应当以书面形式报部及项目单位。对于需要补充材料的，应当在符合性</w:t>
            </w:r>
            <w:r w:rsidRPr="00311DCA">
              <w:rPr>
                <w:rFonts w:eastAsia="仿宋_GB2312"/>
                <w:szCs w:val="24"/>
              </w:rPr>
              <w:lastRenderedPageBreak/>
              <w:t>审查意见中一次性明确告知。通过符合性审查，确认上报文件符合要求后，即应开始文件审查。</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文件审查是按照</w:t>
            </w:r>
            <w:r w:rsidRPr="00311DCA">
              <w:rPr>
                <w:rFonts w:eastAsia="仿宋_GB2312"/>
                <w:szCs w:val="24"/>
              </w:rPr>
              <w:t>“</w:t>
            </w:r>
            <w:r w:rsidRPr="00311DCA">
              <w:rPr>
                <w:rFonts w:eastAsia="仿宋_GB2312"/>
                <w:szCs w:val="24"/>
              </w:rPr>
              <w:t>安全、耐久、节约、和谐</w:t>
            </w:r>
            <w:r w:rsidRPr="00311DCA">
              <w:rPr>
                <w:rFonts w:eastAsia="仿宋_GB2312"/>
                <w:szCs w:val="24"/>
              </w:rPr>
              <w:t>”</w:t>
            </w:r>
            <w:r w:rsidRPr="00311DCA">
              <w:rPr>
                <w:rFonts w:eastAsia="仿宋_GB2312"/>
                <w:szCs w:val="24"/>
              </w:rPr>
              <w:t>的原则，依据国家和部有关法律法规、技术标准和规范等相关规定，对方案的合理性、运行安全性、结构可靠性和投资控制情况进行审查。文件审查应当形成初审意见，提出现场审查重点内容。</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 xml:space="preserve">2. </w:t>
            </w:r>
            <w:r w:rsidRPr="00311DCA">
              <w:rPr>
                <w:rFonts w:eastAsia="仿宋_GB2312" w:hint="eastAsia"/>
                <w:szCs w:val="24"/>
              </w:rPr>
              <w:t>会审是组织人员进行</w:t>
            </w:r>
            <w:r w:rsidRPr="00311DCA">
              <w:rPr>
                <w:rFonts w:eastAsia="仿宋_GB2312"/>
                <w:szCs w:val="24"/>
              </w:rPr>
              <w:t>现场审查</w:t>
            </w:r>
            <w:r w:rsidRPr="00311DCA">
              <w:rPr>
                <w:rFonts w:eastAsia="仿宋_GB2312" w:hint="eastAsia"/>
                <w:szCs w:val="24"/>
              </w:rPr>
              <w:t>并</w:t>
            </w:r>
            <w:r w:rsidRPr="00311DCA">
              <w:rPr>
                <w:rFonts w:eastAsia="仿宋_GB2312"/>
                <w:szCs w:val="24"/>
              </w:rPr>
              <w:t>听取设计单位的设计情况汇报，对重要工点和有争议的工点进行现场踏查，现场完成对初审意见的调整，并提出初步设计阶段需要补充完成的工作。</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 xml:space="preserve">3. </w:t>
            </w:r>
            <w:r w:rsidRPr="00311DCA">
              <w:rPr>
                <w:rFonts w:eastAsia="仿宋_GB2312" w:hint="eastAsia"/>
                <w:szCs w:val="24"/>
              </w:rPr>
              <w:t>复审是</w:t>
            </w:r>
            <w:r w:rsidRPr="00311DCA">
              <w:rPr>
                <w:rFonts w:eastAsia="仿宋_GB2312"/>
                <w:szCs w:val="24"/>
              </w:rPr>
              <w:t>审查</w:t>
            </w:r>
            <w:r w:rsidRPr="00311DCA">
              <w:rPr>
                <w:rFonts w:eastAsia="仿宋_GB2312" w:hint="eastAsia"/>
                <w:szCs w:val="24"/>
              </w:rPr>
              <w:t>会审后的</w:t>
            </w:r>
            <w:r w:rsidRPr="00311DCA">
              <w:rPr>
                <w:rFonts w:eastAsia="仿宋_GB2312"/>
                <w:szCs w:val="24"/>
              </w:rPr>
              <w:t>补充文件是否满足</w:t>
            </w:r>
            <w:r w:rsidRPr="00311DCA">
              <w:rPr>
                <w:rFonts w:eastAsia="仿宋_GB2312" w:hint="eastAsia"/>
                <w:szCs w:val="24"/>
              </w:rPr>
              <w:t>会审</w:t>
            </w:r>
            <w:r w:rsidRPr="00311DCA">
              <w:rPr>
                <w:rFonts w:eastAsia="仿宋_GB2312"/>
                <w:szCs w:val="24"/>
              </w:rPr>
              <w:t>提出的要求，根据补充文件修改完善审查意见，形成正式的技术咨询报告。</w:t>
            </w:r>
          </w:p>
        </w:tc>
      </w:tr>
      <w:tr w:rsidR="00163D24" w:rsidRPr="00311DCA" w:rsidTr="00473E88">
        <w:tc>
          <w:tcPr>
            <w:tcW w:w="489" w:type="pct"/>
            <w:vAlign w:val="center"/>
          </w:tcPr>
          <w:p w:rsidR="00163D24" w:rsidRPr="00311DCA" w:rsidRDefault="00163D24" w:rsidP="00473E88">
            <w:pPr>
              <w:snapToGrid w:val="0"/>
              <w:spacing w:beforeLines="25" w:before="78" w:afterLines="25" w:after="78"/>
              <w:jc w:val="center"/>
              <w:rPr>
                <w:rFonts w:eastAsia="仿宋_GB2312"/>
                <w:szCs w:val="24"/>
              </w:rPr>
            </w:pPr>
            <w:r w:rsidRPr="00311DCA">
              <w:rPr>
                <w:rFonts w:eastAsia="仿宋_GB2312"/>
                <w:szCs w:val="24"/>
              </w:rPr>
              <w:lastRenderedPageBreak/>
              <w:t>3</w:t>
            </w:r>
          </w:p>
        </w:tc>
        <w:tc>
          <w:tcPr>
            <w:tcW w:w="952" w:type="pct"/>
            <w:vAlign w:val="center"/>
          </w:tcPr>
          <w:p w:rsidR="00163D24" w:rsidRPr="00311DCA" w:rsidRDefault="00163D24" w:rsidP="00473E88">
            <w:pPr>
              <w:snapToGrid w:val="0"/>
              <w:spacing w:beforeLines="25" w:before="78" w:afterLines="25" w:after="78"/>
              <w:jc w:val="left"/>
              <w:rPr>
                <w:rFonts w:eastAsia="仿宋_GB2312"/>
                <w:szCs w:val="24"/>
              </w:rPr>
            </w:pPr>
            <w:r w:rsidRPr="00311DCA">
              <w:rPr>
                <w:rFonts w:eastAsia="仿宋_GB2312"/>
                <w:szCs w:val="24"/>
              </w:rPr>
              <w:t>国家重点水运建设项目初步设计文件</w:t>
            </w:r>
          </w:p>
        </w:tc>
        <w:tc>
          <w:tcPr>
            <w:tcW w:w="1203" w:type="pct"/>
            <w:vAlign w:val="center"/>
          </w:tcPr>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1.</w:t>
            </w:r>
            <w:r w:rsidRPr="00311DCA">
              <w:rPr>
                <w:rFonts w:eastAsia="仿宋_GB2312"/>
                <w:szCs w:val="24"/>
              </w:rPr>
              <w:t>具有综合甲级工程设计资质</w:t>
            </w:r>
            <w:r w:rsidR="006714DB">
              <w:rPr>
                <w:rFonts w:eastAsia="仿宋_GB2312"/>
                <w:szCs w:val="24"/>
              </w:rPr>
              <w:t>。</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2.</w:t>
            </w:r>
            <w:r w:rsidRPr="00311DCA">
              <w:rPr>
                <w:rFonts w:eastAsia="仿宋_GB2312"/>
                <w:szCs w:val="24"/>
              </w:rPr>
              <w:t>专职从事所申请专业工程咨询的高级职称专业技术人员不少于</w:t>
            </w:r>
            <w:r w:rsidRPr="00311DCA">
              <w:rPr>
                <w:rFonts w:eastAsia="仿宋_GB2312"/>
                <w:szCs w:val="24"/>
              </w:rPr>
              <w:t>10</w:t>
            </w:r>
            <w:r w:rsidRPr="00311DCA">
              <w:rPr>
                <w:rFonts w:eastAsia="仿宋_GB2312"/>
                <w:szCs w:val="24"/>
              </w:rPr>
              <w:t>人，各主要专业技术人员应为部设计审查专家库专家</w:t>
            </w:r>
            <w:r w:rsidR="006714DB">
              <w:rPr>
                <w:rFonts w:eastAsia="仿宋_GB2312"/>
                <w:szCs w:val="24"/>
              </w:rPr>
              <w:t>。</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3.</w:t>
            </w:r>
            <w:r w:rsidRPr="00311DCA">
              <w:rPr>
                <w:rFonts w:eastAsia="仿宋_GB2312"/>
                <w:szCs w:val="24"/>
              </w:rPr>
              <w:t>承担过国家重点水运建设项目的初步设计文件编制或初步设计文件技术咨询工作。</w:t>
            </w:r>
          </w:p>
        </w:tc>
        <w:tc>
          <w:tcPr>
            <w:tcW w:w="2356" w:type="pct"/>
            <w:vAlign w:val="center"/>
          </w:tcPr>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一般包括预审、会审和复审三个阶段。</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hint="eastAsia"/>
                <w:szCs w:val="24"/>
              </w:rPr>
              <w:t>1</w:t>
            </w:r>
            <w:r w:rsidRPr="00311DCA">
              <w:rPr>
                <w:rFonts w:eastAsia="仿宋_GB2312"/>
                <w:szCs w:val="24"/>
              </w:rPr>
              <w:t xml:space="preserve">. </w:t>
            </w:r>
            <w:r w:rsidRPr="00311DCA">
              <w:rPr>
                <w:rFonts w:eastAsia="仿宋_GB2312" w:hint="eastAsia"/>
                <w:szCs w:val="24"/>
              </w:rPr>
              <w:t>预审是技术咨询机构组织本单位工作人员对初步设计文件进行的技术审查，主要包括如下内容：</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w:t>
            </w:r>
            <w:r w:rsidRPr="00311DCA">
              <w:rPr>
                <w:rFonts w:eastAsia="仿宋_GB2312"/>
                <w:szCs w:val="24"/>
              </w:rPr>
              <w:t>1</w:t>
            </w:r>
            <w:r w:rsidRPr="00311DCA">
              <w:rPr>
                <w:rFonts w:eastAsia="仿宋_GB2312"/>
                <w:szCs w:val="24"/>
              </w:rPr>
              <w:t>）</w:t>
            </w:r>
            <w:r w:rsidRPr="00311DCA">
              <w:rPr>
                <w:rFonts w:eastAsia="仿宋_GB2312" w:hint="eastAsia"/>
                <w:szCs w:val="24"/>
              </w:rPr>
              <w:t>审查</w:t>
            </w:r>
            <w:r w:rsidRPr="00311DCA">
              <w:rPr>
                <w:rFonts w:eastAsia="仿宋_GB2312"/>
                <w:szCs w:val="24"/>
              </w:rPr>
              <w:t>工程建设规模和内容与核准文件的符合性。</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w:t>
            </w:r>
            <w:r w:rsidRPr="00311DCA">
              <w:rPr>
                <w:rFonts w:eastAsia="仿宋_GB2312"/>
                <w:szCs w:val="24"/>
              </w:rPr>
              <w:t>2</w:t>
            </w:r>
            <w:r w:rsidRPr="00311DCA">
              <w:rPr>
                <w:rFonts w:eastAsia="仿宋_GB2312"/>
                <w:szCs w:val="24"/>
              </w:rPr>
              <w:t>）</w:t>
            </w:r>
            <w:r w:rsidRPr="00311DCA">
              <w:rPr>
                <w:rFonts w:eastAsia="仿宋_GB2312" w:hint="eastAsia"/>
                <w:szCs w:val="24"/>
              </w:rPr>
              <w:t>审</w:t>
            </w:r>
            <w:r w:rsidRPr="00311DCA">
              <w:rPr>
                <w:rFonts w:eastAsia="仿宋_GB2312"/>
                <w:szCs w:val="24"/>
              </w:rPr>
              <w:t>查初步设计执行强制性标准情况。</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w:t>
            </w:r>
            <w:r w:rsidRPr="00311DCA">
              <w:rPr>
                <w:rFonts w:eastAsia="仿宋_GB2312"/>
                <w:szCs w:val="24"/>
              </w:rPr>
              <w:t>3</w:t>
            </w:r>
            <w:r w:rsidRPr="00311DCA">
              <w:rPr>
                <w:rFonts w:eastAsia="仿宋_GB2312"/>
                <w:szCs w:val="24"/>
              </w:rPr>
              <w:t>）</w:t>
            </w:r>
            <w:r w:rsidRPr="00311DCA">
              <w:rPr>
                <w:rFonts w:eastAsia="仿宋_GB2312" w:hint="eastAsia"/>
                <w:szCs w:val="24"/>
              </w:rPr>
              <w:t>审</w:t>
            </w:r>
            <w:r w:rsidRPr="00311DCA">
              <w:rPr>
                <w:rFonts w:eastAsia="仿宋_GB2312"/>
                <w:szCs w:val="24"/>
              </w:rPr>
              <w:t>查总平面布置、主要工艺流程的合理性。</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w:t>
            </w:r>
            <w:r w:rsidRPr="00311DCA">
              <w:rPr>
                <w:rFonts w:eastAsia="仿宋_GB2312"/>
                <w:szCs w:val="24"/>
              </w:rPr>
              <w:t>4</w:t>
            </w:r>
            <w:r w:rsidRPr="00311DCA">
              <w:rPr>
                <w:rFonts w:eastAsia="仿宋_GB2312"/>
                <w:szCs w:val="24"/>
              </w:rPr>
              <w:t>）</w:t>
            </w:r>
            <w:r w:rsidRPr="00311DCA">
              <w:rPr>
                <w:rFonts w:eastAsia="仿宋_GB2312" w:hint="eastAsia"/>
                <w:szCs w:val="24"/>
              </w:rPr>
              <w:t>审</w:t>
            </w:r>
            <w:r w:rsidRPr="00311DCA">
              <w:rPr>
                <w:rFonts w:eastAsia="仿宋_GB2312"/>
                <w:szCs w:val="24"/>
              </w:rPr>
              <w:t>查地基基础、主体结构的合理性、安全稳定性。</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w:t>
            </w:r>
            <w:r w:rsidRPr="00311DCA">
              <w:rPr>
                <w:rFonts w:eastAsia="仿宋_GB2312"/>
                <w:szCs w:val="24"/>
              </w:rPr>
              <w:t>5</w:t>
            </w:r>
            <w:r w:rsidRPr="00311DCA">
              <w:rPr>
                <w:rFonts w:eastAsia="仿宋_GB2312"/>
                <w:szCs w:val="24"/>
              </w:rPr>
              <w:t>）</w:t>
            </w:r>
            <w:r w:rsidRPr="00311DCA">
              <w:rPr>
                <w:rFonts w:eastAsia="仿宋_GB2312" w:hint="eastAsia"/>
                <w:szCs w:val="24"/>
              </w:rPr>
              <w:t>审</w:t>
            </w:r>
            <w:r w:rsidRPr="00311DCA">
              <w:rPr>
                <w:rFonts w:eastAsia="仿宋_GB2312"/>
                <w:szCs w:val="24"/>
              </w:rPr>
              <w:t>查消防、环境保护、节能、职业卫生、安全等涉及公共安全、公众利益的工程措施执行相关部门的意见情况。</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w:t>
            </w:r>
            <w:r w:rsidRPr="00311DCA">
              <w:rPr>
                <w:rFonts w:eastAsia="仿宋_GB2312"/>
                <w:szCs w:val="24"/>
              </w:rPr>
              <w:t>6</w:t>
            </w:r>
            <w:r w:rsidRPr="00311DCA">
              <w:rPr>
                <w:rFonts w:eastAsia="仿宋_GB2312"/>
                <w:szCs w:val="24"/>
              </w:rPr>
              <w:t>）</w:t>
            </w:r>
            <w:r w:rsidRPr="00311DCA">
              <w:rPr>
                <w:rFonts w:eastAsia="仿宋_GB2312" w:hint="eastAsia"/>
                <w:szCs w:val="24"/>
              </w:rPr>
              <w:t>审</w:t>
            </w:r>
            <w:r w:rsidRPr="00311DCA">
              <w:rPr>
                <w:rFonts w:eastAsia="仿宋_GB2312"/>
                <w:szCs w:val="24"/>
              </w:rPr>
              <w:t>查工程概算的编制依据和方法的合理性，对工程概算提出调整意见。</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 xml:space="preserve">2. </w:t>
            </w:r>
            <w:r w:rsidRPr="00311DCA">
              <w:rPr>
                <w:rFonts w:eastAsia="仿宋_GB2312" w:hint="eastAsia"/>
                <w:szCs w:val="24"/>
              </w:rPr>
              <w:t>会审是组织人员进行</w:t>
            </w:r>
            <w:r w:rsidRPr="00311DCA">
              <w:rPr>
                <w:rFonts w:eastAsia="仿宋_GB2312"/>
                <w:szCs w:val="24"/>
              </w:rPr>
              <w:t>现场审查</w:t>
            </w:r>
            <w:r w:rsidRPr="00311DCA">
              <w:rPr>
                <w:rFonts w:eastAsia="仿宋_GB2312" w:hint="eastAsia"/>
                <w:szCs w:val="24"/>
              </w:rPr>
              <w:t>并</w:t>
            </w:r>
            <w:r w:rsidRPr="00311DCA">
              <w:rPr>
                <w:rFonts w:eastAsia="仿宋_GB2312"/>
                <w:szCs w:val="24"/>
              </w:rPr>
              <w:t>听取设计单位的设计情况汇报，</w:t>
            </w:r>
            <w:r w:rsidRPr="00311DCA">
              <w:rPr>
                <w:rFonts w:eastAsia="仿宋_GB2312" w:hint="eastAsia"/>
                <w:szCs w:val="24"/>
              </w:rPr>
              <w:t>对预审相关内容进行技术核查，并形成技术审查报告</w:t>
            </w:r>
            <w:proofErr w:type="gramStart"/>
            <w:r w:rsidRPr="00311DCA">
              <w:rPr>
                <w:rFonts w:eastAsia="仿宋_GB2312" w:hint="eastAsia"/>
                <w:szCs w:val="24"/>
              </w:rPr>
              <w:t>提交部</w:t>
            </w:r>
            <w:proofErr w:type="gramEnd"/>
            <w:r w:rsidRPr="00311DCA">
              <w:rPr>
                <w:rFonts w:eastAsia="仿宋_GB2312" w:hint="eastAsia"/>
                <w:szCs w:val="24"/>
              </w:rPr>
              <w:t>主办司局。</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lastRenderedPageBreak/>
              <w:t xml:space="preserve">3. </w:t>
            </w:r>
            <w:r w:rsidRPr="00311DCA">
              <w:rPr>
                <w:rFonts w:eastAsia="仿宋_GB2312" w:hint="eastAsia"/>
                <w:szCs w:val="24"/>
              </w:rPr>
              <w:t>复审</w:t>
            </w:r>
            <w:r w:rsidRPr="00311DCA">
              <w:rPr>
                <w:rFonts w:eastAsia="仿宋_GB2312"/>
                <w:szCs w:val="24"/>
              </w:rPr>
              <w:t>是对初步设计文件（修改稿）进行复核，并向</w:t>
            </w:r>
            <w:r w:rsidRPr="00311DCA">
              <w:rPr>
                <w:rFonts w:eastAsia="仿宋_GB2312" w:hint="eastAsia"/>
                <w:szCs w:val="24"/>
              </w:rPr>
              <w:t>部主办司局</w:t>
            </w:r>
            <w:r w:rsidRPr="00311DCA">
              <w:rPr>
                <w:rFonts w:eastAsia="仿宋_GB2312"/>
                <w:szCs w:val="24"/>
              </w:rPr>
              <w:t>提交复核意见。</w:t>
            </w:r>
          </w:p>
        </w:tc>
      </w:tr>
      <w:tr w:rsidR="00163D24" w:rsidRPr="00311DCA" w:rsidTr="00473E88">
        <w:tc>
          <w:tcPr>
            <w:tcW w:w="489" w:type="pct"/>
            <w:vAlign w:val="center"/>
          </w:tcPr>
          <w:p w:rsidR="00163D24" w:rsidRPr="00311DCA" w:rsidRDefault="00163D24" w:rsidP="00473E88">
            <w:pPr>
              <w:snapToGrid w:val="0"/>
              <w:spacing w:beforeLines="25" w:before="78" w:afterLines="25" w:after="78"/>
              <w:jc w:val="center"/>
              <w:rPr>
                <w:rFonts w:eastAsia="仿宋_GB2312"/>
                <w:szCs w:val="24"/>
              </w:rPr>
            </w:pPr>
            <w:r w:rsidRPr="00311DCA">
              <w:rPr>
                <w:rFonts w:eastAsia="仿宋_GB2312" w:hint="eastAsia"/>
                <w:szCs w:val="24"/>
              </w:rPr>
              <w:lastRenderedPageBreak/>
              <w:t>4</w:t>
            </w:r>
          </w:p>
        </w:tc>
        <w:tc>
          <w:tcPr>
            <w:tcW w:w="952" w:type="pct"/>
            <w:vAlign w:val="center"/>
          </w:tcPr>
          <w:p w:rsidR="00163D24" w:rsidRPr="00311DCA" w:rsidRDefault="00163D24" w:rsidP="00473E88">
            <w:pPr>
              <w:snapToGrid w:val="0"/>
              <w:spacing w:beforeLines="25" w:before="78" w:afterLines="25" w:after="78"/>
              <w:jc w:val="left"/>
              <w:rPr>
                <w:rFonts w:eastAsia="仿宋_GB2312"/>
                <w:szCs w:val="24"/>
              </w:rPr>
            </w:pPr>
            <w:r w:rsidRPr="00311DCA">
              <w:rPr>
                <w:rFonts w:eastAsia="仿宋_GB2312" w:hint="eastAsia"/>
                <w:szCs w:val="24"/>
              </w:rPr>
              <w:t>技术复杂的支持系统</w:t>
            </w:r>
            <w:r w:rsidRPr="00311DCA">
              <w:rPr>
                <w:rFonts w:eastAsia="仿宋_GB2312"/>
                <w:szCs w:val="24"/>
              </w:rPr>
              <w:t>建设项目初步设计文件</w:t>
            </w:r>
          </w:p>
        </w:tc>
        <w:tc>
          <w:tcPr>
            <w:tcW w:w="1203" w:type="pct"/>
            <w:vAlign w:val="center"/>
          </w:tcPr>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1.</w:t>
            </w:r>
            <w:r w:rsidRPr="00311DCA">
              <w:rPr>
                <w:rFonts w:eastAsia="仿宋_GB2312"/>
                <w:szCs w:val="24"/>
              </w:rPr>
              <w:t>具有</w:t>
            </w:r>
            <w:r w:rsidRPr="00311DCA">
              <w:rPr>
                <w:rFonts w:eastAsia="仿宋_GB2312" w:hint="eastAsia"/>
                <w:szCs w:val="24"/>
              </w:rPr>
              <w:t>所申请专业的甲级工程设计</w:t>
            </w:r>
            <w:r w:rsidRPr="00311DCA">
              <w:rPr>
                <w:rFonts w:eastAsia="仿宋_GB2312"/>
                <w:szCs w:val="24"/>
              </w:rPr>
              <w:t>资质</w:t>
            </w:r>
            <w:r w:rsidR="006714DB">
              <w:rPr>
                <w:rFonts w:eastAsia="仿宋_GB2312"/>
                <w:szCs w:val="24"/>
              </w:rPr>
              <w:t>。</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2.</w:t>
            </w:r>
            <w:r w:rsidRPr="00311DCA">
              <w:rPr>
                <w:rFonts w:eastAsia="仿宋_GB2312"/>
                <w:szCs w:val="24"/>
              </w:rPr>
              <w:t>专职从事所申请专业的高级职称专业技术人员不少于</w:t>
            </w:r>
            <w:r w:rsidRPr="00311DCA">
              <w:rPr>
                <w:rFonts w:eastAsia="仿宋_GB2312"/>
                <w:szCs w:val="24"/>
              </w:rPr>
              <w:t>10</w:t>
            </w:r>
            <w:r w:rsidRPr="00311DCA">
              <w:rPr>
                <w:rFonts w:eastAsia="仿宋_GB2312"/>
                <w:szCs w:val="24"/>
              </w:rPr>
              <w:t>人</w:t>
            </w:r>
            <w:r w:rsidR="006714DB">
              <w:rPr>
                <w:rFonts w:eastAsia="仿宋_GB2312"/>
                <w:szCs w:val="24"/>
              </w:rPr>
              <w:t>。</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3.</w:t>
            </w:r>
            <w:r w:rsidRPr="00311DCA">
              <w:rPr>
                <w:rFonts w:eastAsia="仿宋_GB2312"/>
                <w:szCs w:val="24"/>
              </w:rPr>
              <w:t>承担过</w:t>
            </w:r>
            <w:r w:rsidRPr="00311DCA">
              <w:rPr>
                <w:rFonts w:eastAsia="仿宋_GB2312" w:hint="eastAsia"/>
                <w:szCs w:val="24"/>
              </w:rPr>
              <w:t>所申请专业建设项目的初步设计文件编制任务。</w:t>
            </w:r>
          </w:p>
        </w:tc>
        <w:tc>
          <w:tcPr>
            <w:tcW w:w="2356" w:type="pct"/>
            <w:vAlign w:val="center"/>
          </w:tcPr>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一般包括预审、会审和复审三个阶段。</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hint="eastAsia"/>
                <w:szCs w:val="24"/>
              </w:rPr>
              <w:t>1</w:t>
            </w:r>
            <w:r w:rsidRPr="00311DCA">
              <w:rPr>
                <w:rFonts w:eastAsia="仿宋_GB2312"/>
                <w:szCs w:val="24"/>
              </w:rPr>
              <w:t xml:space="preserve">. </w:t>
            </w:r>
            <w:r w:rsidRPr="00311DCA">
              <w:rPr>
                <w:rFonts w:eastAsia="仿宋_GB2312" w:hint="eastAsia"/>
                <w:szCs w:val="24"/>
              </w:rPr>
              <w:t>预审是技术咨询机构组织本单位工作人员对初步设计文件进行的技术审查，包括如下内容：</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hint="eastAsia"/>
                <w:szCs w:val="24"/>
              </w:rPr>
              <w:t>（</w:t>
            </w:r>
            <w:r w:rsidRPr="00311DCA">
              <w:rPr>
                <w:rFonts w:eastAsia="仿宋_GB2312" w:hint="eastAsia"/>
                <w:szCs w:val="24"/>
              </w:rPr>
              <w:t>1</w:t>
            </w:r>
            <w:r w:rsidRPr="00311DCA">
              <w:rPr>
                <w:rFonts w:eastAsia="仿宋_GB2312" w:hint="eastAsia"/>
                <w:szCs w:val="24"/>
              </w:rPr>
              <w:t>）审查工程建设规模和内容与核准文件的符合性</w:t>
            </w:r>
            <w:r w:rsidR="006714DB">
              <w:rPr>
                <w:rFonts w:eastAsia="仿宋_GB2312" w:hint="eastAsia"/>
                <w:szCs w:val="24"/>
              </w:rPr>
              <w:t>。</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hint="eastAsia"/>
                <w:szCs w:val="24"/>
              </w:rPr>
              <w:t>（</w:t>
            </w:r>
            <w:r w:rsidRPr="00311DCA">
              <w:rPr>
                <w:rFonts w:eastAsia="仿宋_GB2312" w:hint="eastAsia"/>
                <w:szCs w:val="24"/>
              </w:rPr>
              <w:t>2</w:t>
            </w:r>
            <w:r w:rsidRPr="00311DCA">
              <w:rPr>
                <w:rFonts w:eastAsia="仿宋_GB2312" w:hint="eastAsia"/>
                <w:szCs w:val="24"/>
              </w:rPr>
              <w:t>）审查初步设计执行强制性标准情况</w:t>
            </w:r>
            <w:r w:rsidR="006714DB">
              <w:rPr>
                <w:rFonts w:eastAsia="仿宋_GB2312" w:hint="eastAsia"/>
                <w:szCs w:val="24"/>
              </w:rPr>
              <w:t>。</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hint="eastAsia"/>
                <w:szCs w:val="24"/>
              </w:rPr>
              <w:t>（</w:t>
            </w:r>
            <w:r w:rsidRPr="00311DCA">
              <w:rPr>
                <w:rFonts w:eastAsia="仿宋_GB2312" w:hint="eastAsia"/>
                <w:szCs w:val="24"/>
              </w:rPr>
              <w:t>3</w:t>
            </w:r>
            <w:r w:rsidRPr="00311DCA">
              <w:rPr>
                <w:rFonts w:eastAsia="仿宋_GB2312" w:hint="eastAsia"/>
                <w:szCs w:val="24"/>
              </w:rPr>
              <w:t>）审查技术方案的合理性</w:t>
            </w:r>
            <w:r w:rsidR="006714DB">
              <w:rPr>
                <w:rFonts w:eastAsia="仿宋_GB2312" w:hint="eastAsia"/>
                <w:szCs w:val="24"/>
              </w:rPr>
              <w:t>。</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hint="eastAsia"/>
                <w:szCs w:val="24"/>
              </w:rPr>
              <w:t>（</w:t>
            </w:r>
            <w:r w:rsidRPr="00311DCA">
              <w:rPr>
                <w:rFonts w:eastAsia="仿宋_GB2312" w:hint="eastAsia"/>
                <w:szCs w:val="24"/>
              </w:rPr>
              <w:t>4</w:t>
            </w:r>
            <w:r w:rsidRPr="00311DCA">
              <w:rPr>
                <w:rFonts w:eastAsia="仿宋_GB2312" w:hint="eastAsia"/>
                <w:szCs w:val="24"/>
              </w:rPr>
              <w:t>）审查消防、环境保护、节能等涉及公共安全、公众利益的工程措施执行相关部门的意见情况</w:t>
            </w:r>
            <w:r w:rsidR="006714DB">
              <w:rPr>
                <w:rFonts w:eastAsia="仿宋_GB2312" w:hint="eastAsia"/>
                <w:szCs w:val="24"/>
              </w:rPr>
              <w:t>。</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hint="eastAsia"/>
                <w:szCs w:val="24"/>
              </w:rPr>
              <w:t>（</w:t>
            </w:r>
            <w:r w:rsidRPr="00311DCA">
              <w:rPr>
                <w:rFonts w:eastAsia="仿宋_GB2312" w:hint="eastAsia"/>
                <w:szCs w:val="24"/>
              </w:rPr>
              <w:t>5</w:t>
            </w:r>
            <w:r w:rsidRPr="00311DCA">
              <w:rPr>
                <w:rFonts w:eastAsia="仿宋_GB2312" w:hint="eastAsia"/>
                <w:szCs w:val="24"/>
              </w:rPr>
              <w:t>）核查工程概算的编制依据和方法的合理性，对工程概算提出调整意见。</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hint="eastAsia"/>
                <w:szCs w:val="24"/>
              </w:rPr>
              <w:t>2</w:t>
            </w:r>
            <w:r w:rsidRPr="00311DCA">
              <w:rPr>
                <w:rFonts w:eastAsia="仿宋_GB2312"/>
                <w:szCs w:val="24"/>
              </w:rPr>
              <w:t xml:space="preserve">. </w:t>
            </w:r>
            <w:r w:rsidRPr="00311DCA">
              <w:rPr>
                <w:rFonts w:eastAsia="仿宋_GB2312" w:hint="eastAsia"/>
                <w:szCs w:val="24"/>
              </w:rPr>
              <w:t>会审是组织人员进行现场审查并听取设计单位的设计情况汇报，对设计文件和预审结果进行评审。</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hint="eastAsia"/>
                <w:szCs w:val="24"/>
              </w:rPr>
              <w:t>3</w:t>
            </w:r>
            <w:r w:rsidRPr="00311DCA">
              <w:rPr>
                <w:rFonts w:eastAsia="仿宋_GB2312"/>
                <w:szCs w:val="24"/>
              </w:rPr>
              <w:t xml:space="preserve">. </w:t>
            </w:r>
            <w:r w:rsidRPr="00311DCA">
              <w:rPr>
                <w:rFonts w:eastAsia="仿宋_GB2312" w:hint="eastAsia"/>
                <w:szCs w:val="24"/>
              </w:rPr>
              <w:t>复审是对初步设计文件（修改稿）进行复核，并向部主办司局提交最终的技术咨询报告。</w:t>
            </w:r>
          </w:p>
        </w:tc>
      </w:tr>
      <w:tr w:rsidR="00163D24" w:rsidRPr="00311DCA" w:rsidTr="00473E88">
        <w:tc>
          <w:tcPr>
            <w:tcW w:w="489" w:type="pct"/>
            <w:vAlign w:val="center"/>
          </w:tcPr>
          <w:p w:rsidR="00163D24" w:rsidRPr="00311DCA" w:rsidRDefault="00163D24" w:rsidP="00473E88">
            <w:pPr>
              <w:snapToGrid w:val="0"/>
              <w:spacing w:beforeLines="25" w:before="78" w:afterLines="25" w:after="78"/>
              <w:jc w:val="center"/>
              <w:rPr>
                <w:rFonts w:eastAsia="仿宋_GB2312"/>
                <w:szCs w:val="24"/>
              </w:rPr>
            </w:pPr>
            <w:r w:rsidRPr="00311DCA">
              <w:rPr>
                <w:rFonts w:eastAsia="仿宋_GB2312"/>
                <w:szCs w:val="24"/>
              </w:rPr>
              <w:t>5</w:t>
            </w:r>
          </w:p>
        </w:tc>
        <w:tc>
          <w:tcPr>
            <w:tcW w:w="952" w:type="pct"/>
            <w:vAlign w:val="center"/>
          </w:tcPr>
          <w:p w:rsidR="00163D24" w:rsidRPr="00311DCA" w:rsidRDefault="00163D24" w:rsidP="00473E88">
            <w:pPr>
              <w:snapToGrid w:val="0"/>
              <w:spacing w:beforeLines="25" w:before="78" w:afterLines="25" w:after="78"/>
              <w:jc w:val="left"/>
              <w:rPr>
                <w:rFonts w:eastAsia="仿宋_GB2312"/>
                <w:szCs w:val="24"/>
              </w:rPr>
            </w:pPr>
            <w:r w:rsidRPr="00311DCA">
              <w:rPr>
                <w:rFonts w:eastAsia="仿宋_GB2312"/>
                <w:szCs w:val="24"/>
              </w:rPr>
              <w:t>航道通航条件影响评价报告</w:t>
            </w:r>
          </w:p>
        </w:tc>
        <w:tc>
          <w:tcPr>
            <w:tcW w:w="1203" w:type="pct"/>
            <w:vAlign w:val="center"/>
          </w:tcPr>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hint="eastAsia"/>
                <w:szCs w:val="24"/>
              </w:rPr>
              <w:t>具有水运行业（含港口河海工程）甲级资信等级或</w:t>
            </w:r>
            <w:r w:rsidRPr="00311DCA">
              <w:rPr>
                <w:rFonts w:eastAsia="仿宋_GB2312"/>
                <w:szCs w:val="24"/>
              </w:rPr>
              <w:t>水运</w:t>
            </w:r>
            <w:proofErr w:type="gramStart"/>
            <w:r w:rsidRPr="00311DCA">
              <w:rPr>
                <w:rFonts w:eastAsia="仿宋_GB2312"/>
                <w:szCs w:val="24"/>
              </w:rPr>
              <w:t>行业甲级</w:t>
            </w:r>
            <w:proofErr w:type="gramEnd"/>
            <w:r w:rsidRPr="00311DCA">
              <w:rPr>
                <w:rFonts w:eastAsia="仿宋_GB2312" w:hint="eastAsia"/>
                <w:szCs w:val="24"/>
              </w:rPr>
              <w:t>工程</w:t>
            </w:r>
            <w:r w:rsidRPr="00311DCA">
              <w:rPr>
                <w:rFonts w:eastAsia="仿宋_GB2312"/>
                <w:szCs w:val="24"/>
              </w:rPr>
              <w:t>设计资质，或水运行业（航道工程）甲级</w:t>
            </w:r>
            <w:r w:rsidRPr="00311DCA">
              <w:rPr>
                <w:rFonts w:eastAsia="仿宋_GB2312" w:hint="eastAsia"/>
                <w:szCs w:val="24"/>
              </w:rPr>
              <w:t>工程</w:t>
            </w:r>
            <w:r w:rsidRPr="00311DCA">
              <w:rPr>
                <w:rFonts w:eastAsia="仿宋_GB2312"/>
                <w:szCs w:val="24"/>
              </w:rPr>
              <w:t>设计资质。</w:t>
            </w:r>
          </w:p>
          <w:p w:rsidR="00163D24" w:rsidRPr="00311DCA" w:rsidRDefault="00163D24" w:rsidP="00473E88">
            <w:pPr>
              <w:snapToGrid w:val="0"/>
              <w:spacing w:beforeLines="25" w:before="78" w:afterLines="25" w:after="78"/>
              <w:ind w:firstLineChars="200" w:firstLine="420"/>
              <w:jc w:val="left"/>
              <w:rPr>
                <w:rFonts w:eastAsia="仿宋_GB2312"/>
                <w:szCs w:val="24"/>
              </w:rPr>
            </w:pPr>
          </w:p>
        </w:tc>
        <w:tc>
          <w:tcPr>
            <w:tcW w:w="2356" w:type="pct"/>
            <w:vAlign w:val="center"/>
          </w:tcPr>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一般包括预审、会审和复审三个阶段。</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hint="eastAsia"/>
                <w:szCs w:val="24"/>
              </w:rPr>
              <w:t>1</w:t>
            </w:r>
            <w:r w:rsidRPr="00311DCA">
              <w:rPr>
                <w:rFonts w:eastAsia="仿宋_GB2312"/>
                <w:szCs w:val="24"/>
              </w:rPr>
              <w:t>.</w:t>
            </w:r>
            <w:r w:rsidRPr="00311DCA">
              <w:rPr>
                <w:rFonts w:eastAsia="仿宋_GB2312" w:hint="eastAsia"/>
                <w:szCs w:val="24"/>
              </w:rPr>
              <w:t>预审一般包括评价材料复核和现场踏勘两个环节。</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hint="eastAsia"/>
                <w:szCs w:val="24"/>
              </w:rPr>
              <w:t>评价材料复核是</w:t>
            </w:r>
            <w:r w:rsidRPr="00311DCA">
              <w:rPr>
                <w:rFonts w:eastAsia="仿宋_GB2312"/>
                <w:szCs w:val="24"/>
              </w:rPr>
              <w:t>复核项目水文、河床（海床）演变、通航水位</w:t>
            </w:r>
            <w:r w:rsidRPr="00311DCA">
              <w:rPr>
                <w:rFonts w:eastAsia="仿宋_GB2312" w:hint="eastAsia"/>
                <w:szCs w:val="24"/>
              </w:rPr>
              <w:t>，航道等级和代表船型</w:t>
            </w:r>
            <w:r w:rsidRPr="00311DCA">
              <w:rPr>
                <w:rFonts w:eastAsia="仿宋_GB2312"/>
                <w:szCs w:val="24"/>
              </w:rPr>
              <w:t>，工程选址论证，通航净空尺度及工程布置方案，航道条件与通航安全影响及保障措施等。</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现场踏勘是根据工程项目特点和审核需要，组织专家和单位代表，查看工程现场，进一步复核工程选址、航道条件和通航环境等内容。</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lastRenderedPageBreak/>
              <w:t xml:space="preserve">2. </w:t>
            </w:r>
            <w:r w:rsidRPr="00311DCA">
              <w:rPr>
                <w:rFonts w:eastAsia="仿宋_GB2312" w:hint="eastAsia"/>
                <w:szCs w:val="24"/>
              </w:rPr>
              <w:t>会审是</w:t>
            </w:r>
            <w:r w:rsidRPr="00311DCA">
              <w:rPr>
                <w:rFonts w:eastAsia="仿宋_GB2312"/>
                <w:szCs w:val="24"/>
              </w:rPr>
              <w:t>组织特邀专家</w:t>
            </w:r>
            <w:r w:rsidRPr="00311DCA">
              <w:rPr>
                <w:rFonts w:eastAsia="仿宋_GB2312" w:hint="eastAsia"/>
                <w:szCs w:val="24"/>
              </w:rPr>
              <w:t>组成专家评审组，与相关</w:t>
            </w:r>
            <w:r w:rsidRPr="00311DCA">
              <w:rPr>
                <w:rFonts w:eastAsia="仿宋_GB2312"/>
                <w:szCs w:val="24"/>
              </w:rPr>
              <w:t>单位代表以会议形式对项目进行审核。</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与会人员的数量根据项目性质确定，一般应包括行业领域专家库成员，熟悉当地航道、海事、水文情况的资深专家或船长以及相关单位代表。</w:t>
            </w:r>
            <w:r w:rsidRPr="00311DCA">
              <w:rPr>
                <w:rFonts w:eastAsia="仿宋_GB2312" w:hint="eastAsia"/>
                <w:szCs w:val="24"/>
              </w:rPr>
              <w:t>技术问题相对较少的项目，可以适当简化程序，结合现场踏勘，以技术咨询机构现场会议的方式进行审查。</w:t>
            </w:r>
          </w:p>
          <w:p w:rsidR="00163D24" w:rsidRPr="00311DCA" w:rsidRDefault="00163D24" w:rsidP="00473E88">
            <w:pPr>
              <w:snapToGrid w:val="0"/>
              <w:spacing w:beforeLines="25" w:before="78" w:afterLines="25" w:after="78"/>
              <w:ind w:firstLineChars="200" w:firstLine="420"/>
              <w:jc w:val="left"/>
              <w:rPr>
                <w:rFonts w:eastAsia="仿宋_GB2312"/>
                <w:szCs w:val="24"/>
              </w:rPr>
            </w:pPr>
            <w:r w:rsidRPr="00311DCA">
              <w:rPr>
                <w:rFonts w:eastAsia="仿宋_GB2312"/>
                <w:szCs w:val="24"/>
              </w:rPr>
              <w:t xml:space="preserve">3. </w:t>
            </w:r>
            <w:r w:rsidRPr="00311DCA">
              <w:rPr>
                <w:rFonts w:eastAsia="仿宋_GB2312" w:hint="eastAsia"/>
                <w:szCs w:val="24"/>
              </w:rPr>
              <w:t>复审</w:t>
            </w:r>
            <w:r w:rsidRPr="00311DCA">
              <w:rPr>
                <w:rFonts w:eastAsia="仿宋_GB2312"/>
                <w:szCs w:val="24"/>
              </w:rPr>
              <w:t>是对会审后修改完善的补充报告进行复核。</w:t>
            </w:r>
          </w:p>
        </w:tc>
      </w:tr>
    </w:tbl>
    <w:p w:rsidR="00B91F55" w:rsidRPr="00AB19EE" w:rsidRDefault="00B91F55" w:rsidP="0055337A">
      <w:pPr>
        <w:snapToGrid w:val="0"/>
        <w:spacing w:line="480" w:lineRule="exact"/>
        <w:jc w:val="left"/>
      </w:pPr>
    </w:p>
    <w:sectPr w:rsidR="00B91F55" w:rsidRPr="00AB19EE" w:rsidSect="0055337A">
      <w:headerReference w:type="even" r:id="rId7"/>
      <w:headerReference w:type="default" r:id="rId8"/>
      <w:footerReference w:type="even" r:id="rId9"/>
      <w:footerReference w:type="default" r:id="rId10"/>
      <w:headerReference w:type="first" r:id="rId11"/>
      <w:footerReference w:type="first" r:id="rId12"/>
      <w:pgSz w:w="16838" w:h="11906" w:orient="landscape"/>
      <w:pgMar w:top="1797" w:right="1440" w:bottom="1797" w:left="1440"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6DF" w:rsidRDefault="00A536DF" w:rsidP="00FA1C8F">
      <w:pPr>
        <w:ind w:firstLine="640"/>
      </w:pPr>
      <w:r>
        <w:separator/>
      </w:r>
    </w:p>
  </w:endnote>
  <w:endnote w:type="continuationSeparator" w:id="0">
    <w:p w:rsidR="00A536DF" w:rsidRDefault="00A536DF" w:rsidP="00FA1C8F">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8F" w:rsidRDefault="00FA1C8F" w:rsidP="00FA1C8F">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8F" w:rsidRDefault="00FA1C8F" w:rsidP="00FA1C8F">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8F" w:rsidRDefault="00FA1C8F" w:rsidP="00FA1C8F">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6DF" w:rsidRDefault="00A536DF" w:rsidP="00FA1C8F">
      <w:pPr>
        <w:ind w:firstLine="640"/>
      </w:pPr>
      <w:r>
        <w:separator/>
      </w:r>
    </w:p>
  </w:footnote>
  <w:footnote w:type="continuationSeparator" w:id="0">
    <w:p w:rsidR="00A536DF" w:rsidRDefault="00A536DF" w:rsidP="00FA1C8F">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8F" w:rsidRDefault="00FA1C8F" w:rsidP="00FA1C8F">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8F" w:rsidRDefault="00FA1C8F" w:rsidP="00FA1C8F">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8F" w:rsidRDefault="00FA1C8F" w:rsidP="00FA1C8F">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86"/>
    <w:rsid w:val="00072649"/>
    <w:rsid w:val="000B1336"/>
    <w:rsid w:val="000D0A23"/>
    <w:rsid w:val="000F69F2"/>
    <w:rsid w:val="00163D24"/>
    <w:rsid w:val="00167CDC"/>
    <w:rsid w:val="001A7395"/>
    <w:rsid w:val="001F5DD1"/>
    <w:rsid w:val="002007AC"/>
    <w:rsid w:val="00302159"/>
    <w:rsid w:val="00317008"/>
    <w:rsid w:val="004D359B"/>
    <w:rsid w:val="0055337A"/>
    <w:rsid w:val="005E059A"/>
    <w:rsid w:val="006714DB"/>
    <w:rsid w:val="006C5A34"/>
    <w:rsid w:val="006E226B"/>
    <w:rsid w:val="007F3BA4"/>
    <w:rsid w:val="00854367"/>
    <w:rsid w:val="00897EE1"/>
    <w:rsid w:val="008A385F"/>
    <w:rsid w:val="008C754E"/>
    <w:rsid w:val="009021DB"/>
    <w:rsid w:val="00905601"/>
    <w:rsid w:val="009B27B6"/>
    <w:rsid w:val="00A02B5C"/>
    <w:rsid w:val="00A536DF"/>
    <w:rsid w:val="00AB19EE"/>
    <w:rsid w:val="00AB4528"/>
    <w:rsid w:val="00AC074F"/>
    <w:rsid w:val="00B91F55"/>
    <w:rsid w:val="00D5043D"/>
    <w:rsid w:val="00DC03C7"/>
    <w:rsid w:val="00DE0D0D"/>
    <w:rsid w:val="00DF7886"/>
    <w:rsid w:val="00EF1EB1"/>
    <w:rsid w:val="00F31B9D"/>
    <w:rsid w:val="00FA1C8F"/>
    <w:rsid w:val="00FF3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7F29F2-4219-4E2A-8A5C-AB4E8813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9EE"/>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897EE1"/>
    <w:pPr>
      <w:keepNext/>
      <w:keepLines/>
      <w:ind w:firstLineChars="200" w:firstLine="200"/>
      <w:outlineLvl w:val="0"/>
    </w:pPr>
    <w:rPr>
      <w:rFonts w:asciiTheme="minorHAnsi" w:eastAsia="黑体" w:hAnsiTheme="minorHAnsi" w:cstheme="minorBidi"/>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97EE1"/>
    <w:rPr>
      <w:rFonts w:eastAsia="黑体"/>
      <w:b/>
      <w:bCs/>
      <w:kern w:val="44"/>
      <w:sz w:val="32"/>
      <w:szCs w:val="44"/>
    </w:rPr>
  </w:style>
  <w:style w:type="paragraph" w:styleId="a3">
    <w:name w:val="header"/>
    <w:basedOn w:val="a"/>
    <w:link w:val="Char"/>
    <w:uiPriority w:val="99"/>
    <w:unhideWhenUsed/>
    <w:rsid w:val="00FA1C8F"/>
    <w:pPr>
      <w:widowControl/>
      <w:pBdr>
        <w:bottom w:val="single" w:sz="6" w:space="1" w:color="auto"/>
      </w:pBdr>
      <w:tabs>
        <w:tab w:val="center" w:pos="4153"/>
        <w:tab w:val="right" w:pos="8306"/>
      </w:tabs>
      <w:snapToGrid w:val="0"/>
      <w:ind w:firstLineChars="200" w:firstLine="200"/>
      <w:jc w:val="center"/>
    </w:pPr>
    <w:rPr>
      <w:rFonts w:asciiTheme="majorHAnsi" w:eastAsia="仿宋_GB2312" w:hAnsiTheme="majorHAnsi" w:cstheme="majorBidi"/>
      <w:kern w:val="0"/>
      <w:sz w:val="18"/>
      <w:szCs w:val="18"/>
    </w:rPr>
  </w:style>
  <w:style w:type="character" w:customStyle="1" w:styleId="Char">
    <w:name w:val="页眉 Char"/>
    <w:basedOn w:val="a0"/>
    <w:link w:val="a3"/>
    <w:uiPriority w:val="99"/>
    <w:rsid w:val="00FA1C8F"/>
    <w:rPr>
      <w:rFonts w:asciiTheme="majorHAnsi" w:eastAsia="仿宋_GB2312" w:hAnsiTheme="majorHAnsi" w:cstheme="majorBidi"/>
      <w:kern w:val="0"/>
      <w:sz w:val="18"/>
      <w:szCs w:val="18"/>
    </w:rPr>
  </w:style>
  <w:style w:type="paragraph" w:styleId="a4">
    <w:name w:val="footer"/>
    <w:basedOn w:val="a"/>
    <w:link w:val="Char0"/>
    <w:uiPriority w:val="99"/>
    <w:unhideWhenUsed/>
    <w:rsid w:val="00FA1C8F"/>
    <w:pPr>
      <w:widowControl/>
      <w:tabs>
        <w:tab w:val="center" w:pos="4153"/>
        <w:tab w:val="right" w:pos="8306"/>
      </w:tabs>
      <w:snapToGrid w:val="0"/>
      <w:ind w:firstLineChars="200" w:firstLine="200"/>
      <w:jc w:val="left"/>
    </w:pPr>
    <w:rPr>
      <w:rFonts w:asciiTheme="majorHAnsi" w:eastAsia="仿宋_GB2312" w:hAnsiTheme="majorHAnsi" w:cstheme="majorBidi"/>
      <w:kern w:val="0"/>
      <w:sz w:val="18"/>
      <w:szCs w:val="18"/>
    </w:rPr>
  </w:style>
  <w:style w:type="character" w:customStyle="1" w:styleId="Char0">
    <w:name w:val="页脚 Char"/>
    <w:basedOn w:val="a0"/>
    <w:link w:val="a4"/>
    <w:uiPriority w:val="99"/>
    <w:rsid w:val="00FA1C8F"/>
    <w:rPr>
      <w:rFonts w:asciiTheme="majorHAnsi" w:eastAsia="仿宋_GB2312" w:hAnsiTheme="majorHAnsi" w:cstheme="majorBidi"/>
      <w:kern w:val="0"/>
      <w:sz w:val="18"/>
      <w:szCs w:val="18"/>
    </w:rPr>
  </w:style>
  <w:style w:type="paragraph" w:customStyle="1" w:styleId="10">
    <w:name w:val="普通(网站)1"/>
    <w:basedOn w:val="a"/>
    <w:rsid w:val="00AB19EE"/>
    <w:pPr>
      <w:spacing w:before="100" w:beforeAutospacing="1" w:after="100" w:afterAutospacing="1"/>
      <w:jc w:val="left"/>
    </w:pPr>
    <w:rPr>
      <w:rFonts w:ascii="Calibri" w:hAnsi="Calibri"/>
      <w:kern w:val="0"/>
      <w:sz w:val="24"/>
      <w:szCs w:val="24"/>
    </w:rPr>
  </w:style>
  <w:style w:type="paragraph" w:customStyle="1" w:styleId="CharCharCharCharCharCharChar">
    <w:name w:val="Char Char Char Char Char Char Char"/>
    <w:basedOn w:val="a"/>
    <w:rsid w:val="00AB19EE"/>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62030-D8E5-48C7-A7B5-A4B240731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乔春福</dc:creator>
  <cp:keywords/>
  <dc:description/>
  <cp:lastModifiedBy>USER</cp:lastModifiedBy>
  <cp:revision>3</cp:revision>
  <dcterms:created xsi:type="dcterms:W3CDTF">2020-01-20T01:21:00Z</dcterms:created>
  <dcterms:modified xsi:type="dcterms:W3CDTF">2020-01-20T01:23:00Z</dcterms:modified>
</cp:coreProperties>
</file>