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试点任务标志性成果清单</w:t>
      </w:r>
      <w:bookmarkEnd w:id="0"/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5176"/>
        <w:gridCol w:w="2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成果名称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成果属性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《我国专业学位研究生教育产教融合体系优化研究》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国家社科基金重点项目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《研究生教育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模式+机制+保障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”三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位一体要素式综合改革研究与实践》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5"/>
                <w:rFonts w:hAnsi="宋体"/>
                <w:sz w:val="28"/>
                <w:szCs w:val="28"/>
                <w:highlight w:val="none"/>
                <w:lang w:val="en-US" w:eastAsia="zh-CN" w:bidi="ar"/>
              </w:rPr>
              <w:t>国家教学成果奖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《三维交融、五链贯通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水路交通卓越研究生人才培养体系探索与实践》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5"/>
                <w:rFonts w:hAnsi="宋体"/>
                <w:sz w:val="28"/>
                <w:szCs w:val="28"/>
                <w:highlight w:val="none"/>
                <w:lang w:val="en-US" w:eastAsia="zh-CN" w:bidi="ar"/>
              </w:rPr>
              <w:t>国家教学成果奖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《基于学科交叉的世界一流材料学科研究生培养体系创建与实践》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5"/>
                <w:rFonts w:hAnsi="宋体"/>
                <w:sz w:val="28"/>
                <w:szCs w:val="28"/>
                <w:highlight w:val="none"/>
                <w:lang w:val="en-US" w:eastAsia="zh-CN" w:bidi="ar"/>
              </w:rPr>
              <w:t>国家教学成果奖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教材《智能运输系统、原理、方法及应用（第2版）》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全国教材建设二等奖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《新时代高校研究生教育发展方式转变研究》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中国学位与研究生教育重大课题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《教师教学能力和研究生创新能力培训提升》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教育部产教协同育人项目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《高校研究生教育综合改革研究》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湖北省教改重点课题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中国教育报《打造研究生教育产教融合理工模式》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国家级重要媒体宣传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《学位与研究生教育》杂志刊发《基于企业需求导向的产教融合研究生培养模式改革与实践》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国家级重要媒体宣传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rFonts w:hint="eastAsia"/>
          <w:highlight w:val="none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highlight w:val="none"/>
          <w:u w:val="none" w:color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53226D62"/>
    <w:rsid w:val="53226D62"/>
    <w:rsid w:val="59587923"/>
    <w:rsid w:val="7DF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2023-11-27T08:54:00Z</dcterms:created>
  <dc:creator> </dc:creator>
  <cp:lastModifiedBy> </cp:lastModifiedBy>
  <dcterms:modified xsi:type="dcterms:W3CDTF">2023-11-27T08:55:57Z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A73AC49F97824C09BFD26DC071D1A2A2_13</vt:lpwstr>
  </property>
</Properties>
</file>