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E5F26">
      <w:pPr>
        <w:adjustRightInd/>
        <w:snapToGrid/>
        <w:spacing w:line="580" w:lineRule="exact"/>
        <w:ind w:firstLine="640" w:firstLineChars="200"/>
        <w:jc w:val="both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2</w:t>
      </w:r>
    </w:p>
    <w:p w14:paraId="67091876">
      <w:pPr>
        <w:adjustRightInd w:val="0"/>
        <w:snapToGrid w:val="0"/>
        <w:spacing w:line="240" w:lineRule="auto"/>
        <w:jc w:val="center"/>
        <w:outlineLvl w:val="0"/>
        <w:rPr>
          <w:rFonts w:hint="default" w:ascii="Times New Roman" w:hAnsi="Times New Roman" w:cs="Times New Roman"/>
          <w:color w:val="auto"/>
          <w:sz w:val="44"/>
          <w:szCs w:val="44"/>
        </w:rPr>
      </w:pPr>
      <w:bookmarkStart w:id="6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试点任务典型经验</w:t>
      </w:r>
      <w:bookmarkEnd w:id="6"/>
    </w:p>
    <w:p w14:paraId="7BB77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44"/>
          <w:szCs w:val="44"/>
          <w:lang w:val="en-US" w:eastAsia="zh-CN"/>
        </w:rPr>
      </w:pPr>
      <w:bookmarkStart w:id="0" w:name="_Toc30462"/>
    </w:p>
    <w:p w14:paraId="07202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  <w:lang w:val="en-US" w:eastAsia="zh-CN"/>
        </w:rPr>
        <w:t>一、构建</w:t>
      </w: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“枢纽直联”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  <w:t>布局模式</w:t>
      </w:r>
      <w:bookmarkEnd w:id="0"/>
      <w:bookmarkStart w:id="1" w:name="_Toc19042"/>
    </w:p>
    <w:p w14:paraId="7C887F09">
      <w:pPr>
        <w:keepNext w:val="0"/>
        <w:keepLines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</w:rPr>
        <w:t>为破解交通枢纽各自独立、衔接不畅的问题，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构建以轨道交通为主导的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综合客运枢纽集群集疏运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体系。针对萧山机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场、杭州东站、杭州西站等门户型枢纽，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构建“三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shd w:val="clear" w:color="auto" w:fill="FFFFFF"/>
          <w:lang w:val="en-US" w:eastAsia="zh-CN"/>
        </w:rPr>
        <w:t>枢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一轴”格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局，新建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机场轨道快线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eastAsia="zh-CN"/>
        </w:rPr>
        <w:t>（轨道交通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19号线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highlight w:val="none"/>
          <w:lang w:val="en-US" w:eastAsia="zh-CN"/>
        </w:rPr>
        <w:t>实现萧山机场、杭州东站、杭州西站直连直通，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城市东西45分钟可达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6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相比其他地铁线路出行时间缩短20分钟以上。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</w:rPr>
        <w:t>杭州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</w:rPr>
        <w:t>建成和在建铁路车站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客运枢纽均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shd w:val="clear" w:color="auto" w:fill="auto"/>
          <w:lang w:val="en-US" w:eastAsia="zh-CN" w:bidi="ar"/>
        </w:rPr>
        <w:t>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</w:rPr>
        <w:t>与轨道交通无缝衔接，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</w:rPr>
        <w:t>轨道交通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网可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</w:rPr>
        <w:t>实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shd w:val="clear" w:color="auto" w:fill="auto"/>
        </w:rPr>
        <w:t>现枢纽间“一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u w:val="none"/>
          <w:shd w:val="clear" w:color="auto" w:fill="auto"/>
        </w:rPr>
        <w:t>次换乘”可达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u w:val="none"/>
          <w:shd w:val="clear" w:color="auto" w:fill="auto"/>
          <w:lang w:val="en-US" w:eastAsia="zh-CN"/>
        </w:rPr>
        <w:t>。推进都市圈轨道网一体化发展，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u w:val="none"/>
          <w:shd w:val="clear" w:color="auto" w:fill="auto"/>
          <w:lang w:val="en-US" w:eastAsia="zh-CN" w:bidi="ar"/>
        </w:rPr>
        <w:t>杭绍城际与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shd w:val="clear" w:color="auto" w:fill="auto"/>
          <w:lang w:val="en-US" w:eastAsia="zh-CN" w:bidi="ar"/>
        </w:rPr>
        <w:t>杭州地铁5号线、杭海城际与杭州地铁9号线贯通运营，杭嘉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shd w:val="clear" w:color="auto" w:fill="FFFFFF"/>
          <w:lang w:val="en-US" w:eastAsia="zh-CN" w:bidi="ar"/>
        </w:rPr>
        <w:t>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shd w:val="clear" w:color="auto" w:fill="auto"/>
          <w:lang w:val="en-US" w:eastAsia="zh-CN" w:bidi="ar"/>
        </w:rPr>
        <w:t>轨道实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shd w:val="clear" w:color="auto" w:fill="auto"/>
          <w:lang w:val="en-US" w:eastAsia="zh-CN" w:bidi="ar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“三地、一网、一票”互联互通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。推进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</w:rPr>
        <w:t>铁路和地铁安检标准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</w:rPr>
        <w:t>，杭州东站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杭州西站通过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地铁安检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前置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实现高铁、地铁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单向免检。</w:t>
      </w:r>
    </w:p>
    <w:p w14:paraId="57F85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  <w:t>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  <w:lang w:val="en-US" w:eastAsia="zh-CN"/>
        </w:rPr>
        <w:t>打</w:t>
      </w:r>
      <w:r>
        <w:rPr>
          <w:rFonts w:hint="eastAsia" w:ascii="黑体" w:hAnsi="黑体" w:eastAsia="黑体" w:cs="黑体"/>
          <w:bCs/>
          <w:color w:val="auto"/>
          <w:sz w:val="32"/>
          <w:szCs w:val="24"/>
          <w:lang w:val="en-US" w:eastAsia="zh-CN"/>
        </w:rPr>
        <w:t>造</w:t>
      </w: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“廊道集约”建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  <w:t>设模式</w:t>
      </w:r>
      <w:bookmarkEnd w:id="1"/>
      <w:bookmarkStart w:id="2" w:name="_Toc18588"/>
    </w:p>
    <w:p w14:paraId="201F5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推动交通发展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由各种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交通运输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方式相对独立发展向更加注重一体化融合发展转变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综合采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用“廊道归并”理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念，各交通运输方式共用交通廊道和过江通道资源，实现交通集约化发展。统筹不同交通基础设施的建设时序，实现公路、城市道路、轨道交通同步建设，减少重复施工和多次开挖。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沪杭甬高速公路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杭州市区段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工程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6"/>
          <w:highlight w:val="none"/>
          <w:lang w:val="en-US" w:eastAsia="zh-CN"/>
        </w:rPr>
        <w:t>抬升改造为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6"/>
          <w:lang w:val="en-US" w:eastAsia="zh-CN"/>
        </w:rPr>
        <w:t>上层公路、中层轨道交通、下层地面道路的复合廊道，较传统模式节约用地210亩，节约造价30%以上。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新建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彭埠大桥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是国内第一条在城市核心区汇集普铁、高铁、城市轨道、城市快速路及慢行系统的综合交通廊道。</w:t>
      </w:r>
    </w:p>
    <w:p w14:paraId="37D7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  <w:lang w:val="en-US" w:eastAsia="zh-CN"/>
        </w:rPr>
        <w:t>优</w:t>
      </w:r>
      <w:r>
        <w:rPr>
          <w:rFonts w:hint="eastAsia" w:ascii="黑体" w:hAnsi="黑体" w:eastAsia="黑体" w:cs="黑体"/>
          <w:bCs/>
          <w:color w:val="auto"/>
          <w:sz w:val="32"/>
          <w:szCs w:val="24"/>
          <w:lang w:val="en-US" w:eastAsia="zh-CN"/>
        </w:rPr>
        <w:t>化</w:t>
      </w: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“客货</w:t>
      </w:r>
      <w:r>
        <w:rPr>
          <w:rFonts w:hint="eastAsia" w:ascii="黑体" w:hAnsi="黑体" w:eastAsia="黑体" w:cs="黑体"/>
          <w:bCs/>
          <w:color w:val="auto"/>
          <w:sz w:val="32"/>
          <w:szCs w:val="24"/>
          <w:lang w:val="en-US" w:eastAsia="zh-CN"/>
        </w:rPr>
        <w:t>协调</w:t>
      </w: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”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  <w:t>运输模式</w:t>
      </w:r>
      <w:bookmarkEnd w:id="2"/>
      <w:bookmarkStart w:id="3" w:name="_Toc13227"/>
    </w:p>
    <w:p w14:paraId="6F693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遵循客货协调、逐级剥离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过境交通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的思路，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探索缓解超大城市交通拥堵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的路径，提升城市交通运行效率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杭州都市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绕城高速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西复线，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</w:rPr>
        <w:t>串联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  <w:lang w:val="en-US" w:eastAsia="zh-CN"/>
        </w:rPr>
        <w:t>长深高速、杭瑞高速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</w:rPr>
        <w:t>多条高速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  <w:lang w:val="en-US" w:eastAsia="zh-CN"/>
        </w:rPr>
        <w:t>公路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  <w:lang w:val="en-US" w:eastAsia="zh-CN"/>
        </w:rPr>
        <w:t>通过将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</w:rPr>
        <w:t>过境车流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  <w:lang w:val="en-US" w:eastAsia="zh-CN"/>
        </w:rPr>
        <w:t>进行分流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绕城高速西线流量下降30%以上。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建成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FFFFFF"/>
        </w:rPr>
        <w:t>运溪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高架、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FFFFFF"/>
        </w:rPr>
        <w:t>留祥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路西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FFFFFF"/>
        </w:rPr>
        <w:t>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项目，形成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两环八横五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FFFFFF"/>
        </w:rPr>
        <w:t>纵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八连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的城市快速路布局，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</w:rPr>
        <w:t>大幅提升通行效率。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打造京杭运河二通道，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</w:rPr>
        <w:t>优化航道等级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  <w:lang w:val="en-US" w:eastAsia="zh-CN"/>
        </w:rPr>
        <w:t>降低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shd w:val="clear" w:color="auto" w:fill="auto"/>
        </w:rPr>
        <w:t>主城区段货船通行频次，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提升原有运河运力40%以上。</w:t>
      </w:r>
    </w:p>
    <w:p w14:paraId="01A0F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24"/>
          <w:highlight w:val="none"/>
          <w:lang w:val="en-US" w:eastAsia="zh-CN"/>
        </w:rPr>
        <w:t>四、打</w:t>
      </w:r>
      <w:r>
        <w:rPr>
          <w:rFonts w:hint="eastAsia" w:ascii="黑体" w:hAnsi="黑体" w:eastAsia="黑体" w:cs="黑体"/>
          <w:bCs/>
          <w:color w:val="auto"/>
          <w:sz w:val="32"/>
          <w:szCs w:val="24"/>
          <w:highlight w:val="none"/>
          <w:lang w:val="en-US" w:eastAsia="zh-CN"/>
        </w:rPr>
        <w:t>造</w:t>
      </w:r>
      <w:r>
        <w:rPr>
          <w:rFonts w:hint="eastAsia" w:ascii="黑体" w:hAnsi="黑体" w:eastAsia="黑体" w:cs="黑体"/>
          <w:bCs/>
          <w:color w:val="auto"/>
          <w:sz w:val="32"/>
          <w:szCs w:val="24"/>
          <w:highlight w:val="none"/>
        </w:rPr>
        <w:t>“</w:t>
      </w:r>
      <w:r>
        <w:rPr>
          <w:rFonts w:hint="eastAsia" w:ascii="黑体" w:hAnsi="黑体" w:eastAsia="黑体" w:cs="黑体"/>
          <w:bCs/>
          <w:color w:val="auto"/>
          <w:sz w:val="32"/>
          <w:szCs w:val="24"/>
          <w:highlight w:val="none"/>
          <w:lang w:val="en-US" w:eastAsia="zh-CN"/>
        </w:rPr>
        <w:t>数字赋能</w:t>
      </w:r>
      <w:r>
        <w:rPr>
          <w:rFonts w:hint="eastAsia" w:ascii="黑体" w:hAnsi="黑体" w:eastAsia="黑体" w:cs="黑体"/>
          <w:bCs/>
          <w:color w:val="auto"/>
          <w:sz w:val="32"/>
          <w:szCs w:val="24"/>
          <w:highlight w:val="none"/>
        </w:rPr>
        <w:t>”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24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  <w:highlight w:val="none"/>
        </w:rPr>
        <w:t>模式</w:t>
      </w:r>
    </w:p>
    <w:p w14:paraId="43535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运用数字化手段赋能枢纽城市治理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，探索枢纽城市智慧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  <w:lang w:val="en-US" w:eastAsia="zh-CN"/>
        </w:rPr>
        <w:t>管理新模式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。建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成“杭州交通治理在线”平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台，归集11类约200亿条交通相关数据，构建14个专题交通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highlight w:val="none"/>
          <w:shd w:val="clear" w:color="auto" w:fill="FFFFFF"/>
          <w:lang w:val="en-US" w:eastAsia="zh-CN"/>
        </w:rPr>
        <w:t>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，128个图层交通图谱，形成14个数字化应用场景，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</w:rPr>
        <w:t>实现城市交通治理全要素的数字化、空间化、可视化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shd w:val="clear" w:color="auto" w:fill="auto"/>
          <w:lang w:val="en-US" w:eastAsia="zh-CN" w:bidi="ar"/>
        </w:rPr>
        <w:t>。杭州西站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建成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“镜像新城”大型枢纽数字孪生综合体，打造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6"/>
          <w:highlight w:val="none"/>
          <w:shd w:val="clear" w:color="auto" w:fill="auto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6"/>
          <w:highlight w:val="none"/>
          <w:shd w:val="clear" w:color="auto" w:fill="auto"/>
          <w:vertAlign w:val="baseline"/>
          <w:lang w:val="en-US" w:eastAsia="zh-CN" w:bidi="ar"/>
        </w:rPr>
        <w:t>问路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6"/>
          <w:highlight w:val="none"/>
          <w:shd w:val="clear" w:color="auto" w:fill="FFFFFF"/>
          <w:vertAlign w:val="baseline"/>
          <w:lang w:val="en-US" w:eastAsia="zh-CN" w:bidi="ar"/>
        </w:rPr>
        <w:t>找</w:t>
      </w:r>
      <w:bookmarkStart w:id="4" w:name="hmcheck_8718de6aae6f4ddebc986a030f0b93f3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6"/>
          <w:highlight w:val="none"/>
          <w:shd w:val="clear" w:color="auto" w:fill="FFFFFF"/>
          <w:vertAlign w:val="baseline"/>
          <w:lang w:val="en-US" w:eastAsia="zh-CN" w:bidi="ar"/>
        </w:rPr>
        <w:t>西西</w:t>
      </w:r>
      <w:bookmarkEnd w:id="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6"/>
          <w:highlight w:val="none"/>
          <w:shd w:val="clear" w:color="auto" w:fill="auto"/>
          <w:lang w:val="en-US" w:eastAsia="zh-CN" w:bidi="ar"/>
        </w:rPr>
        <w:t>”智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6"/>
          <w:highlight w:val="none"/>
          <w:shd w:val="clear" w:color="auto" w:fill="auto"/>
          <w:lang w:val="en-US" w:eastAsia="zh-CN" w:bidi="ar"/>
        </w:rPr>
        <w:t>能导引、“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6"/>
          <w:highlight w:val="none"/>
          <w:shd w:val="clear" w:color="auto" w:fill="auto"/>
          <w:vertAlign w:val="baseline"/>
          <w:lang w:val="en-US" w:eastAsia="zh-CN" w:bidi="ar"/>
        </w:rPr>
        <w:t>室内导航到车位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6"/>
          <w:highlight w:val="none"/>
          <w:shd w:val="clear" w:color="auto" w:fill="auto"/>
          <w:lang w:val="en-US" w:eastAsia="zh-CN" w:bidi="ar"/>
        </w:rPr>
        <w:t>”和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</w:rPr>
        <w:t>“高铁到发，一键可查”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  <w:lang w:val="en-US" w:eastAsia="zh-CN"/>
        </w:rPr>
        <w:t>等数字化应用服务场景，并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对网约车、出租车等候车区开展数字化流程再造，实现“一建查车”“智慧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FFFFFF"/>
          <w:lang w:val="en-US" w:eastAsia="zh-CN"/>
        </w:rPr>
        <w:t>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车”“智能调度”等功能，出租车根据旅客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上客情况精准控制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FFFFFF"/>
          <w:lang w:val="en-US" w:eastAsia="zh-CN"/>
        </w:rPr>
        <w:t>蓄车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频次，网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FFFFFF"/>
          <w:lang w:val="en-US" w:eastAsia="zh-CN"/>
        </w:rPr>
        <w:t>约车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效率提升30%。</w:t>
      </w:r>
    </w:p>
    <w:bookmarkEnd w:id="3"/>
    <w:p w14:paraId="73B95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</w:pPr>
      <w:bookmarkStart w:id="5" w:name="_Toc5244"/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  <w:t>五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  <w:lang w:val="en-US" w:eastAsia="zh-CN"/>
        </w:rPr>
        <w:t>强</w:t>
      </w:r>
      <w:r>
        <w:rPr>
          <w:rFonts w:hint="eastAsia" w:ascii="黑体" w:hAnsi="黑体" w:eastAsia="黑体" w:cs="黑体"/>
          <w:bCs/>
          <w:color w:val="auto"/>
          <w:sz w:val="32"/>
          <w:szCs w:val="24"/>
          <w:lang w:val="en-US" w:eastAsia="zh-CN"/>
        </w:rPr>
        <w:t>化</w:t>
      </w:r>
      <w:r>
        <w:rPr>
          <w:rFonts w:hint="eastAsia" w:ascii="黑体" w:hAnsi="黑体" w:eastAsia="黑体" w:cs="黑体"/>
          <w:bCs/>
          <w:color w:val="auto"/>
          <w:sz w:val="32"/>
          <w:szCs w:val="24"/>
        </w:rPr>
        <w:t>“站城融合”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24"/>
        </w:rPr>
        <w:t>开发模式</w:t>
      </w:r>
      <w:bookmarkEnd w:id="5"/>
    </w:p>
    <w:p w14:paraId="52967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深化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交通与城市空间协同发展，探索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eastAsia="zh-CN"/>
        </w:rPr>
        <w:t>枢纽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开发新路径。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加强规划引领，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出台《杭州市轨道交通TOD综合利用专项规划》，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lang w:val="en-US" w:eastAsia="zh-CN" w:bidi="ar"/>
        </w:rPr>
        <w:t>明确轨道交通TOD发展原则和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lang w:val="en-US" w:eastAsia="zh-CN" w:bidi="ar"/>
        </w:rPr>
        <w:t>规划策略，构建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lang w:val="en-US" w:eastAsia="zh-CN" w:bidi="ar"/>
        </w:rPr>
        <w:t>枢纽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lang w:val="en-US" w:eastAsia="zh-CN" w:bidi="ar"/>
        </w:rPr>
        <w:t>分级开发体系，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  <w:lang w:bidi="ar"/>
        </w:rPr>
        <w:t>差异化引导轨道站点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  <w:lang w:val="en-US" w:eastAsia="zh-CN" w:bidi="ar"/>
        </w:rPr>
        <w:t>综合开发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6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bidi="ar"/>
        </w:rPr>
        <w:t>打造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 w:bidi="ar"/>
        </w:rPr>
        <w:t>杭州西站雨棚上盖开发项目等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一批上盖开发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七堡站杨柳郡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一批节点开发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钱江新城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一批片区开发项目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以杭州西站建设为契机，推动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shd w:val="clear" w:color="auto" w:fill="FFFFFF"/>
        </w:rPr>
        <w:t>双铁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联动TOD集群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</w:rPr>
        <w:t>杭州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shd w:val="clear" w:color="auto" w:fill="FFFFFF"/>
        </w:rPr>
        <w:t>云城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shd w:val="clear" w:color="auto" w:fill="auto"/>
          <w:lang w:val="en-US" w:eastAsia="zh-CN"/>
        </w:rPr>
        <w:t>创建“在西站”公共服务品牌，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</w:rPr>
        <w:t>创新“站城融合”理念和公共服务模式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  <w:lang w:val="en-US" w:eastAsia="zh-CN"/>
        </w:rPr>
        <w:t>杭州西站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</w:rPr>
        <w:t>打造为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FFFFFF"/>
        </w:rPr>
        <w:t>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</w:rPr>
        <w:t>交通、工作、生活、创业于一体的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6"/>
          <w:highlight w:val="none"/>
          <w:shd w:val="clear" w:color="auto" w:fill="auto"/>
          <w:lang w:val="en-US" w:eastAsia="zh-CN"/>
        </w:rPr>
        <w:t>枢纽综合体，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打造全国高铁车站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站城融合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新标杆。</w:t>
      </w:r>
    </w:p>
    <w:p w14:paraId="41149D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85E9F"/>
    <w:rsid w:val="45785E9F"/>
    <w:rsid w:val="69E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等线 Light" w:hAnsi="等线 Light" w:eastAsia="等线 Light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2025-10-09T08:27:00Z</dcterms:created>
  <dc:creator> </dc:creator>
  <cp:lastModifiedBy> </cp:lastModifiedBy>
  <dcterms:modified xsi:type="dcterms:W3CDTF">2025-10-09T08:28:17Z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9F71D51D9CE84729B490ECF6FF0DC159_13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