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48C1">
      <w:pPr>
        <w:pStyle w:val="2"/>
        <w:keepNext w:val="0"/>
        <w:keepLines w:val="0"/>
        <w:widowControl/>
        <w:suppressLineNumbers w:val="0"/>
      </w:pPr>
      <w:r>
        <w:t> </w:t>
      </w:r>
    </w:p>
    <w:p w14:paraId="65AC63DF">
      <w:pPr>
        <w:spacing w:line="64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17FC6497">
      <w:pPr>
        <w:widowControl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1" w:name="_GoBack"/>
      <w:r>
        <w:rPr>
          <w:rFonts w:ascii="Times New Roman" w:hAnsi="Times New Roman" w:eastAsia="方正小标宋_GBK"/>
          <w:sz w:val="44"/>
          <w:szCs w:val="44"/>
        </w:rPr>
        <w:t>试点任务完成情况</w:t>
      </w:r>
      <w:bookmarkEnd w:id="1"/>
      <w:bookmarkStart w:id="0" w:name="_Toc3983"/>
    </w:p>
    <w:bookmarkEnd w:id="0"/>
    <w:p w14:paraId="61C55CB2">
      <w:pPr>
        <w:pStyle w:val="2"/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2E3CF5B">
      <w:pPr>
        <w:spacing w:line="58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一、建设智慧高速公路</w:t>
      </w:r>
    </w:p>
    <w:p w14:paraId="3B22D675">
      <w:pPr>
        <w:pStyle w:val="2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仿宋_GB2312"/>
          <w:sz w:val="32"/>
          <w:szCs w:val="30"/>
        </w:rPr>
      </w:pPr>
      <w:r>
        <w:rPr>
          <w:rFonts w:hint="eastAsia" w:ascii="仿宋_GB2312" w:hAnsi="Times New Roman" w:eastAsia="仿宋_GB2312" w:cs="Times New Roman"/>
          <w:b/>
          <w:sz w:val="32"/>
          <w:szCs w:val="30"/>
        </w:rPr>
        <w:t>一是系统性开展智慧高速公路顶层设计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0"/>
        </w:rPr>
        <w:t>山东省依托济青中线高速公路、京台高速泰安至枣庄段、青银高速济南段等工程建设，设计形成“全路段感知、全过程管控、全天候通行”的智慧高速技术体系，打造隧道快速通行、智慧服务区、智慧收费站、分合流控制等典型场景应用，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推动发布</w:t>
      </w:r>
      <w:r>
        <w:rPr>
          <w:rFonts w:hint="eastAsia" w:ascii="仿宋_GB2312" w:hAnsi="Times New Roman" w:eastAsia="仿宋_GB2312" w:cs="Times New Roman"/>
          <w:sz w:val="32"/>
          <w:szCs w:val="30"/>
          <w:highlight w:val="none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0"/>
          <w:highlight w:val="none"/>
        </w:rPr>
        <w:t>自动驾驶封闭测试场地建设技术要</w:t>
      </w:r>
      <w:r>
        <w:rPr>
          <w:rFonts w:hint="eastAsia" w:ascii="仿宋_GB2312" w:hAnsi="Times New Roman" w:eastAsia="仿宋_GB2312" w:cs="Times New Roman"/>
          <w:sz w:val="32"/>
          <w:szCs w:val="30"/>
          <w:highlight w:val="none"/>
          <w:lang w:eastAsia="zh-CN"/>
        </w:rPr>
        <w:t>求》国家标准、</w:t>
      </w:r>
      <w:r>
        <w:rPr>
          <w:rFonts w:hint="eastAsia" w:ascii="仿宋_GB2312" w:hAnsi="Times New Roman" w:eastAsia="仿宋_GB2312" w:cs="Times New Roman"/>
          <w:sz w:val="32"/>
          <w:szCs w:val="30"/>
          <w:highlight w:val="none"/>
        </w:rPr>
        <w:t>《智慧高速公路建设指南》</w:t>
      </w:r>
      <w:r>
        <w:rPr>
          <w:rFonts w:hint="eastAsia" w:ascii="仿宋_GB2312" w:hAnsi="Times New Roman" w:eastAsia="仿宋_GB2312" w:cs="Times New Roman"/>
          <w:sz w:val="32"/>
          <w:szCs w:val="30"/>
          <w:highlight w:val="none"/>
          <w:lang w:eastAsia="zh-CN"/>
        </w:rPr>
        <w:t>地方标准</w:t>
      </w:r>
      <w:r>
        <w:rPr>
          <w:rFonts w:hint="eastAsia" w:ascii="仿宋_GB2312" w:hAnsi="Times New Roman" w:eastAsia="仿宋_GB2312" w:cs="Times New Roman"/>
          <w:sz w:val="32"/>
          <w:szCs w:val="30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系列</w:t>
      </w:r>
      <w:r>
        <w:rPr>
          <w:rFonts w:hint="eastAsia" w:ascii="仿宋_GB2312" w:hAnsi="Times New Roman" w:eastAsia="仿宋_GB2312" w:cs="Times New Roman"/>
          <w:sz w:val="32"/>
          <w:szCs w:val="30"/>
        </w:rPr>
        <w:t>标准规范，形成智慧公路建设与改造的综合解决方案。</w:t>
      </w:r>
      <w:r>
        <w:rPr>
          <w:rFonts w:hint="eastAsia" w:ascii="仿宋_GB2312" w:hAnsi="Times New Roman" w:eastAsia="仿宋_GB2312" w:cs="Times New Roman"/>
          <w:b/>
          <w:sz w:val="32"/>
          <w:szCs w:val="30"/>
        </w:rPr>
        <w:t>二是推进智慧隧道建设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0"/>
        </w:rPr>
        <w:t>研发隧道照明动态调光、车辆全域轨迹跟踪、隧道事故分级预警等关键技术，构建隧道运行“感知—调度—处置”一体化调度平台，实时监测行车环境和车辆行为，降低“黑白洞效应”“侧壁效应”，实现10座共19.6公里隧道不降速通行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</w:t>
      </w:r>
      <w:r>
        <w:rPr>
          <w:rFonts w:hint="eastAsia" w:ascii="仿宋_GB2312" w:hAnsi="Times New Roman" w:eastAsia="仿宋_GB2312" w:cs="Times New Roman"/>
          <w:b/>
          <w:sz w:val="32"/>
          <w:szCs w:val="30"/>
        </w:rPr>
        <w:t>三是</w:t>
      </w:r>
      <w:r>
        <w:rPr>
          <w:rFonts w:ascii="Times New Roman" w:hAnsi="Times New Roman" w:eastAsia="仿宋_GB2312" w:cs="Times New Roman"/>
          <w:b/>
          <w:sz w:val="32"/>
          <w:szCs w:val="30"/>
        </w:rPr>
        <w:t>强化交通运输大数据开发应用</w:t>
      </w: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构建省级数据资源管理平台，制定标准数据字典960类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、</w:t>
      </w:r>
      <w:r>
        <w:rPr>
          <w:rFonts w:ascii="Times New Roman" w:hAnsi="Times New Roman" w:eastAsia="仿宋_GB2312" w:cs="Times New Roman"/>
          <w:sz w:val="32"/>
          <w:szCs w:val="30"/>
        </w:rPr>
        <w:t>数据治理规则1000余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项</w:t>
      </w:r>
      <w:r>
        <w:rPr>
          <w:rFonts w:ascii="Times New Roman" w:hAnsi="Times New Roman" w:eastAsia="仿宋_GB2312" w:cs="Times New Roman"/>
          <w:sz w:val="32"/>
          <w:szCs w:val="30"/>
        </w:rPr>
        <w:t>，接入业务系统34个、数据资源180类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，</w:t>
      </w:r>
      <w:r>
        <w:rPr>
          <w:rFonts w:ascii="Times New Roman" w:hAnsi="Times New Roman" w:eastAsia="仿宋_GB2312" w:cs="Times New Roman"/>
          <w:sz w:val="32"/>
          <w:szCs w:val="30"/>
        </w:rPr>
        <w:t>形成基础路网、收费业务、</w:t>
      </w:r>
      <w:r>
        <w:rPr>
          <w:rFonts w:hint="eastAsia" w:ascii="仿宋_GB2312" w:hAnsi="Times New Roman" w:eastAsia="仿宋_GB2312" w:cs="Times New Roman"/>
          <w:sz w:val="32"/>
          <w:szCs w:val="30"/>
        </w:rPr>
        <w:t>“两客一危”</w:t>
      </w:r>
      <w:r>
        <w:rPr>
          <w:rFonts w:ascii="Times New Roman" w:hAnsi="Times New Roman" w:eastAsia="仿宋_GB2312" w:cs="Times New Roman"/>
          <w:sz w:val="32"/>
          <w:szCs w:val="30"/>
        </w:rPr>
        <w:t>、路网运行等5类数据清单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，</w:t>
      </w:r>
      <w:r>
        <w:rPr>
          <w:rFonts w:ascii="Times New Roman" w:hAnsi="Times New Roman" w:eastAsia="仿宋_GB2312" w:cs="Times New Roman"/>
          <w:sz w:val="32"/>
          <w:szCs w:val="30"/>
        </w:rPr>
        <w:t>围绕公路运维、养护作业、出行服务、恶劣天气保障等场景推进一路多方协同管理，促进数据赋能路网运行管理和公众出行服务。</w:t>
      </w:r>
      <w:r>
        <w:rPr>
          <w:rFonts w:hint="eastAsia" w:ascii="仿宋_GB2312" w:hAnsi="Times New Roman" w:eastAsia="仿宋_GB2312" w:cs="Times New Roman"/>
          <w:b/>
          <w:sz w:val="32"/>
          <w:szCs w:val="30"/>
        </w:rPr>
        <w:t>四是建设感知、决策、管理服务等系统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0"/>
        </w:rPr>
        <w:t>建成济青中线车路协同路段25公里、智慧服务区5对、智慧云收费站15处，开展数字化设计、数字化施工应用，建成包含1</w:t>
      </w:r>
      <w:r>
        <w:rPr>
          <w:rFonts w:ascii="Times New Roman" w:hAnsi="Times New Roman" w:eastAsia="仿宋_GB2312"/>
          <w:sz w:val="32"/>
          <w:szCs w:val="30"/>
        </w:rPr>
        <w:t>62公里</w:t>
      </w:r>
      <w:r>
        <w:rPr>
          <w:rFonts w:hint="eastAsia" w:ascii="Times New Roman" w:hAnsi="Times New Roman" w:eastAsia="仿宋_GB2312"/>
          <w:sz w:val="32"/>
          <w:szCs w:val="30"/>
        </w:rPr>
        <w:t>BIM模型、1</w:t>
      </w:r>
      <w:r>
        <w:rPr>
          <w:rFonts w:ascii="Times New Roman" w:hAnsi="Times New Roman" w:eastAsia="仿宋_GB2312"/>
          <w:sz w:val="32"/>
          <w:szCs w:val="30"/>
        </w:rPr>
        <w:t>8.5万个构</w:t>
      </w:r>
      <w:r>
        <w:rPr>
          <w:rFonts w:hint="eastAsia" w:ascii="Times New Roman" w:hAnsi="Times New Roman" w:eastAsia="仿宋_GB2312"/>
          <w:sz w:val="32"/>
          <w:szCs w:val="30"/>
          <w:lang w:eastAsia="zh-CN"/>
        </w:rPr>
        <w:t>件</w:t>
      </w:r>
      <w:r>
        <w:rPr>
          <w:rFonts w:ascii="Times New Roman" w:hAnsi="Times New Roman" w:eastAsia="仿宋_GB2312"/>
          <w:sz w:val="32"/>
          <w:szCs w:val="30"/>
        </w:rPr>
        <w:t>的</w:t>
      </w:r>
      <w:r>
        <w:rPr>
          <w:rFonts w:hint="eastAsia" w:ascii="Times New Roman" w:hAnsi="Times New Roman" w:eastAsia="仿宋_GB2312"/>
          <w:sz w:val="32"/>
          <w:szCs w:val="30"/>
        </w:rPr>
        <w:t>工程实体数据库，实现智慧工地、建养协同等场景应用</w:t>
      </w:r>
      <w:r>
        <w:rPr>
          <w:rFonts w:hint="eastAsia" w:ascii="Times New Roman" w:hAnsi="Times New Roman" w:eastAsia="仿宋_GB2312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0"/>
        </w:rPr>
        <w:t>建立覆盖路面、桥梁、边坡的基础设施健康实时监测系统，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显著提升高速公路建设、管理、运行、服务的智慧化水平。</w:t>
      </w:r>
    </w:p>
    <w:p w14:paraId="4DD8A116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二、建设智慧交通重点实验室</w:t>
      </w:r>
    </w:p>
    <w:p w14:paraId="34FCC0C3">
      <w:pPr>
        <w:pStyle w:val="2"/>
        <w:spacing w:before="0" w:beforeAutospacing="0" w:after="0" w:afterAutospacing="0" w:line="58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b/>
          <w:sz w:val="32"/>
          <w:szCs w:val="30"/>
        </w:rPr>
        <w:t>一是</w:t>
      </w:r>
      <w:r>
        <w:rPr>
          <w:rFonts w:hint="eastAsia" w:ascii="Times New Roman" w:hAnsi="Times New Roman" w:eastAsia="仿宋_GB2312"/>
          <w:b/>
          <w:sz w:val="32"/>
          <w:szCs w:val="30"/>
        </w:rPr>
        <w:t>推动高水平科技创新平台建设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0"/>
        </w:rPr>
        <w:t>立足山东省智慧交通高质量发展需求，聚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焦</w:t>
      </w:r>
      <w:r>
        <w:rPr>
          <w:rFonts w:hint="eastAsia" w:ascii="Times New Roman" w:hAnsi="Times New Roman" w:eastAsia="仿宋_GB2312"/>
          <w:sz w:val="32"/>
          <w:szCs w:val="30"/>
        </w:rPr>
        <w:t>设施数字化、控制智能化、车路云一体化、交能融合和智慧建造等攻关方</w:t>
      </w:r>
      <w:r>
        <w:rPr>
          <w:rFonts w:ascii="Times New Roman" w:hAnsi="Times New Roman" w:eastAsia="仿宋_GB2312" w:cs="Times New Roman"/>
          <w:sz w:val="32"/>
          <w:szCs w:val="30"/>
        </w:rPr>
        <w:t>向，引进国家级高层次人才8人，申请国家级、省部级科研攻关项目140余项，建</w:t>
      </w:r>
      <w:r>
        <w:rPr>
          <w:rFonts w:hint="eastAsia" w:ascii="仿宋_GB2312" w:hAnsi="Times New Roman" w:eastAsia="仿宋_GB2312" w:cs="Times New Roman"/>
          <w:sz w:val="32"/>
          <w:szCs w:val="30"/>
        </w:rPr>
        <w:t>成山东省公路交通基础设施智慧建造与运维、绿色与智能建筑材料两个省级重点实验室，联合行业优势单位，申请并获批</w:t>
      </w:r>
      <w:r>
        <w:rPr>
          <w:rFonts w:hint="eastAsia" w:ascii="Times New Roman" w:hAnsi="Times New Roman" w:eastAsia="仿宋_GB2312"/>
          <w:sz w:val="32"/>
          <w:szCs w:val="30"/>
        </w:rPr>
        <w:t>车路一体智能交通全国重点实验室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</w:t>
      </w:r>
      <w:r>
        <w:rPr>
          <w:rFonts w:hint="eastAsia" w:ascii="仿宋_GB2312" w:hAnsi="Times New Roman" w:eastAsia="仿宋_GB2312" w:cs="Times New Roman"/>
          <w:b/>
          <w:sz w:val="32"/>
          <w:szCs w:val="30"/>
        </w:rPr>
        <w:t>二是推动智能网联高速公路测试基地建设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0"/>
        </w:rPr>
        <w:t>改造滨莱高速公路改扩建项目中原址保</w:t>
      </w:r>
      <w:r>
        <w:rPr>
          <w:rFonts w:ascii="Times New Roman" w:hAnsi="Times New Roman" w:eastAsia="仿宋_GB2312" w:cs="Times New Roman"/>
          <w:sz w:val="32"/>
          <w:szCs w:val="30"/>
        </w:rPr>
        <w:t>留的26公里</w:t>
      </w:r>
      <w:r>
        <w:rPr>
          <w:rFonts w:hint="eastAsia" w:ascii="仿宋_GB2312" w:hAnsi="Times New Roman" w:eastAsia="仿宋_GB2312" w:cs="Times New Roman"/>
          <w:sz w:val="32"/>
          <w:szCs w:val="30"/>
        </w:rPr>
        <w:t>高速公路，</w:t>
      </w:r>
      <w:r>
        <w:rPr>
          <w:rFonts w:ascii="Times New Roman" w:hAnsi="Times New Roman" w:eastAsia="仿宋_GB2312" w:cs="Times New Roman"/>
          <w:sz w:val="32"/>
          <w:szCs w:val="32"/>
        </w:rPr>
        <w:t>部署车路协同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智能网联设备，构建车路协同虚实结合的多级性能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验证平台，</w:t>
      </w:r>
      <w:r>
        <w:rPr>
          <w:rFonts w:ascii="Times New Roman" w:hAnsi="Times New Roman" w:eastAsia="仿宋_GB2312" w:cs="Times New Roman"/>
          <w:sz w:val="32"/>
          <w:szCs w:val="32"/>
        </w:rPr>
        <w:t>提供智慧高速综合解决方案测试验证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</w:t>
      </w:r>
      <w:r>
        <w:rPr>
          <w:rFonts w:hint="eastAsia" w:ascii="仿宋_GB2312" w:hAnsi="Times New Roman" w:eastAsia="仿宋_GB2312" w:cs="Times New Roman"/>
          <w:sz w:val="32"/>
          <w:szCs w:val="30"/>
        </w:rPr>
        <w:t>，</w:t>
      </w:r>
      <w:r>
        <w:rPr>
          <w:rFonts w:hint="eastAsia" w:ascii="Times New Roman" w:hAnsi="Times New Roman" w:eastAsia="仿宋_GB2312"/>
          <w:sz w:val="32"/>
          <w:szCs w:val="30"/>
        </w:rPr>
        <w:t>具备车路协同与自动驾驶7个大类、81个典型场景、69项功能测试能力</w:t>
      </w:r>
      <w:r>
        <w:rPr>
          <w:rFonts w:hint="eastAsia" w:ascii="仿宋_GB2312" w:hAnsi="Times New Roman" w:eastAsia="仿宋_GB2312" w:cs="Times New Roman"/>
          <w:sz w:val="32"/>
          <w:szCs w:val="30"/>
        </w:rPr>
        <w:t>，获得部</w:t>
      </w:r>
      <w:r>
        <w:rPr>
          <w:rFonts w:hint="eastAsia" w:ascii="Times New Roman" w:hAnsi="Times New Roman" w:eastAsia="仿宋_GB2312"/>
          <w:sz w:val="32"/>
          <w:szCs w:val="30"/>
        </w:rPr>
        <w:t>“自动驾驶封闭场地测试基地”认定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</w:t>
      </w:r>
      <w:r>
        <w:rPr>
          <w:rFonts w:hint="eastAsia" w:ascii="仿宋_GB2312" w:hAnsi="Times New Roman" w:eastAsia="仿宋_GB2312" w:cs="Times New Roman"/>
          <w:b/>
          <w:sz w:val="32"/>
          <w:szCs w:val="30"/>
        </w:rPr>
        <w:t>三是推动智慧高速公路产业化发展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规模化部署智能设备8600余套，建设分布式光伏电站66处，装机容量68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兆瓦。</w:t>
      </w:r>
      <w:r>
        <w:rPr>
          <w:rFonts w:ascii="Times New Roman" w:hAnsi="Times New Roman" w:eastAsia="仿宋_GB2312" w:cs="Times New Roman"/>
          <w:sz w:val="32"/>
          <w:szCs w:val="30"/>
        </w:rPr>
        <w:t>深化北斗技术在营运车辆高精度定位、基础设施健康监测的应用，累计部署北斗终端5000余套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在济南、淄博两市开放智能网联高速公路测试路段115公里，组织召开智慧高速公路高水平学术论坛和产业发展大会12次，取得良好的经济与社会效益。</w:t>
      </w:r>
    </w:p>
    <w:p w14:paraId="140375F4">
      <w:pPr>
        <w:spacing w:line="58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三、开展智慧高速公路重大科技攻关</w:t>
      </w:r>
    </w:p>
    <w:p w14:paraId="4429B32B">
      <w:pPr>
        <w:pStyle w:val="2"/>
        <w:spacing w:before="0" w:beforeAutospacing="0" w:after="0" w:afterAutospacing="0" w:line="58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b/>
          <w:sz w:val="32"/>
          <w:szCs w:val="30"/>
        </w:rPr>
        <w:t>一是推动车路协同与自动驾驶关键技术攻关</w:t>
      </w:r>
      <w:r>
        <w:rPr>
          <w:rFonts w:hint="eastAsia" w:ascii="Times New Roman" w:hAnsi="Times New Roman" w:eastAsia="仿宋_GB2312" w:cs="Times New Roman"/>
          <w:b/>
          <w:sz w:val="32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研发具备实时通信与交互的智能车载终端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与</w:t>
      </w:r>
      <w:r>
        <w:rPr>
          <w:rFonts w:ascii="Times New Roman" w:hAnsi="Times New Roman" w:eastAsia="仿宋_GB2312" w:cs="Times New Roman"/>
          <w:sz w:val="32"/>
          <w:szCs w:val="30"/>
        </w:rPr>
        <w:t>智能路侧设备，优化路侧设备部署方式，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研发</w:t>
      </w:r>
      <w:r>
        <w:rPr>
          <w:rFonts w:ascii="Times New Roman" w:hAnsi="Times New Roman" w:eastAsia="仿宋_GB2312" w:cs="Times New Roman"/>
          <w:sz w:val="32"/>
          <w:szCs w:val="30"/>
        </w:rPr>
        <w:t>车路</w:t>
      </w:r>
      <w:r>
        <w:rPr>
          <w:rFonts w:ascii="Times New Roman" w:hAnsi="Times New Roman" w:eastAsia="仿宋_GB2312" w:cs="Times New Roman"/>
          <w:sz w:val="32"/>
          <w:szCs w:val="30"/>
          <w:shd w:val="clear" w:color="auto" w:fill="FFFFFF"/>
        </w:rPr>
        <w:t>云一体化</w:t>
      </w:r>
      <w:r>
        <w:rPr>
          <w:rFonts w:ascii="Times New Roman" w:hAnsi="Times New Roman" w:eastAsia="仿宋_GB2312" w:cs="Times New Roman"/>
          <w:sz w:val="32"/>
          <w:szCs w:val="30"/>
        </w:rPr>
        <w:t>管理系统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，推动</w:t>
      </w:r>
      <w:r>
        <w:rPr>
          <w:rFonts w:hint="eastAsia" w:ascii="仿宋_GB2312" w:hAnsi="Times New Roman" w:eastAsia="仿宋_GB2312" w:cs="Times New Roman"/>
          <w:sz w:val="32"/>
          <w:szCs w:val="30"/>
        </w:rPr>
        <w:t>高速公路车路云一体化协同感知与智能化决策控制</w:t>
      </w:r>
      <w:r>
        <w:rPr>
          <w:rFonts w:ascii="Times New Roman" w:hAnsi="Times New Roman" w:eastAsia="仿宋_GB2312" w:cs="Times New Roman"/>
          <w:sz w:val="32"/>
          <w:szCs w:val="30"/>
        </w:rPr>
        <w:t>。基于V2X（车对外界的信息交换）通信技术实现智能车载终端与路侧终端的实时交互，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研发</w:t>
      </w:r>
      <w:r>
        <w:rPr>
          <w:rFonts w:ascii="Times New Roman" w:hAnsi="Times New Roman" w:eastAsia="仿宋_GB2312" w:cs="Times New Roman"/>
          <w:sz w:val="32"/>
          <w:szCs w:val="30"/>
        </w:rPr>
        <w:t>云控平台实现交通态势推演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、</w:t>
      </w:r>
      <w:r>
        <w:rPr>
          <w:rFonts w:ascii="Times New Roman" w:hAnsi="Times New Roman" w:eastAsia="仿宋_GB2312" w:cs="Times New Roman"/>
          <w:sz w:val="32"/>
          <w:szCs w:val="30"/>
        </w:rPr>
        <w:t>精细化协同感知管控和自动驾驶车辆远程辅助驾驶，实现合流区预警、施工区预警、危险路段预警等27个车路协同典型场景应用。</w:t>
      </w:r>
      <w:r>
        <w:rPr>
          <w:rFonts w:ascii="Times New Roman" w:hAnsi="Times New Roman" w:eastAsia="仿宋_GB2312" w:cs="Times New Roman"/>
          <w:b/>
          <w:sz w:val="32"/>
          <w:szCs w:val="30"/>
        </w:rPr>
        <w:t>二是研发高速公路安全管控与应急救援技术及装备。</w:t>
      </w:r>
      <w:r>
        <w:rPr>
          <w:rFonts w:ascii="Times New Roman" w:hAnsi="Times New Roman" w:eastAsia="仿宋_GB2312" w:cs="Times New Roman"/>
          <w:sz w:val="32"/>
          <w:szCs w:val="30"/>
        </w:rPr>
        <w:t>集成北斗定位、语音提醒、视频智能识别等关键技术，研发车载运行风险监测预警和自动报警装备，具备车辆身份识别、营运车辆环视感知、驾驶行为主动预警和自主矫正等功能。开展</w:t>
      </w:r>
      <w:r>
        <w:rPr>
          <w:rFonts w:hint="eastAsia" w:ascii="仿宋_GB2312" w:hAnsi="Times New Roman" w:eastAsia="仿宋_GB2312" w:cs="Times New Roman"/>
          <w:sz w:val="32"/>
          <w:szCs w:val="30"/>
        </w:rPr>
        <w:t>“两客一危”</w:t>
      </w:r>
      <w:r>
        <w:rPr>
          <w:rFonts w:ascii="Times New Roman" w:hAnsi="Times New Roman" w:eastAsia="仿宋_GB2312" w:cs="Times New Roman"/>
          <w:sz w:val="32"/>
          <w:szCs w:val="30"/>
        </w:rPr>
        <w:t>车辆精准监管应用示范，接入重点营运车辆5万余辆，实现超速、停车、变道等交通事件信息的智能识别与发布，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支持</w:t>
      </w:r>
      <w:r>
        <w:rPr>
          <w:rFonts w:ascii="Times New Roman" w:hAnsi="Times New Roman" w:eastAsia="仿宋_GB2312" w:cs="Times New Roman"/>
          <w:sz w:val="32"/>
          <w:szCs w:val="30"/>
        </w:rPr>
        <w:t>车辆驾驶行为风险主动防范，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车辆驾驶行为风险自主矫正率</w:t>
      </w:r>
      <w:r>
        <w:rPr>
          <w:rFonts w:ascii="Times New Roman" w:hAnsi="Times New Roman" w:eastAsia="仿宋_GB2312" w:cs="Times New Roman"/>
          <w:sz w:val="32"/>
          <w:szCs w:val="30"/>
        </w:rPr>
        <w:t>不低于85%。</w:t>
      </w:r>
      <w:r>
        <w:rPr>
          <w:rFonts w:ascii="Times New Roman" w:hAnsi="Times New Roman" w:eastAsia="仿宋_GB2312" w:cs="Times New Roman"/>
          <w:b/>
          <w:sz w:val="32"/>
          <w:szCs w:val="30"/>
        </w:rPr>
        <w:t>三是研发智慧高速公路云控平台</w:t>
      </w: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构建物联中台、数据中台、算法中台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和</w:t>
      </w:r>
      <w:r>
        <w:rPr>
          <w:rFonts w:ascii="Times New Roman" w:hAnsi="Times New Roman" w:eastAsia="仿宋_GB2312" w:cs="Times New Roman"/>
          <w:sz w:val="32"/>
          <w:szCs w:val="30"/>
        </w:rPr>
        <w:t>GIS（地理信息系统）中台，形成智慧高速数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字</w:t>
      </w:r>
      <w:r>
        <w:rPr>
          <w:rFonts w:ascii="Times New Roman" w:hAnsi="Times New Roman" w:eastAsia="仿宋_GB2312" w:cs="Times New Roman"/>
          <w:sz w:val="32"/>
          <w:szCs w:val="30"/>
        </w:rPr>
        <w:t>底座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，研发</w:t>
      </w:r>
      <w:r>
        <w:rPr>
          <w:rFonts w:ascii="Times New Roman" w:hAnsi="Times New Roman" w:eastAsia="仿宋_GB2312" w:cs="Times New Roman"/>
          <w:sz w:val="32"/>
          <w:szCs w:val="30"/>
        </w:rPr>
        <w:t>云控平台边缘侧软硬件协同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关键</w:t>
      </w:r>
      <w:r>
        <w:rPr>
          <w:rFonts w:ascii="Times New Roman" w:hAnsi="Times New Roman" w:eastAsia="仿宋_GB2312" w:cs="Times New Roman"/>
          <w:sz w:val="32"/>
          <w:szCs w:val="30"/>
        </w:rPr>
        <w:t>技术，实现匝道分合流安全预警、车路协同等6类典型应用。开展BIM+GIS的公路基础设施建管养集成应用，提出基于机器视觉的非接触式自动化监测和安全风险动态评估方法，建立基础设施安全风险评价指标体系，实现基础设施健康状况的智能监测。</w:t>
      </w:r>
      <w:r>
        <w:rPr>
          <w:rFonts w:ascii="Times New Roman" w:hAnsi="Times New Roman" w:eastAsia="仿宋_GB2312" w:cs="Times New Roman"/>
          <w:b/>
          <w:sz w:val="32"/>
          <w:szCs w:val="30"/>
        </w:rPr>
        <w:t>四是推动公路智慧出行关键技术研究</w:t>
      </w:r>
      <w:r>
        <w:rPr>
          <w:rFonts w:hint="eastAsia" w:ascii="Times New Roman" w:hAnsi="Times New Roman" w:eastAsia="仿宋_GB2312" w:cs="Times New Roman"/>
          <w:b/>
          <w:sz w:val="32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0"/>
        </w:rPr>
        <w:t>研发面向自由流通行的智慧云收费系统，建设数字孪生收费站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、</w:t>
      </w:r>
      <w:r>
        <w:rPr>
          <w:rFonts w:ascii="Times New Roman" w:hAnsi="Times New Roman" w:eastAsia="仿宋_GB2312" w:cs="Times New Roman"/>
          <w:sz w:val="32"/>
          <w:szCs w:val="30"/>
        </w:rPr>
        <w:t>数智云舱、匝道预交易等系统，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实现</w:t>
      </w:r>
      <w:r>
        <w:rPr>
          <w:rFonts w:ascii="Times New Roman" w:hAnsi="Times New Roman" w:eastAsia="仿宋_GB2312" w:cs="Times New Roman"/>
          <w:sz w:val="32"/>
          <w:szCs w:val="30"/>
        </w:rPr>
        <w:t>收费站车辆通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行</w:t>
      </w:r>
      <w:r>
        <w:rPr>
          <w:rFonts w:ascii="Times New Roman" w:hAnsi="Times New Roman" w:eastAsia="仿宋_GB2312" w:cs="Times New Roman"/>
          <w:sz w:val="32"/>
          <w:szCs w:val="30"/>
        </w:rPr>
        <w:t>速度提升16.7%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、</w:t>
      </w:r>
      <w:r>
        <w:rPr>
          <w:rFonts w:ascii="Times New Roman" w:hAnsi="Times New Roman" w:eastAsia="仿宋_GB2312" w:cs="Times New Roman"/>
          <w:sz w:val="32"/>
          <w:szCs w:val="30"/>
        </w:rPr>
        <w:t>收费时间缩短20%。基于ETC（电子不停车收费）生态打造</w:t>
      </w:r>
      <w:r>
        <w:rPr>
          <w:rFonts w:hint="eastAsia" w:ascii="仿宋_GB2312" w:hAnsi="Times New Roman" w:eastAsia="仿宋_GB2312" w:cs="Times New Roman"/>
          <w:sz w:val="32"/>
          <w:szCs w:val="30"/>
        </w:rPr>
        <w:t>“车支付”</w:t>
      </w:r>
      <w:r>
        <w:rPr>
          <w:rFonts w:ascii="Times New Roman" w:hAnsi="Times New Roman" w:eastAsia="仿宋_GB2312" w:cs="Times New Roman"/>
          <w:sz w:val="32"/>
          <w:szCs w:val="30"/>
        </w:rPr>
        <w:t>体系，构建高速与城市一体化协同运行平台，拓展ETC在加油、洗车、停车等场景的综合应用，便利群众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出行</w:t>
      </w:r>
      <w:r>
        <w:rPr>
          <w:rFonts w:ascii="Times New Roman" w:hAnsi="Times New Roman" w:eastAsia="仿宋_GB2312" w:cs="Times New Roman"/>
          <w:sz w:val="32"/>
          <w:szCs w:val="30"/>
        </w:rPr>
        <w:t>。</w:t>
      </w:r>
    </w:p>
    <w:p w14:paraId="005CD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6A05"/>
    <w:rsid w:val="5BA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1044</Words>
  <Characters>2013</Characters>
  <Lines>0</Lines>
  <Paragraphs>0</Paragraphs>
  <TotalTime>0</TotalTime>
  <ScaleCrop>false</ScaleCrop>
  <LinksUpToDate>false</LinksUpToDate>
  <CharactersWithSpaces>2015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2026-01-05T01:02:00Z</dcterms:created>
  <dc:creator> </dc:creator>
  <cp:lastModifiedBy> </cp:lastModifiedBy>
  <dcterms:modified xsi:type="dcterms:W3CDTF">2026-01-05T02:17:32Z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8592A72CBE23413096D07312343EE854_11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