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5B6D6">
      <w:pPr>
        <w:spacing w:line="580" w:lineRule="exact"/>
        <w:rPr>
          <w:rFonts w:ascii="Times New Roman" w:hAnsi="Times New Roman" w:eastAsia="黑体"/>
          <w:sz w:val="32"/>
          <w:szCs w:val="32"/>
        </w:rPr>
      </w:pPr>
      <w:r>
        <w:rPr>
          <w:rFonts w:ascii="Times New Roman" w:hAnsi="Times New Roman" w:eastAsia="黑体"/>
          <w:sz w:val="32"/>
          <w:szCs w:val="32"/>
        </w:rPr>
        <w:t>附件2</w:t>
      </w:r>
    </w:p>
    <w:p w14:paraId="17778EEE">
      <w:pPr>
        <w:pStyle w:val="2"/>
        <w:adjustRightInd/>
        <w:snapToGrid/>
        <w:spacing w:before="0" w:beforeAutospacing="0" w:after="0" w:afterAutospacing="0" w:line="580" w:lineRule="exact"/>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试点任务典型经验</w:t>
      </w:r>
    </w:p>
    <w:bookmarkEnd w:id="0"/>
    <w:p w14:paraId="5C18FBDE">
      <w:pPr>
        <w:spacing w:line="580" w:lineRule="exact"/>
        <w:ind w:firstLine="640" w:firstLineChars="200"/>
        <w:rPr>
          <w:rFonts w:hint="eastAsia" w:ascii="Times New Roman" w:hAnsi="Times New Roman" w:eastAsia="黑体"/>
          <w:sz w:val="32"/>
        </w:rPr>
      </w:pPr>
    </w:p>
    <w:p w14:paraId="010A9E05">
      <w:pPr>
        <w:spacing w:line="580" w:lineRule="exact"/>
        <w:ind w:firstLine="640" w:firstLineChars="200"/>
        <w:rPr>
          <w:rFonts w:ascii="Times New Roman" w:hAnsi="Times New Roman" w:eastAsia="黑体"/>
          <w:sz w:val="32"/>
        </w:rPr>
      </w:pPr>
      <w:r>
        <w:rPr>
          <w:rFonts w:hint="eastAsia" w:ascii="Times New Roman" w:hAnsi="Times New Roman" w:eastAsia="黑体"/>
          <w:sz w:val="32"/>
        </w:rPr>
        <w:t>一</w:t>
      </w:r>
      <w:r>
        <w:rPr>
          <w:rFonts w:ascii="Times New Roman" w:hAnsi="Times New Roman" w:eastAsia="黑体"/>
          <w:sz w:val="32"/>
        </w:rPr>
        <w:t>、打造</w:t>
      </w:r>
      <w:r>
        <w:rPr>
          <w:rFonts w:hint="eastAsia" w:ascii="Times New Roman" w:hAnsi="Times New Roman" w:eastAsia="黑体"/>
          <w:sz w:val="32"/>
        </w:rPr>
        <w:t>隧道不降速通行一体化技术方案</w:t>
      </w:r>
    </w:p>
    <w:p w14:paraId="74892858">
      <w:pPr>
        <w:pStyle w:val="2"/>
        <w:spacing w:before="0" w:beforeAutospacing="0" w:after="0" w:afterAutospacing="0" w:line="580" w:lineRule="exact"/>
        <w:ind w:firstLine="640" w:firstLineChars="200"/>
        <w:jc w:val="both"/>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针对公路隧道存在的洞内定位精度差、精细化管理难、“黑白洞效应”等问题，山东省创新打造“智能照明控制、实时数字孪生、一体化管控、多系统联动处置”技术方案，推动实现隧道不降速通行。</w:t>
      </w:r>
      <w:r>
        <w:rPr>
          <w:rFonts w:hint="eastAsia" w:ascii="仿宋_GB2312" w:hAnsi="Times New Roman" w:eastAsia="仿宋_GB2312" w:cs="Times New Roman"/>
          <w:b/>
          <w:sz w:val="32"/>
          <w:szCs w:val="30"/>
        </w:rPr>
        <w:t>一</w:t>
      </w:r>
      <w:r>
        <w:rPr>
          <w:rFonts w:ascii="仿宋_GB2312" w:hAnsi="Times New Roman" w:eastAsia="仿宋_GB2312" w:cs="Times New Roman"/>
          <w:b/>
          <w:sz w:val="32"/>
          <w:szCs w:val="30"/>
        </w:rPr>
        <w:t>是</w:t>
      </w:r>
      <w:r>
        <w:rPr>
          <w:rFonts w:ascii="仿宋_GB2312" w:hAnsi="Times New Roman" w:eastAsia="仿宋_GB2312" w:cs="Times New Roman"/>
          <w:sz w:val="32"/>
          <w:szCs w:val="30"/>
        </w:rPr>
        <w:t>结合驾驶员视觉恢复时间研究，建立照度影响因素模型，提出光伏板遮光棚的长度设计、照度渐变设计方法</w:t>
      </w:r>
      <w:r>
        <w:rPr>
          <w:rFonts w:hint="eastAsia" w:ascii="仿宋_GB2312" w:hAnsi="Times New Roman" w:eastAsia="仿宋_GB2312" w:cs="Times New Roman"/>
          <w:sz w:val="32"/>
          <w:szCs w:val="30"/>
        </w:rPr>
        <w:t>，采用双色温灯具与无级调光系统，减少黑白洞效应与侧壁效应。</w:t>
      </w:r>
      <w:r>
        <w:rPr>
          <w:rFonts w:hint="eastAsia" w:ascii="仿宋_GB2312" w:hAnsi="Times New Roman" w:eastAsia="仿宋_GB2312" w:cs="Times New Roman"/>
          <w:b/>
          <w:sz w:val="32"/>
          <w:szCs w:val="30"/>
        </w:rPr>
        <w:t>二是</w:t>
      </w:r>
      <w:r>
        <w:rPr>
          <w:rFonts w:hint="eastAsia" w:ascii="仿宋_GB2312" w:hAnsi="Times New Roman" w:eastAsia="仿宋_GB2312" w:cs="Times New Roman"/>
          <w:sz w:val="32"/>
          <w:szCs w:val="30"/>
        </w:rPr>
        <w:t>基于激光/毫米波雷达与视频融合，实现车辆精准定位与全域跟踪监控的全息感知，提升</w:t>
      </w:r>
      <w:r>
        <w:rPr>
          <w:rFonts w:hint="eastAsia" w:ascii="Times New Roman" w:hAnsi="Times New Roman" w:eastAsia="仿宋_GB2312" w:cs="Times New Roman"/>
          <w:sz w:val="32"/>
          <w:szCs w:val="30"/>
        </w:rPr>
        <w:t>车辆轨迹连续跟踪率至98.1%、事件识别准确率达到99.1%</w:t>
      </w:r>
      <w:r>
        <w:rPr>
          <w:rFonts w:hint="eastAsia" w:ascii="仿宋_GB2312" w:hAnsi="Times New Roman" w:eastAsia="仿宋_GB2312" w:cs="Times New Roman"/>
          <w:sz w:val="32"/>
          <w:szCs w:val="30"/>
        </w:rPr>
        <w:t>。</w:t>
      </w:r>
      <w:r>
        <w:rPr>
          <w:rFonts w:hint="eastAsia" w:ascii="仿宋_GB2312" w:hAnsi="Times New Roman" w:eastAsia="仿宋_GB2312" w:cs="Times New Roman"/>
          <w:b/>
          <w:sz w:val="32"/>
          <w:szCs w:val="30"/>
        </w:rPr>
        <w:t>三是</w:t>
      </w:r>
      <w:r>
        <w:rPr>
          <w:rFonts w:hint="eastAsia" w:ascii="仿宋_GB2312" w:hAnsi="Times New Roman" w:eastAsia="仿宋_GB2312" w:cs="Times New Roman"/>
          <w:sz w:val="32"/>
          <w:szCs w:val="30"/>
        </w:rPr>
        <w:t>实施云边端一体化协同管控，一体化部署智能设备与传统机电设备，形成边缘侧消防、照明、应急处置等系统设施的资源化共享与智能化联动，有效提升应急管控能力。</w:t>
      </w:r>
      <w:r>
        <w:rPr>
          <w:rFonts w:hint="eastAsia" w:ascii="仿宋_GB2312" w:hAnsi="Times New Roman" w:eastAsia="仿宋_GB2312" w:cs="Times New Roman"/>
          <w:b/>
          <w:sz w:val="32"/>
          <w:szCs w:val="30"/>
        </w:rPr>
        <w:t>四是</w:t>
      </w:r>
      <w:r>
        <w:rPr>
          <w:rFonts w:hint="eastAsia" w:ascii="仿宋_GB2312" w:hAnsi="Times New Roman" w:eastAsia="仿宋_GB2312" w:cs="Times New Roman"/>
          <w:sz w:val="32"/>
          <w:szCs w:val="30"/>
        </w:rPr>
        <w:t>构建统一的事件处置平台，形成“事前运行监测、事中指挥调度、事后定量评估”的业务管理闭环，基于时间轴联动调度指挥中心与事件现场，实现应急处置“一张网”管控。</w:t>
      </w:r>
      <w:r>
        <w:rPr>
          <w:rFonts w:hint="eastAsia" w:ascii="仿宋_GB2312" w:hAnsi="Times New Roman" w:eastAsia="仿宋_GB2312" w:cs="Times New Roman"/>
          <w:color w:val="auto"/>
          <w:sz w:val="32"/>
          <w:szCs w:val="30"/>
          <w:highlight w:val="none"/>
          <w:lang w:eastAsia="zh-CN"/>
        </w:rPr>
        <w:t>该技术方案</w:t>
      </w:r>
      <w:r>
        <w:rPr>
          <w:rFonts w:hint="eastAsia" w:ascii="Times New Roman" w:hAnsi="Times New Roman" w:eastAsia="仿宋_GB2312" w:cs="Times New Roman"/>
          <w:color w:val="auto"/>
          <w:sz w:val="32"/>
          <w:szCs w:val="30"/>
          <w:highlight w:val="none"/>
        </w:rPr>
        <w:t>在胡山、仰天山等1</w:t>
      </w:r>
      <w:r>
        <w:rPr>
          <w:rFonts w:ascii="Times New Roman" w:hAnsi="Times New Roman" w:eastAsia="仿宋_GB2312" w:cs="Times New Roman"/>
          <w:color w:val="auto"/>
          <w:sz w:val="32"/>
          <w:szCs w:val="30"/>
          <w:highlight w:val="none"/>
        </w:rPr>
        <w:t>0座公路</w:t>
      </w:r>
      <w:r>
        <w:rPr>
          <w:rFonts w:hint="eastAsia" w:ascii="Times New Roman" w:hAnsi="Times New Roman" w:eastAsia="仿宋_GB2312" w:cs="Times New Roman"/>
          <w:color w:val="auto"/>
          <w:sz w:val="32"/>
          <w:szCs w:val="30"/>
          <w:highlight w:val="none"/>
        </w:rPr>
        <w:t>隧道实施应用</w:t>
      </w:r>
      <w:r>
        <w:rPr>
          <w:rFonts w:ascii="Times New Roman" w:hAnsi="Times New Roman" w:eastAsia="仿宋_GB2312" w:cs="Times New Roman"/>
          <w:color w:val="auto"/>
          <w:sz w:val="32"/>
          <w:szCs w:val="30"/>
          <w:highlight w:val="none"/>
        </w:rPr>
        <w:t>，实现照明灯具安装功率较传统模式减少30%，年用电量降低40%，隧道通行效率提升30%，公众出行体验感和满意度显著提升</w:t>
      </w:r>
      <w:r>
        <w:rPr>
          <w:rFonts w:hint="eastAsia" w:ascii="Times New Roman" w:hAnsi="Times New Roman" w:eastAsia="仿宋_GB2312" w:cs="Times New Roman"/>
          <w:color w:val="auto"/>
          <w:sz w:val="32"/>
          <w:szCs w:val="30"/>
          <w:highlight w:val="none"/>
        </w:rPr>
        <w:t>。</w:t>
      </w:r>
    </w:p>
    <w:p w14:paraId="4473A526">
      <w:pPr>
        <w:spacing w:line="580" w:lineRule="exact"/>
        <w:ind w:firstLine="640" w:firstLineChars="200"/>
        <w:rPr>
          <w:rFonts w:ascii="Times New Roman" w:hAnsi="Times New Roman" w:eastAsia="黑体"/>
          <w:sz w:val="32"/>
        </w:rPr>
      </w:pPr>
      <w:r>
        <w:rPr>
          <w:rFonts w:ascii="Times New Roman" w:hAnsi="Times New Roman" w:eastAsia="黑体"/>
          <w:sz w:val="32"/>
        </w:rPr>
        <w:t>二、</w:t>
      </w:r>
      <w:r>
        <w:rPr>
          <w:rFonts w:hint="eastAsia" w:ascii="Times New Roman" w:hAnsi="Times New Roman" w:eastAsia="黑体"/>
          <w:sz w:val="32"/>
        </w:rPr>
        <w:t>打</w:t>
      </w:r>
      <w:r>
        <w:rPr>
          <w:rFonts w:ascii="Times New Roman" w:hAnsi="Times New Roman" w:eastAsia="黑体"/>
          <w:sz w:val="32"/>
        </w:rPr>
        <w:t>造智慧收费出行示范</w:t>
      </w:r>
    </w:p>
    <w:p w14:paraId="4DE9F1D6">
      <w:pPr>
        <w:pStyle w:val="2"/>
        <w:spacing w:before="0" w:beforeAutospacing="0" w:after="0" w:afterAutospacing="0" w:line="580" w:lineRule="exact"/>
        <w:ind w:firstLine="640" w:firstLineChars="200"/>
        <w:jc w:val="both"/>
        <w:rPr>
          <w:rFonts w:ascii="Times New Roman" w:hAnsi="Times New Roman" w:eastAsia="仿宋_GB2312" w:cs="Times New Roman"/>
          <w:color w:val="FF0000"/>
          <w:sz w:val="32"/>
          <w:szCs w:val="30"/>
        </w:rPr>
      </w:pPr>
      <w:r>
        <w:rPr>
          <w:rFonts w:hint="eastAsia" w:ascii="仿宋_GB2312" w:hAnsi="Times New Roman" w:eastAsia="仿宋_GB2312" w:cs="Times New Roman"/>
          <w:sz w:val="32"/>
          <w:szCs w:val="30"/>
        </w:rPr>
        <w:t>面向收费站通行效率和服务品质提升需求，山东省通过设备集约化、流程智能化、服务多元化改造，推动解决传统收费场景设备冗余、特情处置滞后等问题。</w:t>
      </w:r>
      <w:r>
        <w:rPr>
          <w:rFonts w:hint="eastAsia" w:ascii="仿宋_GB2312" w:hAnsi="Times New Roman" w:eastAsia="仿宋_GB2312" w:cs="Times New Roman"/>
          <w:b/>
          <w:sz w:val="32"/>
          <w:szCs w:val="30"/>
        </w:rPr>
        <w:t>一是</w:t>
      </w:r>
      <w:r>
        <w:rPr>
          <w:rFonts w:hint="eastAsia" w:ascii="仿宋_GB2312" w:hAnsi="Times New Roman" w:eastAsia="仿宋_GB2312" w:cs="Times New Roman"/>
          <w:sz w:val="32"/>
          <w:szCs w:val="30"/>
        </w:rPr>
        <w:t>实施收费岛“瘦岛化”改造，结合车道布局与雨棚钢结构设计</w:t>
      </w:r>
      <w:r>
        <w:rPr>
          <w:rFonts w:ascii="Times New Roman" w:hAnsi="Times New Roman" w:eastAsia="仿宋_GB2312" w:cs="Times New Roman"/>
          <w:sz w:val="32"/>
          <w:szCs w:val="30"/>
        </w:rPr>
        <w:t>，取消ETC车道收费亭，将收费设备集成化部署，拓宽车道通行空间。</w:t>
      </w:r>
      <w:r>
        <w:rPr>
          <w:rFonts w:ascii="Times New Roman" w:hAnsi="Times New Roman" w:eastAsia="仿宋_GB2312" w:cs="Times New Roman"/>
          <w:b/>
          <w:sz w:val="32"/>
          <w:szCs w:val="30"/>
        </w:rPr>
        <w:t>二是</w:t>
      </w:r>
      <w:r>
        <w:rPr>
          <w:rFonts w:ascii="Times New Roman" w:hAnsi="Times New Roman" w:eastAsia="仿宋_GB2312" w:cs="Times New Roman"/>
          <w:sz w:val="32"/>
          <w:szCs w:val="30"/>
        </w:rPr>
        <w:t>推广应用ETC匝道预交易技术，在车辆进入主线收费站前，提前完成ETC交易状态核验、特情车辆标记及车牌、车身颜色等特征信息采集，实现车辆快速无感通行。</w:t>
      </w:r>
      <w:r>
        <w:rPr>
          <w:rFonts w:ascii="Times New Roman" w:hAnsi="Times New Roman" w:eastAsia="仿宋_GB2312" w:cs="Times New Roman"/>
          <w:b/>
          <w:sz w:val="32"/>
          <w:szCs w:val="30"/>
        </w:rPr>
        <w:t>三是</w:t>
      </w:r>
      <w:r>
        <w:rPr>
          <w:rFonts w:ascii="Times New Roman" w:hAnsi="Times New Roman" w:eastAsia="仿宋_GB2312" w:cs="Times New Roman"/>
          <w:sz w:val="32"/>
          <w:szCs w:val="30"/>
        </w:rPr>
        <w:t>研发收费云舱系统，构建收费站数字孪生模型，实时优化通行秩序，实现对特情车辆的全流程跟踪</w:t>
      </w:r>
      <w:r>
        <w:rPr>
          <w:rFonts w:hint="eastAsia" w:ascii="Times New Roman" w:hAnsi="Times New Roman" w:eastAsia="仿宋_GB2312" w:cs="Times New Roman"/>
          <w:sz w:val="32"/>
          <w:szCs w:val="30"/>
        </w:rPr>
        <w:t>与</w:t>
      </w:r>
      <w:r>
        <w:rPr>
          <w:rFonts w:ascii="Times New Roman" w:hAnsi="Times New Roman" w:eastAsia="仿宋_GB2312" w:cs="Times New Roman"/>
          <w:sz w:val="32"/>
          <w:szCs w:val="30"/>
        </w:rPr>
        <w:t>主动诱导</w:t>
      </w:r>
      <w:r>
        <w:rPr>
          <w:rFonts w:hint="eastAsia" w:ascii="仿宋_GB2312" w:hAnsi="Times New Roman" w:eastAsia="仿宋_GB2312" w:cs="Times New Roman"/>
          <w:sz w:val="32"/>
          <w:szCs w:val="30"/>
        </w:rPr>
        <w:t>，联动远程干预快速处置特情。试点以来</w:t>
      </w:r>
      <w:r>
        <w:rPr>
          <w:rFonts w:ascii="Times New Roman" w:hAnsi="Times New Roman" w:eastAsia="仿宋_GB2312" w:cs="Times New Roman"/>
          <w:sz w:val="32"/>
          <w:szCs w:val="30"/>
        </w:rPr>
        <w:t>，济青中线高速公路全线建成智慧云收费站15处，交易成功率提高至99.99%，特情处置效率提升30%，并</w:t>
      </w:r>
      <w:r>
        <w:rPr>
          <w:rFonts w:hint="eastAsia" w:ascii="Times New Roman" w:hAnsi="Times New Roman" w:eastAsia="仿宋_GB2312" w:cs="Times New Roman"/>
          <w:sz w:val="32"/>
          <w:szCs w:val="30"/>
        </w:rPr>
        <w:t>将</w:t>
      </w:r>
      <w:r>
        <w:rPr>
          <w:rFonts w:ascii="Times New Roman" w:hAnsi="Times New Roman" w:eastAsia="仿宋_GB2312" w:cs="Times New Roman"/>
          <w:sz w:val="32"/>
          <w:szCs w:val="30"/>
        </w:rPr>
        <w:t>云收费技术在省内47个收费站推广应用。</w:t>
      </w:r>
    </w:p>
    <w:p w14:paraId="09969723">
      <w:pPr>
        <w:spacing w:line="580" w:lineRule="exact"/>
        <w:ind w:firstLine="640" w:firstLineChars="200"/>
        <w:rPr>
          <w:rFonts w:ascii="Times New Roman" w:hAnsi="Times New Roman" w:eastAsia="黑体"/>
          <w:sz w:val="32"/>
        </w:rPr>
      </w:pPr>
      <w:r>
        <w:rPr>
          <w:rFonts w:hint="eastAsia" w:ascii="Times New Roman" w:hAnsi="Times New Roman" w:eastAsia="黑体"/>
          <w:sz w:val="32"/>
        </w:rPr>
        <w:t>三</w:t>
      </w:r>
      <w:r>
        <w:rPr>
          <w:rFonts w:ascii="Times New Roman" w:hAnsi="Times New Roman" w:eastAsia="黑体"/>
          <w:sz w:val="32"/>
        </w:rPr>
        <w:t>、</w:t>
      </w:r>
      <w:r>
        <w:rPr>
          <w:rFonts w:hint="eastAsia" w:ascii="Times New Roman" w:hAnsi="Times New Roman" w:eastAsia="黑体"/>
          <w:sz w:val="32"/>
        </w:rPr>
        <w:t>打</w:t>
      </w:r>
      <w:r>
        <w:rPr>
          <w:rFonts w:ascii="Times New Roman" w:hAnsi="Times New Roman" w:eastAsia="黑体"/>
          <w:sz w:val="32"/>
        </w:rPr>
        <w:t>造</w:t>
      </w:r>
      <w:r>
        <w:rPr>
          <w:rFonts w:hint="eastAsia" w:ascii="仿宋_GB2312" w:hAnsi="Times New Roman" w:eastAsia="仿宋_GB2312"/>
          <w:sz w:val="32"/>
        </w:rPr>
        <w:t>“</w:t>
      </w:r>
      <w:r>
        <w:rPr>
          <w:rFonts w:ascii="Times New Roman" w:hAnsi="Times New Roman" w:eastAsia="黑体"/>
          <w:sz w:val="32"/>
        </w:rPr>
        <w:t>零碳高速</w:t>
      </w:r>
      <w:r>
        <w:rPr>
          <w:rFonts w:hint="eastAsia" w:ascii="仿宋_GB2312" w:hAnsi="Times New Roman" w:eastAsia="仿宋_GB2312"/>
          <w:sz w:val="32"/>
        </w:rPr>
        <w:t>”</w:t>
      </w:r>
      <w:r>
        <w:rPr>
          <w:rFonts w:ascii="Times New Roman" w:hAnsi="Times New Roman" w:eastAsia="黑体"/>
          <w:sz w:val="32"/>
        </w:rPr>
        <w:t>智慧化保障体系</w:t>
      </w:r>
    </w:p>
    <w:p w14:paraId="52C8968F">
      <w:r>
        <w:rPr>
          <w:rFonts w:hint="eastAsia" w:ascii="仿宋_GB2312" w:hAnsi="Times New Roman" w:eastAsia="仿宋_GB2312" w:cs="Times New Roman"/>
          <w:sz w:val="32"/>
          <w:szCs w:val="30"/>
        </w:rPr>
        <w:t>山东省聚焦高速公路运营期零碳目标，推动打造“碳排放综合管控、可再生能源利用、智慧能源网运行管控”的“</w:t>
      </w:r>
      <w:r>
        <w:rPr>
          <w:rFonts w:ascii="仿宋_GB2312" w:hAnsi="Times New Roman" w:eastAsia="仿宋_GB2312" w:cs="Times New Roman"/>
          <w:sz w:val="32"/>
          <w:szCs w:val="30"/>
        </w:rPr>
        <w:t>零碳高速</w:t>
      </w:r>
      <w:r>
        <w:rPr>
          <w:rFonts w:hint="eastAsia" w:ascii="仿宋_GB2312" w:hAnsi="Times New Roman" w:eastAsia="仿宋_GB2312" w:cs="Times New Roman"/>
          <w:sz w:val="32"/>
          <w:szCs w:val="30"/>
        </w:rPr>
        <w:t>”智慧化保障体系。</w:t>
      </w:r>
      <w:r>
        <w:rPr>
          <w:rFonts w:hint="eastAsia" w:ascii="Times New Roman" w:hAnsi="Times New Roman" w:eastAsia="仿宋_GB2312" w:cs="Times New Roman"/>
          <w:sz w:val="32"/>
          <w:szCs w:val="30"/>
        </w:rPr>
        <w:t>构建适配高速公路设施用电与光伏分布式发电特征的多尺度区域微电网，建设覆盖路域光伏选址定容、就地消纳、局域自洽、能源调度、碳排放计量的综合能源管控平台，建成零碳服务区、零碳隧道、零碳收费站等典型场景，通过用能管控、源荷互动优化调度，实现“源—网—荷—储”高效协同运行，能源转换效率提升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66A05"/>
    <w:rsid w:val="5BA66A05"/>
    <w:rsid w:val="6B20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1044</Words>
  <Characters>2013</Characters>
  <Lines>0</Lines>
  <Paragraphs>0</Paragraphs>
  <TotalTime>0</TotalTime>
  <ScaleCrop>false</ScaleCrop>
  <LinksUpToDate>false</LinksUpToDate>
  <CharactersWithSpaces>2015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2026-01-05T01:02:00Z</dcterms:created>
  <dc:creator> </dc:creator>
  <cp:lastModifiedBy> </cp:lastModifiedBy>
  <dcterms:modified xsi:type="dcterms:W3CDTF">2026-01-05T02:18:23Z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E87B5FD0B77F4388A3233CDB95CAEE41_13</vt:lpwstr>
  </property>
  <property fmtid="{D5CDD505-2E9C-101B-9397-08002B2CF9AE}" pid="4" name="KSOTemplateDocerSaveRecord">
    <vt:lpwstr>eyJoZGlkIjoiMGY5YzExYzdiNzdjMzk1YTc1NjUwYWI4YjU4MzgyYjEiLCJ1c2VySWQiOiIzNjg3NDIyNzAifQ==</vt:lpwstr>
  </property>
</Properties>
</file>