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3F9D">
      <w:pPr>
        <w:overflowPunct w:val="0"/>
        <w:topLinePunct/>
        <w:adjustRightInd w:val="0"/>
        <w:spacing w:line="580" w:lineRule="exact"/>
        <w:rPr>
          <w:rFonts w:ascii="黑体" w:hAnsi="黑体" w:eastAsia="黑体" w:cs="方正黑体_GBK"/>
          <w:sz w:val="32"/>
          <w:szCs w:val="32"/>
        </w:rPr>
      </w:pPr>
      <w:r>
        <w:rPr>
          <w:rFonts w:hint="eastAsia" w:ascii="黑体" w:hAnsi="黑体" w:eastAsia="黑体" w:cs="方正黑体_GBK"/>
          <w:sz w:val="32"/>
          <w:szCs w:val="32"/>
        </w:rPr>
        <w:t>附件</w:t>
      </w:r>
      <w:r>
        <w:rPr>
          <w:rFonts w:ascii="Times New Roman" w:hAnsi="Times New Roman" w:eastAsia="黑体"/>
          <w:sz w:val="32"/>
          <w:szCs w:val="32"/>
        </w:rPr>
        <w:t>1</w:t>
      </w:r>
    </w:p>
    <w:tbl>
      <w:tblPr>
        <w:tblStyle w:val="2"/>
        <w:tblW w:w="0" w:type="auto"/>
        <w:jc w:val="center"/>
        <w:tblLayout w:type="fixed"/>
        <w:tblCellMar>
          <w:top w:w="0" w:type="dxa"/>
          <w:left w:w="0" w:type="dxa"/>
          <w:bottom w:w="0" w:type="dxa"/>
          <w:right w:w="0" w:type="dxa"/>
        </w:tblCellMar>
      </w:tblPr>
      <w:tblGrid>
        <w:gridCol w:w="8844"/>
      </w:tblGrid>
      <w:tr w14:paraId="06FE52EE">
        <w:tblPrEx>
          <w:tblCellMar>
            <w:top w:w="0" w:type="dxa"/>
            <w:left w:w="0" w:type="dxa"/>
            <w:bottom w:w="0" w:type="dxa"/>
            <w:right w:w="0" w:type="dxa"/>
          </w:tblCellMar>
        </w:tblPrEx>
        <w:trPr>
          <w:trHeight w:val="607" w:hRule="exact"/>
          <w:jc w:val="center"/>
        </w:trPr>
        <w:tc>
          <w:tcPr>
            <w:tcW w:w="8844" w:type="dxa"/>
            <w:noWrap w:val="0"/>
            <w:vAlign w:val="top"/>
          </w:tcPr>
          <w:p w14:paraId="203F4B45">
            <w:pPr>
              <w:tabs>
                <w:tab w:val="left" w:pos="826"/>
              </w:tabs>
              <w:overflowPunct w:val="0"/>
              <w:topLinePunct/>
              <w:spacing w:after="156" w:afterLines="50"/>
              <w:jc w:val="left"/>
              <w:rPr>
                <w:rFonts w:hint="eastAsia" w:ascii="GWZT-EN" w:hAnsi="方正小标宋_GBK" w:eastAsia="方正小标宋_GBK" w:cs="方正小标宋_GBK"/>
                <w:position w:val="19"/>
                <w:sz w:val="44"/>
                <w:szCs w:val="44"/>
              </w:rPr>
            </w:pPr>
            <w:bookmarkStart w:id="0" w:name="_GoBack"/>
            <w:r>
              <w:rPr>
                <w:rFonts w:hint="eastAsia" w:ascii="GWZT-EN" w:hAnsi="方正小标宋_GBK" w:eastAsia="方正小标宋_GBK" w:cs="方正小标宋_GBK"/>
                <w:position w:val="19"/>
                <w:sz w:val="44"/>
                <w:szCs w:val="44"/>
              </w:rPr>
              <w:tab/>
            </w:r>
          </w:p>
        </w:tc>
      </w:tr>
      <w:bookmarkEnd w:id="0"/>
      <w:tr w14:paraId="5853FB51">
        <w:tblPrEx>
          <w:tblCellMar>
            <w:top w:w="0" w:type="dxa"/>
            <w:left w:w="0" w:type="dxa"/>
            <w:bottom w:w="0" w:type="dxa"/>
            <w:right w:w="0" w:type="dxa"/>
          </w:tblCellMar>
        </w:tblPrEx>
        <w:trPr>
          <w:trHeight w:val="459" w:hRule="atLeast"/>
          <w:jc w:val="center"/>
        </w:trPr>
        <w:tc>
          <w:tcPr>
            <w:tcW w:w="8844" w:type="dxa"/>
            <w:noWrap w:val="0"/>
            <w:vAlign w:val="top"/>
          </w:tcPr>
          <w:p w14:paraId="09879D67">
            <w:pPr>
              <w:overflowPunct w:val="0"/>
              <w:topLinePunct/>
              <w:jc w:val="center"/>
              <w:rPr>
                <w:rFonts w:ascii="GWZT-EN" w:hAnsi="GWZT-EN" w:eastAsia="GWZT-EN" w:cs="GWZT-EN"/>
                <w:sz w:val="44"/>
                <w:szCs w:val="44"/>
              </w:rPr>
            </w:pPr>
            <w:r>
              <w:rPr>
                <w:rFonts w:hint="eastAsia" w:ascii="GWZT-EN" w:hAnsi="方正小标宋_GBK" w:eastAsia="方正小标宋_GBK" w:cs="方正小标宋_GBK"/>
                <w:spacing w:val="-11"/>
                <w:sz w:val="44"/>
                <w:szCs w:val="44"/>
              </w:rPr>
              <w:t>试点任务完成情况</w:t>
            </w:r>
          </w:p>
        </w:tc>
      </w:tr>
      <w:tr w14:paraId="3FD42567">
        <w:tblPrEx>
          <w:tblCellMar>
            <w:top w:w="0" w:type="dxa"/>
            <w:left w:w="0" w:type="dxa"/>
            <w:bottom w:w="0" w:type="dxa"/>
            <w:right w:w="0" w:type="dxa"/>
          </w:tblCellMar>
        </w:tblPrEx>
        <w:trPr>
          <w:trHeight w:val="329" w:hRule="exact"/>
          <w:jc w:val="center"/>
        </w:trPr>
        <w:tc>
          <w:tcPr>
            <w:tcW w:w="8844" w:type="dxa"/>
            <w:noWrap w:val="0"/>
            <w:vAlign w:val="top"/>
          </w:tcPr>
          <w:p w14:paraId="18A17F60">
            <w:pPr>
              <w:overflowPunct w:val="0"/>
              <w:topLinePunct/>
              <w:spacing w:line="586" w:lineRule="exact"/>
              <w:jc w:val="center"/>
              <w:rPr>
                <w:rFonts w:hint="eastAsia" w:ascii="GWZT-EN" w:hAnsi="方正小标宋_GBK" w:eastAsia="方正小标宋_GBK" w:cs="方正小标宋_GBK"/>
                <w:sz w:val="44"/>
                <w:szCs w:val="44"/>
              </w:rPr>
            </w:pPr>
          </w:p>
        </w:tc>
      </w:tr>
    </w:tbl>
    <w:p w14:paraId="2DFC0432">
      <w:pPr>
        <w:overflowPunct w:val="0"/>
        <w:topLinePunct/>
        <w:spacing w:line="58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一、推动交通信息化标准体系建设</w:t>
      </w:r>
    </w:p>
    <w:p w14:paraId="49EBB1DF">
      <w:pPr>
        <w:overflowPunct w:val="0"/>
        <w:topLinePunct/>
        <w:spacing w:line="580" w:lineRule="exact"/>
        <w:ind w:firstLine="643" w:firstLineChars="200"/>
        <w:rPr>
          <w:rFonts w:hint="eastAsia" w:ascii="仿宋_GB2312" w:hAnsi="GWZT-EN" w:eastAsia="仿宋_GB2312"/>
          <w:sz w:val="32"/>
          <w:szCs w:val="32"/>
        </w:rPr>
      </w:pPr>
      <w:r>
        <w:rPr>
          <w:rFonts w:hint="eastAsia" w:ascii="仿宋_GB2312" w:hAnsi="GWZT-EN" w:eastAsia="仿宋_GB2312"/>
          <w:b/>
          <w:bCs/>
          <w:sz w:val="32"/>
          <w:szCs w:val="32"/>
        </w:rPr>
        <w:t>一是</w:t>
      </w:r>
      <w:r>
        <w:rPr>
          <w:rFonts w:hint="eastAsia" w:ascii="仿宋_GB2312" w:hAnsi="GWZT-EN" w:eastAsia="仿宋_GB2312"/>
          <w:sz w:val="32"/>
          <w:szCs w:val="32"/>
        </w:rPr>
        <w:t>制定昆明市《综合交通运输运行协调指挥中心数据管理制度》《交通运输行业数据资源共享交换规范》，规范交通运输行业数据采集、存储、分析、管理等要求，构建行业数据资源共享交换机制。</w:t>
      </w:r>
      <w:r>
        <w:rPr>
          <w:rFonts w:hint="eastAsia" w:ascii="仿宋_GB2312" w:hAnsi="GWZT-EN" w:eastAsia="仿宋_GB2312"/>
          <w:b/>
          <w:bCs/>
          <w:sz w:val="32"/>
          <w:szCs w:val="32"/>
        </w:rPr>
        <w:t>二是</w:t>
      </w:r>
      <w:r>
        <w:rPr>
          <w:rFonts w:hint="eastAsia" w:ascii="仿宋_GB2312" w:hAnsi="GWZT-EN" w:eastAsia="仿宋_GB2312"/>
          <w:sz w:val="32"/>
          <w:szCs w:val="32"/>
        </w:rPr>
        <w:t>制定《昆明市综合交通运行监测指标体系》，构建市级综合交通运行监测指标体系总体框架，提出公路、铁路、水路、港口、航空、城市客运等各行业领域的运行监测指标要求。</w:t>
      </w:r>
      <w:r>
        <w:rPr>
          <w:rFonts w:hint="eastAsia" w:ascii="仿宋_GB2312" w:hAnsi="GWZT-EN" w:eastAsia="仿宋_GB2312"/>
          <w:b/>
          <w:bCs/>
          <w:sz w:val="32"/>
          <w:szCs w:val="32"/>
        </w:rPr>
        <w:t>三是</w:t>
      </w:r>
      <w:r>
        <w:rPr>
          <w:rFonts w:hint="eastAsia" w:ascii="仿宋_GB2312" w:hAnsi="GWZT-EN" w:eastAsia="仿宋_GB2312"/>
          <w:sz w:val="32"/>
          <w:szCs w:val="32"/>
        </w:rPr>
        <w:t>编制昆明市公众出行信息发布服务相关规范文件，指导公众出行信息规范发布，提升交通出行信息服务质量。</w:t>
      </w:r>
    </w:p>
    <w:p w14:paraId="4BF5830E">
      <w:pPr>
        <w:overflowPunct w:val="0"/>
        <w:topLinePunct/>
        <w:spacing w:line="58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二、推进交通信息化平台建设</w:t>
      </w:r>
    </w:p>
    <w:p w14:paraId="4FB59597">
      <w:pPr>
        <w:overflowPunct w:val="0"/>
        <w:topLinePunct/>
        <w:spacing w:line="580" w:lineRule="exact"/>
        <w:ind w:firstLine="643" w:firstLineChars="200"/>
        <w:rPr>
          <w:rFonts w:hint="eastAsia" w:ascii="仿宋_GB2312" w:hAnsi="GWZT-EN" w:eastAsia="仿宋_GB2312"/>
          <w:sz w:val="32"/>
          <w:szCs w:val="32"/>
        </w:rPr>
      </w:pPr>
      <w:r>
        <w:rPr>
          <w:rFonts w:hint="eastAsia" w:ascii="仿宋_GB2312" w:hAnsi="GWZT-EN" w:eastAsia="仿宋_GB2312"/>
          <w:b/>
          <w:bCs/>
          <w:sz w:val="32"/>
          <w:szCs w:val="32"/>
        </w:rPr>
        <w:t>一是</w:t>
      </w:r>
      <w:r>
        <w:rPr>
          <w:rFonts w:hint="eastAsia" w:ascii="仿宋_GB2312" w:hAnsi="GWZT-EN" w:eastAsia="仿宋_GB2312"/>
          <w:sz w:val="32"/>
          <w:szCs w:val="32"/>
        </w:rPr>
        <w:t>一体规划建设昆明交通运输运行协调指挥平台，整合新建与在役交通感知网络，构建形成“一个中心、五个平台”的信息化建设布局，支持“行业监管、行业决策、服务企业、服务公众”四项服务。</w:t>
      </w:r>
      <w:r>
        <w:rPr>
          <w:rFonts w:hint="eastAsia" w:ascii="仿宋_GB2312" w:hAnsi="GWZT-EN" w:eastAsia="仿宋_GB2312"/>
          <w:b/>
          <w:bCs/>
          <w:sz w:val="32"/>
          <w:szCs w:val="32"/>
        </w:rPr>
        <w:t>二是</w:t>
      </w:r>
      <w:r>
        <w:rPr>
          <w:rFonts w:hint="eastAsia" w:ascii="仿宋_GB2312" w:hAnsi="GWZT-EN" w:eastAsia="仿宋_GB2312"/>
          <w:sz w:val="32"/>
          <w:szCs w:val="32"/>
        </w:rPr>
        <w:t>建设昆明市交通数据中心，汇聚全市综合交通运输相关数据，形成数据门户中心、数据资源中心、视频服务中心、</w:t>
      </w:r>
      <w:r>
        <w:rPr>
          <w:rFonts w:hint="eastAsia" w:ascii="Times New Roman" w:hAnsi="Times New Roman" w:eastAsia="仿宋_GB2312"/>
          <w:sz w:val="32"/>
          <w:szCs w:val="32"/>
        </w:rPr>
        <w:t>GIS</w:t>
      </w:r>
      <w:r>
        <w:rPr>
          <w:rFonts w:hint="eastAsia" w:ascii="仿宋_GB2312" w:hAnsi="GWZT-EN" w:eastAsia="仿宋_GB2312"/>
          <w:sz w:val="32"/>
          <w:szCs w:val="32"/>
        </w:rPr>
        <w:t>服务平台等，推进综合交通大数据在城市综合交通管理与服务中的应用，同步支撑昆明市城市大脑建设与应用。</w:t>
      </w:r>
      <w:r>
        <w:rPr>
          <w:rFonts w:hint="eastAsia" w:ascii="仿宋_GB2312" w:hAnsi="GWZT-EN" w:eastAsia="仿宋_GB2312"/>
          <w:b/>
          <w:bCs/>
          <w:sz w:val="32"/>
          <w:szCs w:val="32"/>
        </w:rPr>
        <w:t>三是</w:t>
      </w:r>
      <w:r>
        <w:rPr>
          <w:rFonts w:hint="eastAsia" w:ascii="仿宋_GB2312" w:hAnsi="GWZT-EN" w:eastAsia="仿宋_GB2312"/>
          <w:sz w:val="32"/>
          <w:szCs w:val="32"/>
        </w:rPr>
        <w:t>建设行业数字化监管、实时监测预警、指挥调度、决策支持及信息服务等业务平台，涵盖城市交通、城际交通等多交通方式的管理与服务，助力提升城市综合交通运行监测、指挥调度、决策支持、出行服务等智能化水平。</w:t>
      </w:r>
    </w:p>
    <w:p w14:paraId="1EE0825C">
      <w:pPr>
        <w:overflowPunct w:val="0"/>
        <w:topLinePunct/>
        <w:spacing w:line="58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三、加强交通数据资源整合与共享</w:t>
      </w:r>
    </w:p>
    <w:p w14:paraId="09C63151">
      <w:pPr>
        <w:overflowPunct w:val="0"/>
        <w:topLinePunct/>
        <w:spacing w:line="580" w:lineRule="exact"/>
        <w:ind w:firstLine="643" w:firstLineChars="200"/>
        <w:rPr>
          <w:rFonts w:hint="eastAsia" w:ascii="仿宋_GB2312" w:hAnsi="GWZT-EN" w:eastAsia="仿宋_GB2312"/>
          <w:sz w:val="32"/>
          <w:szCs w:val="32"/>
        </w:rPr>
      </w:pPr>
      <w:r>
        <w:rPr>
          <w:rFonts w:hint="eastAsia" w:ascii="仿宋_GB2312" w:hAnsi="GWZT-EN" w:eastAsia="仿宋_GB2312"/>
          <w:b/>
          <w:bCs/>
          <w:sz w:val="32"/>
          <w:szCs w:val="32"/>
        </w:rPr>
        <w:t>一是</w:t>
      </w:r>
      <w:r>
        <w:rPr>
          <w:rFonts w:hint="eastAsia" w:ascii="仿宋_GB2312" w:hAnsi="GWZT-EN" w:eastAsia="仿宋_GB2312"/>
          <w:sz w:val="32"/>
          <w:szCs w:val="32"/>
        </w:rPr>
        <w:t>依托昆明市交通数据中心，汇聚全市公共交通、地铁、出租汽车（含网约车）、公共自行车（含共享单车）、停车场、高速公路等</w:t>
      </w:r>
      <w:r>
        <w:rPr>
          <w:rFonts w:hint="eastAsia" w:ascii="Times New Roman" w:hAnsi="Times New Roman" w:eastAsia="仿宋_GB2312"/>
          <w:sz w:val="32"/>
          <w:szCs w:val="32"/>
        </w:rPr>
        <w:t>11</w:t>
      </w:r>
      <w:r>
        <w:rPr>
          <w:rFonts w:hint="eastAsia" w:ascii="仿宋_GB2312" w:hAnsi="GWZT-EN" w:eastAsia="仿宋_GB2312"/>
          <w:sz w:val="32"/>
          <w:szCs w:val="32"/>
        </w:rPr>
        <w:t>类交通运行数据，建成市级综合交通专有云，实现全市交通运输数据资源的有效整合与治理。</w:t>
      </w:r>
      <w:r>
        <w:rPr>
          <w:rFonts w:hint="eastAsia" w:ascii="仿宋_GB2312" w:hAnsi="GWZT-EN" w:eastAsia="仿宋_GB2312"/>
          <w:b/>
          <w:bCs/>
          <w:sz w:val="32"/>
          <w:szCs w:val="32"/>
        </w:rPr>
        <w:t>二是</w:t>
      </w:r>
      <w:r>
        <w:rPr>
          <w:rFonts w:hint="eastAsia" w:ascii="仿宋_GB2312" w:hAnsi="GWZT-EN" w:eastAsia="仿宋_GB2312"/>
          <w:sz w:val="32"/>
          <w:szCs w:val="32"/>
        </w:rPr>
        <w:t>推动昆明市全域交通运输数据整体接入云南省综合交通大数据中心，通过交通专网实现昆明市与云南省交通运输厅及其他行业相关部门的数据交换共享。</w:t>
      </w:r>
      <w:r>
        <w:rPr>
          <w:rFonts w:hint="eastAsia" w:ascii="仿宋_GB2312" w:hAnsi="GWZT-EN" w:eastAsia="仿宋_GB2312"/>
          <w:b/>
          <w:bCs/>
          <w:sz w:val="32"/>
          <w:szCs w:val="32"/>
        </w:rPr>
        <w:t>三是</w:t>
      </w:r>
      <w:r>
        <w:rPr>
          <w:rFonts w:hint="eastAsia" w:ascii="仿宋_GB2312" w:hAnsi="GWZT-EN" w:eastAsia="仿宋_GB2312"/>
          <w:sz w:val="32"/>
          <w:szCs w:val="32"/>
        </w:rPr>
        <w:t>推动跨行业数据共享与交换，通过昆明市政务信息资源共享交换平台，实现市交通运输局与市数据局、公安局、应急管理局等政府部门数据共享。</w:t>
      </w:r>
    </w:p>
    <w:p w14:paraId="08987301">
      <w:pPr>
        <w:overflowPunct w:val="0"/>
        <w:topLinePunct/>
        <w:spacing w:line="58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四、深化交通数据创新应用</w:t>
      </w:r>
    </w:p>
    <w:p w14:paraId="15AA11BE">
      <w:pPr>
        <w:overflowPunct w:val="0"/>
        <w:topLinePunct/>
        <w:spacing w:line="580" w:lineRule="exact"/>
        <w:ind w:firstLine="643" w:firstLineChars="200"/>
        <w:rPr>
          <w:rFonts w:hint="eastAsia" w:ascii="仿宋_GB2312" w:hAnsi="GWZT-EN" w:eastAsia="仿宋_GB2312"/>
          <w:sz w:val="32"/>
          <w:szCs w:val="32"/>
        </w:rPr>
      </w:pPr>
      <w:r>
        <w:rPr>
          <w:rFonts w:hint="eastAsia" w:ascii="仿宋_GB2312" w:hAnsi="GWZT-EN" w:eastAsia="仿宋_GB2312"/>
          <w:b/>
          <w:bCs/>
          <w:sz w:val="32"/>
          <w:szCs w:val="32"/>
        </w:rPr>
        <w:t>一是</w:t>
      </w:r>
      <w:r>
        <w:rPr>
          <w:rFonts w:hint="eastAsia" w:ascii="仿宋_GB2312" w:hAnsi="GWZT-EN" w:eastAsia="仿宋_GB2312"/>
          <w:sz w:val="32"/>
          <w:szCs w:val="32"/>
        </w:rPr>
        <w:t>建设行业辅助决策系统，面向行业管理人员提供综合交通行业基础信息、实时运行数据及统计分析服务，编制并定期形成综合交通运行监测分析报告，为行业管理决策提供数据支撑。</w:t>
      </w:r>
      <w:r>
        <w:rPr>
          <w:rFonts w:hint="eastAsia" w:ascii="仿宋_GB2312" w:hAnsi="GWZT-EN" w:eastAsia="仿宋_GB2312"/>
          <w:b/>
          <w:bCs/>
          <w:sz w:val="32"/>
          <w:szCs w:val="32"/>
        </w:rPr>
        <w:t>二是</w:t>
      </w:r>
      <w:r>
        <w:rPr>
          <w:rFonts w:hint="eastAsia" w:ascii="仿宋_GB2312" w:hAnsi="GWZT-EN" w:eastAsia="仿宋_GB2312"/>
          <w:sz w:val="32"/>
          <w:szCs w:val="32"/>
        </w:rPr>
        <w:t>建设出租汽车、地面公交、长途客运、轨道交通等子行业监管系统，打造公路路网数字化管理、智慧公路监测管养等特色功能模块，实现全市综合交通一体化监测，推广数字治超、应急指挥、智慧收费站等场景应用，有效提升行业数字化管理与服务水平。</w:t>
      </w:r>
      <w:r>
        <w:rPr>
          <w:rFonts w:hint="eastAsia" w:ascii="仿宋_GB2312" w:hAnsi="GWZT-EN" w:eastAsia="仿宋_GB2312"/>
          <w:b/>
          <w:bCs/>
          <w:sz w:val="32"/>
          <w:szCs w:val="32"/>
        </w:rPr>
        <w:t>三是</w:t>
      </w:r>
      <w:r>
        <w:rPr>
          <w:rFonts w:hint="eastAsia" w:ascii="仿宋_GB2312" w:hAnsi="GWZT-EN" w:eastAsia="仿宋_GB2312"/>
          <w:sz w:val="32"/>
          <w:szCs w:val="32"/>
        </w:rPr>
        <w:t>汇聚融合公交、地铁、共享单车、高速公路等多类运营数据，构建城市级交通运输运行监测与分析体系，实时掌握全域交通网运行态势与客流分布，定期向各运营企业推送分析成果，为企业优化运力调度、提升服务品质提供决策依据。</w:t>
      </w:r>
      <w:r>
        <w:rPr>
          <w:rFonts w:hint="eastAsia" w:ascii="仿宋_GB2312" w:hAnsi="GWZT-EN" w:eastAsia="仿宋_GB2312"/>
          <w:b/>
          <w:bCs/>
          <w:sz w:val="32"/>
          <w:szCs w:val="32"/>
        </w:rPr>
        <w:t>四是</w:t>
      </w:r>
      <w:r>
        <w:rPr>
          <w:rFonts w:hint="eastAsia" w:ascii="仿宋_GB2312" w:hAnsi="GWZT-EN" w:eastAsia="仿宋_GB2312"/>
          <w:sz w:val="32"/>
          <w:szCs w:val="32"/>
        </w:rPr>
        <w:t>拓展行业门户网站、手机导航软件、可变情报板、微信小程序等信息发布渠道，打造并推广智慧通行、春城</w:t>
      </w:r>
      <w:r>
        <w:rPr>
          <w:rFonts w:ascii="Times New Roman" w:hAnsi="Times New Roman" w:eastAsia="仿宋_GB2312"/>
          <w:sz w:val="32"/>
          <w:szCs w:val="32"/>
        </w:rPr>
        <w:t>e</w:t>
      </w:r>
      <w:r>
        <w:rPr>
          <w:rFonts w:hint="eastAsia" w:ascii="仿宋_GB2312" w:hAnsi="GWZT-EN" w:eastAsia="仿宋_GB2312"/>
          <w:sz w:val="32"/>
          <w:szCs w:val="32"/>
        </w:rPr>
        <w:t>路通、昆明地铁等移动端应用程序，及时发布路况信息、交通指数、交通阻断信息、出租汽车、地面公交营运等出行信息，为公众提供准确、及时的交通信息服务。</w:t>
      </w:r>
    </w:p>
    <w:p w14:paraId="1CB1B9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GWZT-EN">
    <w:altName w:val="微软雅黑"/>
    <w:panose1 w:val="020204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F7B65"/>
    <w:rsid w:val="0A0F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2026-01-21T03:14:00Z</dcterms:created>
  <dc:creator> </dc:creator>
  <cp:lastModifiedBy> </cp:lastModifiedBy>
  <dcterms:modified xsi:type="dcterms:W3CDTF">2026-01-21T03:15:08Z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0EEDC3F5A8E340D883814474A0261EE6_11</vt:lpwstr>
  </property>
  <property fmtid="{D5CDD505-2E9C-101B-9397-08002B2CF9AE}" pid="4" name="KSOTemplateDocerSaveRecord">
    <vt:lpwstr>eyJoZGlkIjoiMGY5YzExYzdiNzdjMzk1YTc1NjUwYWI4YjU4MzgyYjEiLCJ1c2VySWQiOiIzNjg3NDIyNzAifQ==</vt:lpwstr>
  </property>
</Properties>
</file>