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0560F">
      <w:pPr>
        <w:overflowPunct w:val="0"/>
        <w:topLinePunct/>
        <w:adjustRightInd w:val="0"/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10605BA4">
        <w:trPr>
          <w:trHeight w:val="607" w:hRule="exact"/>
          <w:jc w:val="center"/>
        </w:trPr>
        <w:tc>
          <w:tcPr>
            <w:tcW w:w="8844" w:type="dxa"/>
            <w:noWrap w:val="0"/>
            <w:vAlign w:val="top"/>
          </w:tcPr>
          <w:p w14:paraId="73A9FBBA">
            <w:pPr>
              <w:tabs>
                <w:tab w:val="left" w:pos="826"/>
              </w:tabs>
              <w:overflowPunct w:val="0"/>
              <w:topLinePunct/>
              <w:spacing w:after="156" w:afterLines="50"/>
              <w:jc w:val="left"/>
              <w:rPr>
                <w:rFonts w:hint="eastAsia" w:ascii="GWZT-EN" w:hAnsi="方正小标宋_GBK" w:eastAsia="方正小标宋_GBK" w:cs="方正小标宋_GBK"/>
                <w:position w:val="19"/>
                <w:sz w:val="44"/>
                <w:szCs w:val="44"/>
              </w:rPr>
            </w:pPr>
            <w:r>
              <w:rPr>
                <w:rFonts w:hint="eastAsia" w:ascii="GWZT-EN" w:hAnsi="方正小标宋_GBK" w:eastAsia="方正小标宋_GBK" w:cs="方正小标宋_GBK"/>
                <w:position w:val="19"/>
                <w:sz w:val="44"/>
                <w:szCs w:val="44"/>
              </w:rPr>
              <w:tab/>
            </w:r>
          </w:p>
        </w:tc>
      </w:tr>
      <w:tr w14:paraId="22826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8844" w:type="dxa"/>
            <w:noWrap w:val="0"/>
            <w:vAlign w:val="top"/>
          </w:tcPr>
          <w:p w14:paraId="590B29B1">
            <w:pPr>
              <w:overflowPunct w:val="0"/>
              <w:topLinePunct/>
              <w:jc w:val="center"/>
              <w:rPr>
                <w:rFonts w:ascii="GWZT-EN" w:hAnsi="GWZT-EN" w:eastAsia="GWZT-EN" w:cs="GWZT-EN"/>
                <w:sz w:val="44"/>
                <w:szCs w:val="44"/>
              </w:rPr>
            </w:pPr>
            <w:bookmarkStart w:id="0" w:name="_GoBack"/>
            <w:r>
              <w:rPr>
                <w:rFonts w:hint="eastAsia" w:ascii="GWZT-EN" w:hAnsi="方正小标宋_GBK" w:eastAsia="方正小标宋_GBK" w:cs="方正小标宋_GBK"/>
                <w:spacing w:val="-11"/>
                <w:sz w:val="44"/>
                <w:szCs w:val="44"/>
              </w:rPr>
              <w:t>试点任务典型经验</w:t>
            </w:r>
            <w:bookmarkEnd w:id="0"/>
          </w:p>
        </w:tc>
      </w:tr>
      <w:tr w14:paraId="34607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  <w:jc w:val="center"/>
        </w:trPr>
        <w:tc>
          <w:tcPr>
            <w:tcW w:w="8844" w:type="dxa"/>
            <w:noWrap w:val="0"/>
            <w:vAlign w:val="top"/>
          </w:tcPr>
          <w:p w14:paraId="48355EBC">
            <w:pPr>
              <w:overflowPunct w:val="0"/>
              <w:topLinePunct/>
              <w:spacing w:line="586" w:lineRule="exact"/>
              <w:jc w:val="center"/>
              <w:rPr>
                <w:rFonts w:hint="eastAsia" w:ascii="GWZT-EN" w:hAnsi="方正小标宋_GBK" w:eastAsia="方正小标宋_GBK" w:cs="方正小标宋_GBK"/>
                <w:sz w:val="44"/>
                <w:szCs w:val="44"/>
              </w:rPr>
            </w:pPr>
          </w:p>
        </w:tc>
      </w:tr>
    </w:tbl>
    <w:p w14:paraId="036A9B97">
      <w:pPr>
        <w:overflowPunct w:val="0"/>
        <w:topLinePunct/>
        <w:spacing w:line="580" w:lineRule="exact"/>
        <w:ind w:firstLine="640" w:firstLineChars="200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一、打造城市级综合交通智能化系统升级新模式</w:t>
      </w:r>
    </w:p>
    <w:p w14:paraId="5A348F22">
      <w:pPr>
        <w:overflowPunct w:val="0"/>
        <w:topLinePunct/>
        <w:spacing w:line="580" w:lineRule="exact"/>
        <w:ind w:firstLine="640" w:firstLineChars="200"/>
        <w:rPr>
          <w:rFonts w:hint="eastAsia" w:ascii="仿宋_GB2312" w:hAnsi="GWZT-EN" w:eastAsia="仿宋_GB2312"/>
          <w:sz w:val="32"/>
          <w:szCs w:val="32"/>
        </w:rPr>
      </w:pPr>
      <w:r>
        <w:rPr>
          <w:rFonts w:hint="eastAsia" w:ascii="仿宋_GB2312" w:hAnsi="GWZT-EN" w:eastAsia="仿宋_GB2312"/>
          <w:sz w:val="32"/>
          <w:szCs w:val="32"/>
        </w:rPr>
        <w:t>云南省昆明市针对行业管理系统分散、数据难互通等问题，打造“基础设施+基础算法+服务平台”城市级综合交通智能化系统建设新模式，协同推进全市综合交通智能化升级。一是统筹推进交通数据中心、综合交通专有云、运行协调指挥中心等建设，发布《交通运输行业数据资源共享交换规范》等标准规范，将全市</w:t>
      </w:r>
      <w:r>
        <w:rPr>
          <w:rFonts w:hint="eastAsia" w:ascii="Times New Roman" w:hAnsi="Times New Roman" w:eastAsia="仿宋_GB2312"/>
          <w:sz w:val="32"/>
          <w:szCs w:val="32"/>
        </w:rPr>
        <w:t>11</w:t>
      </w:r>
      <w:r>
        <w:rPr>
          <w:rFonts w:hint="eastAsia" w:ascii="仿宋_GB2312" w:hAnsi="GWZT-EN" w:eastAsia="仿宋_GB2312"/>
          <w:sz w:val="32"/>
          <w:szCs w:val="32"/>
        </w:rPr>
        <w:t>大类综合交通数据整合至昆明市综合交通运输运行协调指挥中心，累计接入交通运行基础数据</w:t>
      </w:r>
      <w:r>
        <w:rPr>
          <w:rFonts w:hint="eastAsia" w:ascii="Times New Roman" w:hAnsi="Times New Roman" w:eastAsia="仿宋_GB2312"/>
          <w:sz w:val="32"/>
          <w:szCs w:val="32"/>
        </w:rPr>
        <w:t>10.12</w:t>
      </w:r>
      <w:r>
        <w:rPr>
          <w:rFonts w:hint="eastAsia" w:ascii="仿宋_GB2312" w:hAnsi="GWZT-EN" w:eastAsia="仿宋_GB2312"/>
          <w:sz w:val="32"/>
          <w:szCs w:val="32"/>
        </w:rPr>
        <w:t>亿条、动态数据</w:t>
      </w:r>
      <w:r>
        <w:rPr>
          <w:rFonts w:hint="eastAsia" w:ascii="Times New Roman" w:hAnsi="Times New Roman" w:eastAsia="仿宋_GB2312"/>
          <w:sz w:val="32"/>
          <w:szCs w:val="32"/>
        </w:rPr>
        <w:t>1534.5</w:t>
      </w:r>
      <w:r>
        <w:rPr>
          <w:rFonts w:hint="eastAsia" w:ascii="仿宋_GB2312" w:hAnsi="GWZT-EN" w:eastAsia="仿宋_GB2312"/>
          <w:sz w:val="32"/>
          <w:szCs w:val="32"/>
        </w:rPr>
        <w:t>亿条、监控视频</w:t>
      </w:r>
      <w:r>
        <w:rPr>
          <w:rFonts w:hint="eastAsia" w:ascii="Times New Roman" w:hAnsi="Times New Roman" w:eastAsia="仿宋_GB2312"/>
          <w:sz w:val="32"/>
          <w:szCs w:val="32"/>
        </w:rPr>
        <w:t>5.3</w:t>
      </w:r>
      <w:r>
        <w:rPr>
          <w:rFonts w:hint="eastAsia" w:ascii="仿宋_GB2312" w:hAnsi="GWZT-EN" w:eastAsia="仿宋_GB2312"/>
          <w:sz w:val="32"/>
          <w:szCs w:val="32"/>
        </w:rPr>
        <w:t>万路，推动省、市级部门数据共享和业务协同。二是以管理与服务需求为导向，研发基于综合交通运行数据分析的基础算法，发布《昆明市综合交通运行监测指标体系》，加强对“两客一危”、超限治理、滇池航运安全等领域的日常监管与预警，重大活动、节假日、雨雪天气等时段的专题监管与预警，以及道路拥堵、突发事件等异常情况的预警提示。三是打造行业数字化监管、实时监测预警、指挥调度、决策支持及公众信息服务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hAnsi="GWZT-EN" w:eastAsia="仿宋_GB2312"/>
          <w:sz w:val="32"/>
          <w:szCs w:val="32"/>
        </w:rPr>
        <w:t>大业务平台，推广智慧停车服务、出租车数字监管、地铁“刷脸”乘车、公交智能化示范等特色应用。通过试点实施，提升了昆明市综合交通运行管理水平与服务效率，客流分析实现地铁单条线路工作日高峰期运能提升</w:t>
      </w:r>
      <w:r>
        <w:rPr>
          <w:rFonts w:hint="eastAsia" w:ascii="Times New Roman" w:hAnsi="Times New Roman" w:eastAsia="仿宋_GB2312"/>
          <w:sz w:val="32"/>
          <w:szCs w:val="32"/>
        </w:rPr>
        <w:t>8.9%</w:t>
      </w:r>
      <w:r>
        <w:rPr>
          <w:rFonts w:hint="eastAsia" w:ascii="仿宋_GB2312" w:hAnsi="GWZT-EN" w:eastAsia="仿宋_GB2312"/>
          <w:sz w:val="32"/>
          <w:szCs w:val="32"/>
        </w:rPr>
        <w:t>，地铁与公共交通接驳率达到</w:t>
      </w:r>
      <w:r>
        <w:rPr>
          <w:rFonts w:hint="eastAsia" w:ascii="Times New Roman" w:hAnsi="Times New Roman" w:eastAsia="仿宋_GB2312"/>
          <w:sz w:val="32"/>
          <w:szCs w:val="32"/>
        </w:rPr>
        <w:t>95.14%</w:t>
      </w:r>
      <w:r>
        <w:rPr>
          <w:rFonts w:hint="eastAsia" w:ascii="仿宋_GB2312" w:hAnsi="GWZT-EN" w:eastAsia="仿宋_GB2312"/>
          <w:sz w:val="32"/>
          <w:szCs w:val="32"/>
        </w:rPr>
        <w:t>，智慧停车服务实现车辆最短离场时间从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hint="eastAsia" w:ascii="仿宋_GB2312" w:hAnsi="GWZT-EN" w:eastAsia="仿宋_GB2312"/>
          <w:sz w:val="32"/>
          <w:szCs w:val="32"/>
        </w:rPr>
        <w:t>秒降至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hAnsi="GWZT-EN" w:eastAsia="仿宋_GB2312"/>
          <w:sz w:val="32"/>
          <w:szCs w:val="32"/>
        </w:rPr>
        <w:t>秒，城市公共交通出行服务满意度接近</w:t>
      </w:r>
      <w:r>
        <w:rPr>
          <w:rFonts w:ascii="Times New Roman" w:hAnsi="Times New Roman" w:eastAsia="仿宋_GB2312"/>
          <w:sz w:val="32"/>
          <w:szCs w:val="32"/>
        </w:rPr>
        <w:t>90%</w:t>
      </w:r>
      <w:r>
        <w:rPr>
          <w:rFonts w:hint="eastAsia" w:ascii="仿宋_GB2312" w:hAnsi="GWZT-EN" w:eastAsia="仿宋_GB2312"/>
          <w:sz w:val="32"/>
          <w:szCs w:val="32"/>
        </w:rPr>
        <w:t>。</w:t>
      </w:r>
    </w:p>
    <w:p w14:paraId="1A70C16A">
      <w:pPr>
        <w:overflowPunct w:val="0"/>
        <w:topLinePunct/>
        <w:spacing w:line="580" w:lineRule="exact"/>
        <w:ind w:firstLine="640" w:firstLineChars="200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二、打造高速公路收费站智慧化运营新样板</w:t>
      </w:r>
    </w:p>
    <w:p w14:paraId="5CF3C28C">
      <w:pPr>
        <w:overflowPunct w:val="0"/>
        <w:topLinePunct/>
        <w:spacing w:line="580" w:lineRule="exact"/>
        <w:ind w:firstLine="640" w:firstLineChars="200"/>
        <w:rPr>
          <w:rFonts w:hint="eastAsia" w:ascii="仿宋_GB2312" w:hAnsi="GWZT-EN" w:eastAsia="仿宋_GB2312"/>
          <w:sz w:val="32"/>
          <w:szCs w:val="32"/>
        </w:rPr>
      </w:pPr>
      <w:r>
        <w:rPr>
          <w:rFonts w:hint="eastAsia" w:ascii="仿宋_GB2312" w:hAnsi="GWZT-EN" w:eastAsia="仿宋_GB2312"/>
          <w:sz w:val="32"/>
          <w:szCs w:val="32"/>
        </w:rPr>
        <w:t>昆明市聚焦高速公路收费站治理难题，依托宜良至石林高速公路，打造“匝道预交易+云收费+机器人智能收费”的收费站智慧化升级新样板。一是设置匝道预交易，前置交易过程。在收费站入口匝道设立预交易门架，通过“预识别+二次识别+大数据校验”模式，为</w:t>
      </w:r>
      <w:r>
        <w:rPr>
          <w:rFonts w:ascii="Times New Roman" w:hAnsi="Times New Roman" w:eastAsia="仿宋_GB2312"/>
          <w:sz w:val="32"/>
          <w:szCs w:val="32"/>
        </w:rPr>
        <w:t>ETC</w:t>
      </w:r>
      <w:r>
        <w:rPr>
          <w:rFonts w:hint="eastAsia" w:ascii="仿宋_GB2312" w:hAnsi="GWZT-EN" w:eastAsia="仿宋_GB2312"/>
          <w:sz w:val="32"/>
          <w:szCs w:val="32"/>
        </w:rPr>
        <w:t>（电子不停车收费系统）车辆提前完成交易扣费，将交易过程从车道前置至匝道，实现ETC车辆秒级通行。二是构建站级云收费平台，实现统一运营管理。搭建边缘计算节点，将车道计费、控制等核心业务软件统一迁移至站级云平台，实现软硬件资源池化配置和业务集中协同管理。三是推广机器人智能收费，提升运营效率与服务质量。研发并规模化推广集自助发卡、自助缴费、</w:t>
      </w:r>
      <w:r>
        <w:rPr>
          <w:rFonts w:hint="eastAsia" w:ascii="Times New Roman" w:hAnsi="Times New Roman" w:eastAsia="仿宋_GB2312"/>
          <w:sz w:val="32"/>
          <w:szCs w:val="32"/>
        </w:rPr>
        <w:t>AI</w:t>
      </w:r>
      <w:r>
        <w:rPr>
          <w:rFonts w:hint="eastAsia" w:ascii="仿宋_GB2312" w:hAnsi="GWZT-EN" w:eastAsia="仿宋_GB2312"/>
          <w:sz w:val="32"/>
          <w:szCs w:val="32"/>
        </w:rPr>
        <w:t>智能识别等功能于一体的智能收费机器人，全面兼容</w:t>
      </w:r>
      <w:r>
        <w:rPr>
          <w:rFonts w:hint="eastAsia" w:ascii="Times New Roman" w:hAnsi="Times New Roman" w:eastAsia="仿宋_GB2312"/>
          <w:sz w:val="32"/>
          <w:szCs w:val="32"/>
        </w:rPr>
        <w:t>ETC</w:t>
      </w:r>
      <w:r>
        <w:rPr>
          <w:rFonts w:hint="eastAsia" w:ascii="仿宋_GB2312" w:hAnsi="GWZT-E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CPC</w:t>
      </w:r>
      <w:r>
        <w:rPr>
          <w:rFonts w:hint="eastAsia" w:ascii="仿宋_GB2312" w:hAnsi="GWZT-EN" w:eastAsia="仿宋_GB2312"/>
          <w:sz w:val="32"/>
          <w:szCs w:val="32"/>
        </w:rPr>
        <w:t>（高速公路复合通行卡）及移动支付等多种支付方式，实现收费站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hint="eastAsia" w:ascii="仿宋_GB2312" w:hAnsi="GWZT-EN" w:eastAsia="仿宋_GB2312"/>
          <w:sz w:val="32"/>
          <w:szCs w:val="32"/>
        </w:rPr>
        <w:t>小时无人化值守和标准化服务。通过数据上云、业务协同，形成“匝道预交易识别</w:t>
      </w:r>
      <w:r>
        <w:rPr>
          <w:rFonts w:hint="eastAsia" w:ascii="仿宋_GB2312" w:hAnsi="GWZT-EN" w:eastAsia="仿宋_GB2312" w:cs="GWZT-EN"/>
          <w:sz w:val="32"/>
          <w:szCs w:val="32"/>
        </w:rPr>
        <w:t>－</w:t>
      </w:r>
      <w:r>
        <w:rPr>
          <w:rFonts w:hint="eastAsia" w:ascii="仿宋_GB2312" w:hAnsi="GWZT-EN" w:eastAsia="仿宋_GB2312"/>
          <w:sz w:val="32"/>
          <w:szCs w:val="32"/>
        </w:rPr>
        <w:t>云端计费－机器人核验”的业务闭环，实现单车发卡时间从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hint="eastAsia" w:ascii="仿宋_GB2312" w:hAnsi="GWZT-EN" w:eastAsia="仿宋_GB2312"/>
          <w:sz w:val="32"/>
          <w:szCs w:val="32"/>
        </w:rPr>
        <w:t>秒缩短至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hAnsi="GWZT-EN" w:eastAsia="仿宋_GB2312"/>
          <w:sz w:val="32"/>
          <w:szCs w:val="32"/>
        </w:rPr>
        <w:t>秒，缴费通行时间从</w:t>
      </w:r>
      <w:r>
        <w:rPr>
          <w:rFonts w:hint="eastAsia" w:ascii="Times New Roman" w:hAnsi="Times New Roman" w:eastAsia="仿宋_GB2312"/>
          <w:sz w:val="32"/>
          <w:szCs w:val="32"/>
        </w:rPr>
        <w:t>50</w:t>
      </w:r>
      <w:r>
        <w:rPr>
          <w:rFonts w:hint="eastAsia" w:ascii="仿宋_GB2312" w:hAnsi="GWZT-EN" w:eastAsia="仿宋_GB2312"/>
          <w:sz w:val="32"/>
          <w:szCs w:val="32"/>
        </w:rPr>
        <w:t>秒缩短至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仿宋_GB2312" w:hAnsi="GWZT-EN" w:eastAsia="仿宋_GB2312"/>
          <w:sz w:val="32"/>
          <w:szCs w:val="32"/>
        </w:rPr>
        <w:t>秒以内，整体通行效率提升</w:t>
      </w:r>
      <w:r>
        <w:rPr>
          <w:rFonts w:ascii="Times New Roman" w:hAnsi="Times New Roman" w:eastAsia="仿宋_GB2312"/>
          <w:sz w:val="32"/>
          <w:szCs w:val="32"/>
        </w:rPr>
        <w:t>35%</w:t>
      </w:r>
      <w:r>
        <w:rPr>
          <w:rFonts w:hint="eastAsia" w:ascii="仿宋_GB2312" w:hAnsi="GWZT-EN" w:eastAsia="仿宋_GB2312"/>
          <w:sz w:val="32"/>
          <w:szCs w:val="32"/>
        </w:rPr>
        <w:t>以上。</w:t>
      </w:r>
    </w:p>
    <w:p w14:paraId="6E3B45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GWZT-EN">
    <w:altName w:val="微软雅黑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F7B65"/>
    <w:rsid w:val="0A0F7B65"/>
    <w:rsid w:val="5B8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2026-01-21T03:14:00Z</dcterms:created>
  <dc:creator> </dc:creator>
  <cp:lastModifiedBy> </cp:lastModifiedBy>
  <dcterms:modified xsi:type="dcterms:W3CDTF">2026-01-21T03:15:43Z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FD171ACE3AF14019882D243DF7ADED65_13</vt:lpwstr>
  </property>
  <property fmtid="{D5CDD505-2E9C-101B-9397-08002B2CF9AE}" pid="4" name="KSOTemplateDocerSaveRecord">
    <vt:lpwstr>eyJoZGlkIjoiMGY5YzExYzdiNzdjMzk1YTc1NjUwYWI4YjU4MzgyYjEiLCJ1c2VySWQiOiIzNjg3NDIyNzAifQ==</vt:lpwstr>
  </property>
</Properties>
</file>