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50D8" w14:textId="77777777" w:rsidR="00E66743" w:rsidRPr="00E66743" w:rsidRDefault="00E66743" w:rsidP="00E66743">
      <w:pPr>
        <w:rPr>
          <w:rFonts w:ascii="微软雅黑" w:eastAsia="微软雅黑" w:hAnsi="微软雅黑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附件8</w:t>
      </w:r>
    </w:p>
    <w:p w14:paraId="143B20F9" w14:textId="77777777" w:rsidR="00E66743" w:rsidRPr="00E66743" w:rsidRDefault="00E66743" w:rsidP="00E66743">
      <w:pPr>
        <w:ind w:firstLineChars="200" w:firstLine="42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color w:val="444444"/>
          <w:spacing w:val="-15"/>
        </w:rPr>
        <w:t> </w:t>
      </w:r>
    </w:p>
    <w:p w14:paraId="3B6CB445" w14:textId="77777777" w:rsidR="00E66743" w:rsidRPr="00E66743" w:rsidRDefault="00E66743" w:rsidP="00E66743">
      <w:pPr>
        <w:ind w:firstLineChars="200" w:firstLine="480"/>
        <w:jc w:val="center"/>
        <w:rPr>
          <w:rFonts w:ascii="微软雅黑" w:eastAsia="微软雅黑" w:hAnsi="微软雅黑" w:hint="eastAsia"/>
          <w:sz w:val="24"/>
          <w:szCs w:val="24"/>
        </w:rPr>
      </w:pPr>
      <w:bookmarkStart w:id="0" w:name="_Toc365895573"/>
      <w:bookmarkStart w:id="1" w:name="_Toc365010302"/>
      <w:bookmarkStart w:id="2" w:name="_Toc365276436"/>
      <w:bookmarkEnd w:id="0"/>
      <w:bookmarkEnd w:id="1"/>
      <w:r w:rsidRPr="00E66743">
        <w:rPr>
          <w:rFonts w:ascii="微软雅黑" w:eastAsia="微软雅黑" w:hAnsi="微软雅黑" w:hint="eastAsia"/>
          <w:sz w:val="24"/>
          <w:szCs w:val="24"/>
        </w:rPr>
        <w:t>长江江苏段专用航道航路规定</w:t>
      </w:r>
      <w:bookmarkEnd w:id="2"/>
    </w:p>
    <w:p w14:paraId="544C7D4D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 </w:t>
      </w:r>
    </w:p>
    <w:p w14:paraId="156FE2B2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一、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常熟港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专用航道航路规定</w:t>
      </w:r>
    </w:p>
    <w:p w14:paraId="0058737A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（一）水域范围</w:t>
      </w:r>
    </w:p>
    <w:p w14:paraId="5C52B442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上界为常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浒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河口下端与C#16黑浮联线，下界为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太海汽渡太仓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港池上端与长江＃13左右通航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浮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联线。</w:t>
      </w:r>
    </w:p>
    <w:p w14:paraId="6BDA36DF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（二）维护水深</w:t>
      </w:r>
    </w:p>
    <w:p w14:paraId="2D77EAA5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上段常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浒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河口至常电煤码头下角，维护水深理论最低潮面下10.5米，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航宽300米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；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中段常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电煤码头下角至金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泾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塘口以下1公里，维护水深理论最低潮面下7米，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航宽200米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；下段金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泾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塘口以下1公里至新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泾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口上，维护水深理论最低潮面下8.5米，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航宽250米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。</w:t>
      </w:r>
    </w:p>
    <w:p w14:paraId="6C71897D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（三）航行原则</w:t>
      </w:r>
    </w:p>
    <w:p w14:paraId="5AB48089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按各自靠右航行原则实行分道通航。</w:t>
      </w:r>
    </w:p>
    <w:p w14:paraId="59B3F8FC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（四）通过限制</w:t>
      </w:r>
    </w:p>
    <w:p w14:paraId="6863C6FE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1.受控船舶：2000总吨以上危险品船舶、100米以上的其他船舶进出该水道，应事先向海事管理机构报告。</w:t>
      </w:r>
    </w:p>
    <w:p w14:paraId="56D5EA3E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2.专用航道内苏通大桥通航孔上游1000米、下游1000米航道水域范围内，受控船舶航行参照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大桥主通航孔相关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规定。</w:t>
      </w:r>
    </w:p>
    <w:p w14:paraId="678842E8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二、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永钢专用航道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航路规定</w:t>
      </w:r>
    </w:p>
    <w:p w14:paraId="717BBE2E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（一）水域范围</w:t>
      </w:r>
    </w:p>
    <w:p w14:paraId="333BED3D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lastRenderedPageBreak/>
        <w:t>上界为永钢＃9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浮对标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联线，下界为永钢＃1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浮对标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联线。</w:t>
      </w:r>
    </w:p>
    <w:p w14:paraId="1D0900D3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（二）维护水深</w:t>
      </w:r>
    </w:p>
    <w:p w14:paraId="7D7152F3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维护水深理论最低潮面下5.0米，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航宽200米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。</w:t>
      </w:r>
    </w:p>
    <w:p w14:paraId="7F882C3C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（三）航行原则</w:t>
      </w:r>
    </w:p>
    <w:p w14:paraId="2615F2A8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按各自靠右航行原则实行分道通航。</w:t>
      </w:r>
    </w:p>
    <w:p w14:paraId="330AF06C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（四）通过限制</w:t>
      </w:r>
    </w:p>
    <w:p w14:paraId="45B62D76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10000总吨及以上船舶、1000总吨以上危险品船进出该水道，应事先向海事管理机构报告。</w:t>
      </w:r>
    </w:p>
    <w:p w14:paraId="78FAD39E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（五）控制规定</w:t>
      </w:r>
    </w:p>
    <w:p w14:paraId="499546BD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1.受控船舶：5000总吨以上船舶、客船、化学品船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舶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、液化气船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舶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及其它需要控制的船舶。</w:t>
      </w:r>
    </w:p>
    <w:p w14:paraId="7EC7A1B0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2.等让水域：驶入受控船舶在永钢＃1浮下游航路，驶出受控船舶在永钢＃4浮上游航路。</w:t>
      </w:r>
    </w:p>
    <w:p w14:paraId="4B92E5C2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3.通信联系：受控船舶在到达等待点前1小时，向海事管理机构报告，同时应使用甚高频无线电话及其他一切有效手段与相关船舶联系，确认安全后方可进出。</w:t>
      </w:r>
    </w:p>
    <w:p w14:paraId="5D851107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4.等让原则：驶入受控船舶等候驶出受控船舶，逆流受控船舶等候顺流受控船舶，进出锚地的受控船舶等候正在通过该水域的受控船舶。</w:t>
      </w:r>
    </w:p>
    <w:p w14:paraId="54EB134E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三、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营船港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专用航道航路规定</w:t>
      </w:r>
    </w:p>
    <w:p w14:paraId="59508867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（一）水域范围</w:t>
      </w:r>
    </w:p>
    <w:p w14:paraId="018DB4EF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狼山沙北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槽）上界Y#12红浮，下界为苏桥#5左右通航浮与苏桥#4黑浮联线。</w:t>
      </w:r>
    </w:p>
    <w:p w14:paraId="3462DC50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lastRenderedPageBreak/>
        <w:t>（二）维护水深</w:t>
      </w:r>
    </w:p>
    <w:p w14:paraId="4FAAB856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1.苏通大桥#5左右通航浮至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嘉民千红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码头上端点维护水深，理论最低潮面下12.5米，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航宽260米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。</w:t>
      </w:r>
    </w:p>
    <w:p w14:paraId="636EA753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2.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嘉民千红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码头上端点至南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农闸维护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水深，理论最低潮面下10.5米，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航宽260米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。</w:t>
      </w:r>
    </w:p>
    <w:p w14:paraId="271608D9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3.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南农闸至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新开闸维护水深，理论最低潮面下8.0米，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航宽260米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。</w:t>
      </w:r>
    </w:p>
    <w:p w14:paraId="135E43AD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4.新开闸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至通钢5号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维护水深，理论最低潮面下5.0米，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航宽150米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。</w:t>
      </w:r>
    </w:p>
    <w:p w14:paraId="22570B55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5.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通钢5号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至Y#12红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浮维护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自然水深。</w:t>
      </w:r>
    </w:p>
    <w:p w14:paraId="005A7A4C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（三）航行原则</w:t>
      </w:r>
    </w:p>
    <w:p w14:paraId="2A1274DA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按各自靠右航行原则实行分道通航。</w:t>
      </w:r>
    </w:p>
    <w:p w14:paraId="21198E5D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（四）控制规定</w:t>
      </w:r>
    </w:p>
    <w:p w14:paraId="6C774C5D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1.受控船舶：船长110米及以上船舶（队）、船长80米以上载运危险货物船舶及其它需要控制的船舶。</w:t>
      </w:r>
    </w:p>
    <w:p w14:paraId="37B99009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2.等让水域：驶入受控船舶在营＃2红浮下；驶出受控船舶在营＃4红浮上。</w:t>
      </w:r>
    </w:p>
    <w:p w14:paraId="64D773AC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3.通信联系：受控船舶在到达等待点前1小时，向海事管理机构报告，同时应使用甚高频无线电话及其他一切有效方式与相关船舶联系，确认安全后方可进出。</w:t>
      </w:r>
    </w:p>
    <w:p w14:paraId="387D757C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4.等让原则：逆流船舶等让顺流船舶、驶入受控船舶等候驶出受控船舶，准备开航的受控船舶等候正在通过该水域的受控船舶。</w:t>
      </w:r>
    </w:p>
    <w:p w14:paraId="4010F462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四、天生港专用航道航路规定</w:t>
      </w:r>
    </w:p>
    <w:p w14:paraId="657C2160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（一）水域范围</w:t>
      </w:r>
    </w:p>
    <w:p w14:paraId="66194E8B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（横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港沙北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槽）上界为小李港河口，下界为长江#30左右通航浮与长江#29</w:t>
      </w:r>
      <w:r w:rsidRPr="00E66743">
        <w:rPr>
          <w:rFonts w:ascii="微软雅黑" w:eastAsia="微软雅黑" w:hAnsi="微软雅黑" w:hint="eastAsia"/>
          <w:sz w:val="24"/>
          <w:szCs w:val="24"/>
        </w:rPr>
        <w:lastRenderedPageBreak/>
        <w:t>黑浮联线。</w:t>
      </w:r>
    </w:p>
    <w:p w14:paraId="73E70F32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（二）维护水深</w:t>
      </w:r>
    </w:p>
    <w:p w14:paraId="023EF62A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1.通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吕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河口至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通沙汽渡维护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水深9.0米，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航宽150米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；</w:t>
      </w:r>
    </w:p>
    <w:p w14:paraId="44766C9E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2.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通沙汽渡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至天生港电厂维护水深5.0米，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航宽150米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；</w:t>
      </w:r>
    </w:p>
    <w:p w14:paraId="0E31CE8F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3.天生港电厂至小李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港维护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水深3.2米，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航宽150米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；</w:t>
      </w:r>
    </w:p>
    <w:p w14:paraId="27CDF04F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以上维护水深均为理论最低潮面下。</w:t>
      </w:r>
    </w:p>
    <w:p w14:paraId="2288CE8F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（三）航行原则</w:t>
      </w:r>
    </w:p>
    <w:p w14:paraId="7568FED7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按各自靠右航行原则实行分道通航。</w:t>
      </w:r>
    </w:p>
    <w:p w14:paraId="58057577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（四）控制规定</w:t>
      </w:r>
    </w:p>
    <w:p w14:paraId="64783DB4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1.受控船舶：船长110米及以上船舶（队）、船长80米以上载运危险货物船舶及其它需要控制的船舶。</w:t>
      </w:r>
    </w:p>
    <w:p w14:paraId="73E41CAC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2.等让水域：驶入受控船舶在天＃2红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浮以下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水域；驶出受控船舶在天＃4红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浮以上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水域。</w:t>
      </w:r>
    </w:p>
    <w:p w14:paraId="112CDD1C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3.通信联系：受控船舶在到达等待点前1小时，向海事管理机构报告，同时使用甚高频无线电话及其他一切有效方式与相关船舶联系，确认安全后方可进出。</w:t>
      </w:r>
    </w:p>
    <w:p w14:paraId="012B40EF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4.等让原则：驶入受控船舶等候驶出受控船舶，逆流受控船舶等候顺流受控船舶，准备开航的受控船舶等候正在通过该水域的受控船舶。</w:t>
      </w:r>
    </w:p>
    <w:p w14:paraId="7366C86B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五、大新专用航道航路规定</w:t>
      </w:r>
    </w:p>
    <w:p w14:paraId="4923A888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（一）水域范围</w:t>
      </w:r>
    </w:p>
    <w:p w14:paraId="780551EE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上界为大新#6黑浮，下界为长江#44左右通航浮与长江#43红浮联线。</w:t>
      </w:r>
    </w:p>
    <w:p w14:paraId="7F250035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（二）维护水深</w:t>
      </w:r>
    </w:p>
    <w:p w14:paraId="4985EF0F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1.大新专用航道下端至海螺水泥码头上端点维护水深理论最低潮面下10米，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lastRenderedPageBreak/>
        <w:t>航宽200米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；</w:t>
      </w:r>
    </w:p>
    <w:p w14:paraId="3230EB64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2.海螺水泥码头上端点至华达示位标维护水深理论最低潮面下8米，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航宽200米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；</w:t>
      </w:r>
    </w:p>
    <w:p w14:paraId="19C3261C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3.华达示位标以上维护自然水深。</w:t>
      </w:r>
    </w:p>
    <w:p w14:paraId="6E99BE49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（三）航行原则</w:t>
      </w:r>
    </w:p>
    <w:p w14:paraId="1B25E69D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按各自靠右航行原则实行分道通航。</w:t>
      </w:r>
    </w:p>
    <w:p w14:paraId="180CE4B0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（四）通过限制</w:t>
      </w:r>
    </w:p>
    <w:p w14:paraId="41ADEAA3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船长205米及以上船舶（队）进出该水道，应事先向海事管理机构报告。</w:t>
      </w:r>
    </w:p>
    <w:p w14:paraId="480F399E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六、江都港专用航道船舶航路规定</w:t>
      </w:r>
    </w:p>
    <w:p w14:paraId="0B224A67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（一）水域范围</w:t>
      </w:r>
    </w:p>
    <w:p w14:paraId="3D8D0964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三江营河口至八江口之间通航水域。</w:t>
      </w:r>
    </w:p>
    <w:p w14:paraId="66AE0F1A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（二）维护水深</w:t>
      </w:r>
    </w:p>
    <w:p w14:paraId="3E86471D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维护水深3.6米，具体以航道部门公布的为准。</w:t>
      </w:r>
    </w:p>
    <w:p w14:paraId="4063083D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（三）航行原则</w:t>
      </w:r>
    </w:p>
    <w:p w14:paraId="323FEACC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按各自靠右航行原则实行分道通航。</w:t>
      </w:r>
    </w:p>
    <w:p w14:paraId="591F5765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（四）控制规定</w:t>
      </w:r>
    </w:p>
    <w:p w14:paraId="22689BE1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三江营河口至八江口之间水域禁止锚泊。</w:t>
      </w:r>
    </w:p>
    <w:p w14:paraId="2230C694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七、京杭运河小型船舶（队）上行专用航路规定</w:t>
      </w:r>
    </w:p>
    <w:p w14:paraId="443EEC50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（一）水域范围</w:t>
      </w:r>
    </w:p>
    <w:p w14:paraId="3CFC9D04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京杭运河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谏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壁河口至六圩河口水域深水航道下行通航分道红浮联线外侧。</w:t>
      </w:r>
    </w:p>
    <w:p w14:paraId="42208822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（二）维护水深</w:t>
      </w:r>
    </w:p>
    <w:p w14:paraId="7513467B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维护水深4.5米，航路宽度100米。长江#104红浮与#105红浮联线外侧</w:t>
      </w:r>
      <w:r w:rsidRPr="00E66743">
        <w:rPr>
          <w:rFonts w:ascii="微软雅黑" w:eastAsia="微软雅黑" w:hAnsi="微软雅黑" w:hint="eastAsia"/>
          <w:sz w:val="24"/>
          <w:szCs w:val="24"/>
        </w:rPr>
        <w:lastRenderedPageBreak/>
        <w:t>宽度不足100米。</w:t>
      </w:r>
    </w:p>
    <w:p w14:paraId="7F83DD7B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（三）航行原则</w:t>
      </w:r>
    </w:p>
    <w:p w14:paraId="00D4C12E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上行小型船舶（队）应沿红浮联线外侧水域谨慎航行，尽可能远离沿下行通航分道正常行驶的船舶。</w:t>
      </w:r>
    </w:p>
    <w:p w14:paraId="7D03C12C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（四）通过限制</w:t>
      </w:r>
    </w:p>
    <w:p w14:paraId="1416AF6C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仅限于从京杭运河</w:t>
      </w:r>
      <w:proofErr w:type="gramStart"/>
      <w:r w:rsidRPr="00E66743">
        <w:rPr>
          <w:rFonts w:ascii="微软雅黑" w:eastAsia="微软雅黑" w:hAnsi="微软雅黑" w:hint="eastAsia"/>
          <w:sz w:val="24"/>
          <w:szCs w:val="24"/>
        </w:rPr>
        <w:t>谏</w:t>
      </w:r>
      <w:proofErr w:type="gramEnd"/>
      <w:r w:rsidRPr="00E66743">
        <w:rPr>
          <w:rFonts w:ascii="微软雅黑" w:eastAsia="微软雅黑" w:hAnsi="微软雅黑" w:hint="eastAsia"/>
          <w:sz w:val="24"/>
          <w:szCs w:val="24"/>
        </w:rPr>
        <w:t>壁河口驶出拟上行的小型船舶（队）。</w:t>
      </w:r>
    </w:p>
    <w:p w14:paraId="4554799B" w14:textId="77777777" w:rsidR="00E66743" w:rsidRPr="00E66743" w:rsidRDefault="00E66743" w:rsidP="00E66743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E66743">
        <w:rPr>
          <w:rFonts w:ascii="微软雅黑" w:eastAsia="微软雅黑" w:hAnsi="微软雅黑" w:hint="eastAsia"/>
          <w:sz w:val="24"/>
          <w:szCs w:val="24"/>
        </w:rPr>
        <w:t> </w:t>
      </w:r>
    </w:p>
    <w:p w14:paraId="1A10C508" w14:textId="77777777" w:rsidR="00125308" w:rsidRPr="00D42DCC" w:rsidRDefault="00125308" w:rsidP="00E66743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sectPr w:rsidR="00125308" w:rsidRPr="00D42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317C3"/>
    <w:multiLevelType w:val="multilevel"/>
    <w:tmpl w:val="96A2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31603D"/>
    <w:multiLevelType w:val="multilevel"/>
    <w:tmpl w:val="BC10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703382">
    <w:abstractNumId w:val="0"/>
  </w:num>
  <w:num w:numId="2" w16cid:durableId="1153451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31"/>
    <w:rsid w:val="00125308"/>
    <w:rsid w:val="00201B73"/>
    <w:rsid w:val="002D7FB9"/>
    <w:rsid w:val="005430E8"/>
    <w:rsid w:val="00635331"/>
    <w:rsid w:val="00674E63"/>
    <w:rsid w:val="008652F6"/>
    <w:rsid w:val="008C4CF7"/>
    <w:rsid w:val="009E746D"/>
    <w:rsid w:val="00D42DCC"/>
    <w:rsid w:val="00E66743"/>
    <w:rsid w:val="00EC51ED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5773"/>
  <w15:chartTrackingRefBased/>
  <w15:docId w15:val="{E9168525-A96A-4A07-9FD0-C3BB2A3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1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2</cp:revision>
  <dcterms:created xsi:type="dcterms:W3CDTF">2022-12-07T07:41:00Z</dcterms:created>
  <dcterms:modified xsi:type="dcterms:W3CDTF">2022-12-07T07:41:00Z</dcterms:modified>
</cp:coreProperties>
</file>