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B7DCB" w14:textId="6D30199A" w:rsidR="00AD6589" w:rsidRDefault="00AD6589"/>
    <w:p w14:paraId="69530B06" w14:textId="2D72C713" w:rsidR="00025F45" w:rsidRPr="00025F45" w:rsidRDefault="00F16EEE" w:rsidP="00F16EEE">
      <w:pPr>
        <w:jc w:val="center"/>
        <w:rPr>
          <w:rFonts w:ascii="宋体" w:eastAsia="宋体" w:hAnsi="宋体"/>
          <w:sz w:val="44"/>
          <w:szCs w:val="44"/>
        </w:rPr>
      </w:pPr>
      <w:r w:rsidRPr="00F16EEE">
        <w:rPr>
          <w:rFonts w:ascii="宋体" w:eastAsia="宋体" w:hAnsi="宋体" w:hint="eastAsia"/>
          <w:sz w:val="44"/>
          <w:szCs w:val="44"/>
        </w:rPr>
        <w:t>交通运输部关于做好《国内水路运输管理规定》实施有关工作的通知</w:t>
      </w:r>
    </w:p>
    <w:p w14:paraId="30EF71D9" w14:textId="6CEF5C75" w:rsidR="00025F45" w:rsidRDefault="00025F45"/>
    <w:p w14:paraId="4B502882" w14:textId="06BFDDF2" w:rsidR="00025F45" w:rsidRPr="00025F45" w:rsidRDefault="00F16EEE" w:rsidP="00025F45">
      <w:pPr>
        <w:jc w:val="center"/>
        <w:rPr>
          <w:rFonts w:ascii="楷体_GB2312" w:eastAsia="楷体_GB2312"/>
          <w:sz w:val="32"/>
          <w:szCs w:val="32"/>
        </w:rPr>
      </w:pPr>
      <w:r w:rsidRPr="00F16EEE">
        <w:rPr>
          <w:rFonts w:ascii="楷体_GB2312" w:eastAsia="楷体_GB2312" w:hint="eastAsia"/>
          <w:sz w:val="32"/>
          <w:szCs w:val="32"/>
        </w:rPr>
        <w:t>交水规〔</w:t>
      </w:r>
      <w:r w:rsidRPr="00F16EEE">
        <w:rPr>
          <w:rFonts w:ascii="楷体_GB2312" w:eastAsia="楷体_GB2312"/>
          <w:sz w:val="32"/>
          <w:szCs w:val="32"/>
        </w:rPr>
        <w:t>2020〕6号</w:t>
      </w:r>
    </w:p>
    <w:p w14:paraId="5D2EE95A" w14:textId="77777777" w:rsidR="00025F45" w:rsidRPr="00025F45" w:rsidRDefault="00025F45" w:rsidP="00025F45">
      <w:pPr>
        <w:rPr>
          <w:rFonts w:ascii="仿宋_GB2312" w:eastAsia="仿宋_GB2312"/>
          <w:sz w:val="32"/>
          <w:szCs w:val="32"/>
        </w:rPr>
      </w:pPr>
    </w:p>
    <w:p w14:paraId="30D30D8E" w14:textId="77777777" w:rsidR="00F16EEE" w:rsidRPr="00F16EEE" w:rsidRDefault="00F16EEE" w:rsidP="00F16EEE">
      <w:pPr>
        <w:rPr>
          <w:rFonts w:ascii="仿宋_GB2312" w:eastAsia="仿宋_GB2312"/>
          <w:sz w:val="32"/>
          <w:szCs w:val="32"/>
        </w:rPr>
      </w:pPr>
      <w:r w:rsidRPr="00F16EEE">
        <w:rPr>
          <w:rFonts w:ascii="仿宋_GB2312" w:eastAsia="仿宋_GB2312" w:hint="eastAsia"/>
          <w:sz w:val="32"/>
          <w:szCs w:val="32"/>
        </w:rPr>
        <w:t>各省、自治区、直辖市交通运输厅（局、委），部长江航务管理局、珠江航务管理局，中国船级社，各直属海事局：</w:t>
      </w:r>
    </w:p>
    <w:p w14:paraId="2BBBBC75" w14:textId="77777777" w:rsidR="00F16EEE" w:rsidRPr="00F16EEE" w:rsidRDefault="00F16EEE" w:rsidP="00F16EEE">
      <w:pPr>
        <w:ind w:firstLineChars="200" w:firstLine="640"/>
        <w:rPr>
          <w:rFonts w:ascii="仿宋_GB2312" w:eastAsia="仿宋_GB2312" w:hint="eastAsia"/>
          <w:sz w:val="32"/>
          <w:szCs w:val="32"/>
        </w:rPr>
      </w:pPr>
      <w:r w:rsidRPr="00F16EEE">
        <w:rPr>
          <w:rFonts w:ascii="仿宋_GB2312" w:eastAsia="仿宋_GB2312" w:hint="eastAsia"/>
          <w:sz w:val="32"/>
          <w:szCs w:val="32"/>
        </w:rPr>
        <w:t>《国内水路运输管理规定》（以下简称《规定》）经修订后以交通运输部令2020年第4号发布，为做好《规定》实施工作，现将有关事项通知如下：</w:t>
      </w:r>
    </w:p>
    <w:p w14:paraId="5C398D00" w14:textId="77777777" w:rsidR="00F16EEE" w:rsidRPr="00F16EEE" w:rsidRDefault="00F16EEE" w:rsidP="00F16EEE">
      <w:pPr>
        <w:ind w:firstLineChars="200" w:firstLine="640"/>
        <w:rPr>
          <w:rFonts w:ascii="仿宋_GB2312" w:eastAsia="仿宋_GB2312" w:hint="eastAsia"/>
          <w:sz w:val="32"/>
          <w:szCs w:val="32"/>
        </w:rPr>
      </w:pPr>
      <w:r w:rsidRPr="00F16EEE">
        <w:rPr>
          <w:rFonts w:ascii="仿宋_GB2312" w:eastAsia="仿宋_GB2312" w:hint="eastAsia"/>
          <w:sz w:val="32"/>
          <w:szCs w:val="32"/>
        </w:rPr>
        <w:t>一、关于国内水路运输旅客优待服务</w:t>
      </w:r>
    </w:p>
    <w:p w14:paraId="26E31131" w14:textId="77777777" w:rsidR="00F16EEE" w:rsidRPr="00F16EEE" w:rsidRDefault="00F16EEE" w:rsidP="00F16EEE">
      <w:pPr>
        <w:ind w:firstLineChars="200" w:firstLine="640"/>
        <w:rPr>
          <w:rFonts w:ascii="仿宋_GB2312" w:eastAsia="仿宋_GB2312" w:hint="eastAsia"/>
          <w:sz w:val="32"/>
          <w:szCs w:val="32"/>
        </w:rPr>
      </w:pPr>
      <w:r w:rsidRPr="00F16EEE">
        <w:rPr>
          <w:rFonts w:ascii="仿宋_GB2312" w:eastAsia="仿宋_GB2312" w:hint="eastAsia"/>
          <w:sz w:val="32"/>
          <w:szCs w:val="32"/>
        </w:rPr>
        <w:t>（一）国内水路旅客运输业务经营者应当依法依规为持有效证件的军人、人民警察、国家综合性消防救援队伍人员，以及老幼病残孕等旅客提供优先购票、安检、候船、登船和乘船服务。</w:t>
      </w:r>
    </w:p>
    <w:p w14:paraId="7017569F" w14:textId="77777777" w:rsidR="00F16EEE" w:rsidRPr="00F16EEE" w:rsidRDefault="00F16EEE" w:rsidP="00F16EEE">
      <w:pPr>
        <w:ind w:firstLineChars="200" w:firstLine="640"/>
        <w:rPr>
          <w:rFonts w:ascii="仿宋_GB2312" w:eastAsia="仿宋_GB2312" w:hint="eastAsia"/>
          <w:sz w:val="32"/>
          <w:szCs w:val="32"/>
        </w:rPr>
      </w:pPr>
      <w:r w:rsidRPr="00F16EEE">
        <w:rPr>
          <w:rFonts w:ascii="仿宋_GB2312" w:eastAsia="仿宋_GB2312" w:hint="eastAsia"/>
          <w:sz w:val="32"/>
          <w:szCs w:val="32"/>
        </w:rPr>
        <w:t>（二）国内水路旅客运输业务经营者应当向下列旅客提供优惠票或免费票优待服务。</w:t>
      </w:r>
    </w:p>
    <w:p w14:paraId="4A62F916" w14:textId="77777777" w:rsidR="00F16EEE" w:rsidRPr="00F16EEE" w:rsidRDefault="00F16EEE" w:rsidP="00F16EEE">
      <w:pPr>
        <w:ind w:firstLineChars="200" w:firstLine="640"/>
        <w:rPr>
          <w:rFonts w:ascii="仿宋_GB2312" w:eastAsia="仿宋_GB2312" w:hint="eastAsia"/>
          <w:sz w:val="32"/>
          <w:szCs w:val="32"/>
        </w:rPr>
      </w:pPr>
      <w:r w:rsidRPr="00F16EEE">
        <w:rPr>
          <w:rFonts w:ascii="仿宋_GB2312" w:eastAsia="仿宋_GB2312" w:hint="eastAsia"/>
          <w:sz w:val="32"/>
          <w:szCs w:val="32"/>
        </w:rPr>
        <w:t>1.对年龄超过6周岁但不超过14周岁或者身高超过1.2米但不超过1.5米的未成年人，应当执行客票半价优待。对有成年人陪伴的年龄不超过6周岁或者身高不超过1.2米，且不占用座（铺）位的未成年人免费并出具免费票（1周岁以下未成年人不计入乘客定额）；如未成年人需要单独占用</w:t>
      </w:r>
      <w:r w:rsidRPr="00F16EEE">
        <w:rPr>
          <w:rFonts w:ascii="仿宋_GB2312" w:eastAsia="仿宋_GB2312" w:hint="eastAsia"/>
          <w:sz w:val="32"/>
          <w:szCs w:val="32"/>
        </w:rPr>
        <w:lastRenderedPageBreak/>
        <w:t>座（铺）位的，应当执行客票半价优待。每位成年旅客可带两名持免费票的未成年人，超过两名未成年人时，对超过的应当执行客票半价优待。</w:t>
      </w:r>
    </w:p>
    <w:p w14:paraId="51FAAD6A" w14:textId="77777777" w:rsidR="00F16EEE" w:rsidRPr="00F16EEE" w:rsidRDefault="00F16EEE" w:rsidP="00F16EEE">
      <w:pPr>
        <w:ind w:firstLineChars="200" w:firstLine="640"/>
        <w:rPr>
          <w:rFonts w:ascii="仿宋_GB2312" w:eastAsia="仿宋_GB2312" w:hint="eastAsia"/>
          <w:sz w:val="32"/>
          <w:szCs w:val="32"/>
        </w:rPr>
      </w:pPr>
      <w:r w:rsidRPr="00F16EEE">
        <w:rPr>
          <w:rFonts w:ascii="仿宋_GB2312" w:eastAsia="仿宋_GB2312" w:hint="eastAsia"/>
          <w:sz w:val="32"/>
          <w:szCs w:val="32"/>
        </w:rPr>
        <w:t>2.对残疾军人、因公致残的人民警察和残疾消防救援人员，凭其有效证件应当执行客票半价优待。</w:t>
      </w:r>
    </w:p>
    <w:p w14:paraId="18DB8EFB" w14:textId="77777777" w:rsidR="00F16EEE" w:rsidRPr="00F16EEE" w:rsidRDefault="00F16EEE" w:rsidP="00F16EEE">
      <w:pPr>
        <w:ind w:firstLineChars="200" w:firstLine="640"/>
        <w:rPr>
          <w:rFonts w:ascii="仿宋_GB2312" w:eastAsia="仿宋_GB2312" w:hint="eastAsia"/>
          <w:sz w:val="32"/>
          <w:szCs w:val="32"/>
        </w:rPr>
      </w:pPr>
      <w:r w:rsidRPr="00F16EEE">
        <w:rPr>
          <w:rFonts w:ascii="仿宋_GB2312" w:eastAsia="仿宋_GB2312" w:hint="eastAsia"/>
          <w:sz w:val="32"/>
          <w:szCs w:val="32"/>
        </w:rPr>
        <w:t>3.对寒假和暑假期间乘坐往返于学校和家庭居住地之间水路旅客班轮运输船舶，且在教育主管部门批准有学历教育资格的学校就读的学生，凭其有效证件应当分别执行往返各一次的客票半价优待。</w:t>
      </w:r>
    </w:p>
    <w:p w14:paraId="3A08F3FF" w14:textId="77777777" w:rsidR="00F16EEE" w:rsidRPr="00F16EEE" w:rsidRDefault="00F16EEE" w:rsidP="00F16EEE">
      <w:pPr>
        <w:ind w:firstLineChars="200" w:firstLine="640"/>
        <w:rPr>
          <w:rFonts w:ascii="仿宋_GB2312" w:eastAsia="仿宋_GB2312" w:hint="eastAsia"/>
          <w:sz w:val="32"/>
          <w:szCs w:val="32"/>
        </w:rPr>
      </w:pPr>
      <w:r w:rsidRPr="00F16EEE">
        <w:rPr>
          <w:rFonts w:ascii="仿宋_GB2312" w:eastAsia="仿宋_GB2312" w:hint="eastAsia"/>
          <w:sz w:val="32"/>
          <w:szCs w:val="32"/>
        </w:rPr>
        <w:t>二、关于国内水路运输审批和备案管理</w:t>
      </w:r>
    </w:p>
    <w:p w14:paraId="04855C0D" w14:textId="77777777" w:rsidR="00F16EEE" w:rsidRPr="00F16EEE" w:rsidRDefault="00F16EEE" w:rsidP="00F16EEE">
      <w:pPr>
        <w:ind w:firstLineChars="200" w:firstLine="640"/>
        <w:rPr>
          <w:rFonts w:ascii="仿宋_GB2312" w:eastAsia="仿宋_GB2312" w:hint="eastAsia"/>
          <w:sz w:val="32"/>
          <w:szCs w:val="32"/>
        </w:rPr>
      </w:pPr>
      <w:r w:rsidRPr="00F16EEE">
        <w:rPr>
          <w:rFonts w:ascii="仿宋_GB2312" w:eastAsia="仿宋_GB2312" w:hint="eastAsia"/>
          <w:sz w:val="32"/>
          <w:szCs w:val="32"/>
        </w:rPr>
        <w:t>（一）进一步明确国内水路运输许可权限。</w:t>
      </w:r>
    </w:p>
    <w:p w14:paraId="0B290D1B" w14:textId="77777777" w:rsidR="00F16EEE" w:rsidRPr="00F16EEE" w:rsidRDefault="00F16EEE" w:rsidP="00F16EEE">
      <w:pPr>
        <w:ind w:firstLineChars="200" w:firstLine="640"/>
        <w:rPr>
          <w:rFonts w:ascii="仿宋_GB2312" w:eastAsia="仿宋_GB2312" w:hint="eastAsia"/>
          <w:sz w:val="32"/>
          <w:szCs w:val="32"/>
        </w:rPr>
      </w:pPr>
      <w:r w:rsidRPr="00F16EEE">
        <w:rPr>
          <w:rFonts w:ascii="仿宋_GB2312" w:eastAsia="仿宋_GB2312" w:hint="eastAsia"/>
          <w:sz w:val="32"/>
          <w:szCs w:val="32"/>
        </w:rPr>
        <w:t>1.长江航务管理局作为交通运输部派出机构，具体负责实施长江水系省际危险品船以及长江干线水上运输距离60公里以上省际客船运输的经营许可；珠江航务管理局作为交通运输部派出机构，具体负责实施珠江水系省际危险品船以及西江航运干线水上运输距离60公里以上省际客船运输的经营许可。</w:t>
      </w:r>
    </w:p>
    <w:p w14:paraId="40E888FE" w14:textId="77777777" w:rsidR="00F16EEE" w:rsidRPr="00F16EEE" w:rsidRDefault="00F16EEE" w:rsidP="00F16EEE">
      <w:pPr>
        <w:ind w:firstLineChars="200" w:firstLine="640"/>
        <w:rPr>
          <w:rFonts w:ascii="仿宋_GB2312" w:eastAsia="仿宋_GB2312" w:hint="eastAsia"/>
          <w:sz w:val="32"/>
          <w:szCs w:val="32"/>
        </w:rPr>
      </w:pPr>
      <w:r w:rsidRPr="00F16EEE">
        <w:rPr>
          <w:rFonts w:ascii="仿宋_GB2312" w:eastAsia="仿宋_GB2312" w:hint="eastAsia"/>
          <w:sz w:val="32"/>
          <w:szCs w:val="32"/>
        </w:rPr>
        <w:t>2.省级交通运输主管部门要研究明确本地区具体实施省际普通货船运输、省内水路运输经营许可的权限并向社会公布，相关情况于2020年7月1日前报部（水运局）。</w:t>
      </w:r>
    </w:p>
    <w:p w14:paraId="33DC5D5A" w14:textId="77777777" w:rsidR="00F16EEE" w:rsidRPr="00F16EEE" w:rsidRDefault="00F16EEE" w:rsidP="00F16EEE">
      <w:pPr>
        <w:ind w:firstLineChars="200" w:firstLine="640"/>
        <w:rPr>
          <w:rFonts w:ascii="仿宋_GB2312" w:eastAsia="仿宋_GB2312" w:hint="eastAsia"/>
          <w:sz w:val="32"/>
          <w:szCs w:val="32"/>
        </w:rPr>
      </w:pPr>
      <w:r w:rsidRPr="00F16EEE">
        <w:rPr>
          <w:rFonts w:ascii="仿宋_GB2312" w:eastAsia="仿宋_GB2312" w:hint="eastAsia"/>
          <w:sz w:val="32"/>
          <w:szCs w:val="32"/>
        </w:rPr>
        <w:t>水路运输管理部门许可权限发生调整的，水路运输经营者现有有效的《国内水路运输经营许可证》《船舶营业运输证》</w:t>
      </w:r>
      <w:r w:rsidRPr="00F16EEE">
        <w:rPr>
          <w:rFonts w:ascii="仿宋_GB2312" w:eastAsia="仿宋_GB2312" w:hint="eastAsia"/>
          <w:sz w:val="32"/>
          <w:szCs w:val="32"/>
        </w:rPr>
        <w:lastRenderedPageBreak/>
        <w:t>可暂不换发，待证书到期申请换发时，按新的许可权限进行换发。</w:t>
      </w:r>
    </w:p>
    <w:p w14:paraId="27F620CF" w14:textId="77777777" w:rsidR="00F16EEE" w:rsidRPr="00F16EEE" w:rsidRDefault="00F16EEE" w:rsidP="00F16EEE">
      <w:pPr>
        <w:ind w:firstLineChars="200" w:firstLine="640"/>
        <w:rPr>
          <w:rFonts w:ascii="仿宋_GB2312" w:eastAsia="仿宋_GB2312" w:hint="eastAsia"/>
          <w:sz w:val="32"/>
          <w:szCs w:val="32"/>
        </w:rPr>
      </w:pPr>
      <w:r w:rsidRPr="00F16EEE">
        <w:rPr>
          <w:rFonts w:ascii="仿宋_GB2312" w:eastAsia="仿宋_GB2312" w:hint="eastAsia"/>
          <w:sz w:val="32"/>
          <w:szCs w:val="32"/>
        </w:rPr>
        <w:t>3.各级水路运输管理部门要依据法定许可权限，为符合条件的水路运输经营者颁发《国内水路运输经营许可证》，并明确记载具体经营范围。</w:t>
      </w:r>
    </w:p>
    <w:p w14:paraId="28557A3F" w14:textId="77777777" w:rsidR="00F16EEE" w:rsidRPr="00F16EEE" w:rsidRDefault="00F16EEE" w:rsidP="00F16EEE">
      <w:pPr>
        <w:ind w:firstLineChars="200" w:firstLine="640"/>
        <w:rPr>
          <w:rFonts w:ascii="仿宋_GB2312" w:eastAsia="仿宋_GB2312" w:hint="eastAsia"/>
          <w:sz w:val="32"/>
          <w:szCs w:val="32"/>
        </w:rPr>
      </w:pPr>
      <w:r w:rsidRPr="00F16EEE">
        <w:rPr>
          <w:rFonts w:ascii="仿宋_GB2312" w:eastAsia="仿宋_GB2312" w:hint="eastAsia"/>
          <w:sz w:val="32"/>
          <w:szCs w:val="32"/>
        </w:rPr>
        <w:t>（二）规范国内水路运输新增运力管理。</w:t>
      </w:r>
    </w:p>
    <w:p w14:paraId="723F7C94" w14:textId="77777777" w:rsidR="00F16EEE" w:rsidRPr="00F16EEE" w:rsidRDefault="00F16EEE" w:rsidP="00F16EEE">
      <w:pPr>
        <w:ind w:firstLineChars="200" w:firstLine="640"/>
        <w:rPr>
          <w:rFonts w:ascii="仿宋_GB2312" w:eastAsia="仿宋_GB2312" w:hint="eastAsia"/>
          <w:sz w:val="32"/>
          <w:szCs w:val="32"/>
        </w:rPr>
      </w:pPr>
      <w:r w:rsidRPr="00F16EEE">
        <w:rPr>
          <w:rFonts w:ascii="仿宋_GB2312" w:eastAsia="仿宋_GB2312" w:hint="eastAsia"/>
          <w:sz w:val="32"/>
          <w:szCs w:val="32"/>
        </w:rPr>
        <w:t>1.申请经营客船、危险品船运输业务，涉及新增运力的，应当有已取得相应许可的客船、危险品船；申请经营普通货船运输业务，涉及新增运力的，应当有已备案的普通货船。</w:t>
      </w:r>
    </w:p>
    <w:p w14:paraId="089B34BA" w14:textId="77777777" w:rsidR="00F16EEE" w:rsidRPr="00F16EEE" w:rsidRDefault="00F16EEE" w:rsidP="00F16EEE">
      <w:pPr>
        <w:ind w:firstLineChars="200" w:firstLine="640"/>
        <w:rPr>
          <w:rFonts w:ascii="仿宋_GB2312" w:eastAsia="仿宋_GB2312" w:hint="eastAsia"/>
          <w:sz w:val="32"/>
          <w:szCs w:val="32"/>
        </w:rPr>
      </w:pPr>
      <w:r w:rsidRPr="00F16EEE">
        <w:rPr>
          <w:rFonts w:ascii="仿宋_GB2312" w:eastAsia="仿宋_GB2312" w:hint="eastAsia"/>
          <w:sz w:val="32"/>
          <w:szCs w:val="32"/>
        </w:rPr>
        <w:t>2.水路运输经营者拟通过融资租赁方式在国内新建船舶或从国（境）外进口船舶经营国内水路运输业务的，应按有关规定向具有相应权限的水路运输管理部门申请办理新增客船、危险品船运力许可手续或进行普通货船运力备案，并注明拟采用融资租赁方式。有关水路运输管理部门应在新增运力批准文件或备案回执上注明采用融资租赁方式。</w:t>
      </w:r>
    </w:p>
    <w:p w14:paraId="454279E5" w14:textId="77777777" w:rsidR="00F16EEE" w:rsidRPr="00F16EEE" w:rsidRDefault="00F16EEE" w:rsidP="00F16EEE">
      <w:pPr>
        <w:ind w:firstLineChars="200" w:firstLine="640"/>
        <w:rPr>
          <w:rFonts w:ascii="仿宋_GB2312" w:eastAsia="仿宋_GB2312" w:hint="eastAsia"/>
          <w:sz w:val="32"/>
          <w:szCs w:val="32"/>
        </w:rPr>
      </w:pPr>
      <w:r w:rsidRPr="00F16EEE">
        <w:rPr>
          <w:rFonts w:ascii="仿宋_GB2312" w:eastAsia="仿宋_GB2312" w:hint="eastAsia"/>
          <w:sz w:val="32"/>
          <w:szCs w:val="32"/>
        </w:rPr>
        <w:t>3.企业申请新增沿海省际客船运力或长江干线、西江航运干线水上运输距离60公里以上省际客船运力的，所在地省级水路运输管理部门要与航线始发港、挂靠港、目的港有关省级交通运输主管部门以及航线途经水域具有权限的海事管理机构书面协商，相关意见一并报部或部派出机构。</w:t>
      </w:r>
    </w:p>
    <w:p w14:paraId="224B141E" w14:textId="77777777" w:rsidR="00F16EEE" w:rsidRPr="00F16EEE" w:rsidRDefault="00F16EEE" w:rsidP="00F16EEE">
      <w:pPr>
        <w:ind w:firstLineChars="200" w:firstLine="640"/>
        <w:rPr>
          <w:rFonts w:ascii="仿宋_GB2312" w:eastAsia="仿宋_GB2312" w:hint="eastAsia"/>
          <w:sz w:val="32"/>
          <w:szCs w:val="32"/>
        </w:rPr>
      </w:pPr>
      <w:r w:rsidRPr="00F16EEE">
        <w:rPr>
          <w:rFonts w:ascii="仿宋_GB2312" w:eastAsia="仿宋_GB2312" w:hint="eastAsia"/>
          <w:sz w:val="32"/>
          <w:szCs w:val="32"/>
        </w:rPr>
        <w:t>4.采取“退一进一”或“退多进一”方式被替换退出省际危险品船运输市场的船舶，未经许可，不得重新进入原有</w:t>
      </w:r>
      <w:r w:rsidRPr="00F16EEE">
        <w:rPr>
          <w:rFonts w:ascii="仿宋_GB2312" w:eastAsia="仿宋_GB2312" w:hint="eastAsia"/>
          <w:sz w:val="32"/>
          <w:szCs w:val="32"/>
        </w:rPr>
        <w:lastRenderedPageBreak/>
        <w:t>市场。被替换船舶申请注销《船舶营业运输证》时，应在水路运输建设综合管理信息系统的注销原因中选择“退出省际运输市场”或“船舶报废”。</w:t>
      </w:r>
    </w:p>
    <w:p w14:paraId="354F9924" w14:textId="77777777" w:rsidR="00F16EEE" w:rsidRPr="00F16EEE" w:rsidRDefault="00F16EEE" w:rsidP="00F16EEE">
      <w:pPr>
        <w:ind w:firstLineChars="200" w:firstLine="640"/>
        <w:rPr>
          <w:rFonts w:ascii="仿宋_GB2312" w:eastAsia="仿宋_GB2312" w:hint="eastAsia"/>
          <w:sz w:val="32"/>
          <w:szCs w:val="32"/>
        </w:rPr>
      </w:pPr>
      <w:r w:rsidRPr="00F16EEE">
        <w:rPr>
          <w:rFonts w:ascii="仿宋_GB2312" w:eastAsia="仿宋_GB2312" w:hint="eastAsia"/>
          <w:sz w:val="32"/>
          <w:szCs w:val="32"/>
        </w:rPr>
        <w:t>（三）做好国内水路运输备案管理工作。</w:t>
      </w:r>
    </w:p>
    <w:p w14:paraId="49B2D68A" w14:textId="77777777" w:rsidR="00F16EEE" w:rsidRPr="00F16EEE" w:rsidRDefault="00F16EEE" w:rsidP="00F16EEE">
      <w:pPr>
        <w:ind w:firstLineChars="200" w:firstLine="640"/>
        <w:rPr>
          <w:rFonts w:ascii="仿宋_GB2312" w:eastAsia="仿宋_GB2312" w:hint="eastAsia"/>
          <w:sz w:val="32"/>
          <w:szCs w:val="32"/>
        </w:rPr>
      </w:pPr>
      <w:r w:rsidRPr="00F16EEE">
        <w:rPr>
          <w:rFonts w:ascii="仿宋_GB2312" w:eastAsia="仿宋_GB2312" w:hint="eastAsia"/>
          <w:sz w:val="32"/>
          <w:szCs w:val="32"/>
        </w:rPr>
        <w:t>各级水路运输管理部门要本着简化、便民的原则做好国内水路运输备案工作，并督促水路运输经营者认真履行备案告知义务。</w:t>
      </w:r>
    </w:p>
    <w:p w14:paraId="6CDD4B84" w14:textId="77777777" w:rsidR="00F16EEE" w:rsidRPr="00F16EEE" w:rsidRDefault="00F16EEE" w:rsidP="00F16EEE">
      <w:pPr>
        <w:ind w:firstLineChars="200" w:firstLine="640"/>
        <w:rPr>
          <w:rFonts w:ascii="仿宋_GB2312" w:eastAsia="仿宋_GB2312" w:hint="eastAsia"/>
          <w:sz w:val="32"/>
          <w:szCs w:val="32"/>
        </w:rPr>
      </w:pPr>
      <w:r w:rsidRPr="00F16EEE">
        <w:rPr>
          <w:rFonts w:ascii="仿宋_GB2312" w:eastAsia="仿宋_GB2312" w:hint="eastAsia"/>
          <w:sz w:val="32"/>
          <w:szCs w:val="32"/>
        </w:rPr>
        <w:t>三、关于水路运输经营者自有船舶运力管理</w:t>
      </w:r>
    </w:p>
    <w:p w14:paraId="00A6E990" w14:textId="77777777" w:rsidR="00F16EEE" w:rsidRPr="00F16EEE" w:rsidRDefault="00F16EEE" w:rsidP="00F16EEE">
      <w:pPr>
        <w:ind w:firstLineChars="200" w:firstLine="640"/>
        <w:rPr>
          <w:rFonts w:ascii="仿宋_GB2312" w:eastAsia="仿宋_GB2312" w:hint="eastAsia"/>
          <w:sz w:val="32"/>
          <w:szCs w:val="32"/>
        </w:rPr>
      </w:pPr>
      <w:r w:rsidRPr="00F16EEE">
        <w:rPr>
          <w:rFonts w:ascii="仿宋_GB2312" w:eastAsia="仿宋_GB2312" w:hint="eastAsia"/>
          <w:sz w:val="32"/>
          <w:szCs w:val="32"/>
        </w:rPr>
        <w:t>（一）水路运输经营者经营的融资租赁船舶，融资租赁合同明确合同到期后船舶归属该经营者的所有权份额不低于51%的，凭其融资租赁合同、船舶所有权登记证书、光船租赁登记证明书、《船舶营业运输证》（开业或扩大经营范围的无需提供《船舶营业运输证》），视为企业自有船舶运力。</w:t>
      </w:r>
    </w:p>
    <w:p w14:paraId="1E5AEE4A" w14:textId="77777777" w:rsidR="00F16EEE" w:rsidRPr="00F16EEE" w:rsidRDefault="00F16EEE" w:rsidP="00F16EEE">
      <w:pPr>
        <w:ind w:firstLineChars="200" w:firstLine="640"/>
        <w:rPr>
          <w:rFonts w:ascii="仿宋_GB2312" w:eastAsia="仿宋_GB2312" w:hint="eastAsia"/>
          <w:sz w:val="32"/>
          <w:szCs w:val="32"/>
        </w:rPr>
      </w:pPr>
      <w:r w:rsidRPr="00F16EEE">
        <w:rPr>
          <w:rFonts w:ascii="仿宋_GB2312" w:eastAsia="仿宋_GB2312" w:hint="eastAsia"/>
          <w:sz w:val="32"/>
          <w:szCs w:val="32"/>
        </w:rPr>
        <w:t>（二）水路运输经营者经营省际与省内、沿海与内河、长江与珠江水系的自有船舶运力应当按经营范围分别计算，其中，具有国内水路运输资格的成品油船、原油船、化学品船（含植物油船），或经营的具有国内水路运输资格的液化石油气船和液化天然气船，可以分别按经营范围合并计算自有船舶运力规模，但经营范围中的每种用途船舶运力应至少拥有1艘。</w:t>
      </w:r>
    </w:p>
    <w:p w14:paraId="21745079" w14:textId="77777777" w:rsidR="00F16EEE" w:rsidRPr="00F16EEE" w:rsidRDefault="00F16EEE" w:rsidP="00F16EEE">
      <w:pPr>
        <w:ind w:firstLineChars="200" w:firstLine="640"/>
        <w:rPr>
          <w:rFonts w:ascii="仿宋_GB2312" w:eastAsia="仿宋_GB2312" w:hint="eastAsia"/>
          <w:sz w:val="32"/>
          <w:szCs w:val="32"/>
        </w:rPr>
      </w:pPr>
      <w:r w:rsidRPr="00F16EEE">
        <w:rPr>
          <w:rFonts w:ascii="仿宋_GB2312" w:eastAsia="仿宋_GB2312" w:hint="eastAsia"/>
          <w:sz w:val="32"/>
          <w:szCs w:val="32"/>
        </w:rPr>
        <w:t>四、关于海务、机务管理人员配备管理</w:t>
      </w:r>
    </w:p>
    <w:p w14:paraId="063FEACB" w14:textId="77777777" w:rsidR="00F16EEE" w:rsidRPr="00F16EEE" w:rsidRDefault="00F16EEE" w:rsidP="00F16EEE">
      <w:pPr>
        <w:ind w:firstLineChars="200" w:firstLine="640"/>
        <w:rPr>
          <w:rFonts w:ascii="仿宋_GB2312" w:eastAsia="仿宋_GB2312" w:hint="eastAsia"/>
          <w:sz w:val="32"/>
          <w:szCs w:val="32"/>
        </w:rPr>
      </w:pPr>
      <w:r w:rsidRPr="00F16EEE">
        <w:rPr>
          <w:rFonts w:ascii="仿宋_GB2312" w:eastAsia="仿宋_GB2312" w:hint="eastAsia"/>
          <w:sz w:val="32"/>
          <w:szCs w:val="32"/>
        </w:rPr>
        <w:t>（一）水路运输管理部门要加强海务、机务管理人员配</w:t>
      </w:r>
      <w:r w:rsidRPr="00F16EEE">
        <w:rPr>
          <w:rFonts w:ascii="仿宋_GB2312" w:eastAsia="仿宋_GB2312" w:hint="eastAsia"/>
          <w:sz w:val="32"/>
          <w:szCs w:val="32"/>
        </w:rPr>
        <w:lastRenderedPageBreak/>
        <w:t>备管理，水路运输经营者配备的海务、机务管理人员从业资历应与其管理船舶的经营区域（沿海运输或内河运输）、业务种类以及船舶吨位、主机功率相适应。根据船舶最低安全配员标准，水路运输经营者管理的船舶要求机驾合一的，其相应配备的海务、机务管理人员可由具有机驾合一从业资历的人员同时担任；管理的船舶全部不需要配备轮机人员的，不要求其配备机务管理人员。</w:t>
      </w:r>
    </w:p>
    <w:p w14:paraId="5D1F2BBF" w14:textId="77777777" w:rsidR="00F16EEE" w:rsidRPr="00F16EEE" w:rsidRDefault="00F16EEE" w:rsidP="00F16EEE">
      <w:pPr>
        <w:ind w:firstLineChars="200" w:firstLine="640"/>
        <w:rPr>
          <w:rFonts w:ascii="仿宋_GB2312" w:eastAsia="仿宋_GB2312" w:hint="eastAsia"/>
          <w:sz w:val="32"/>
          <w:szCs w:val="32"/>
        </w:rPr>
      </w:pPr>
      <w:r w:rsidRPr="00F16EEE">
        <w:rPr>
          <w:rFonts w:ascii="仿宋_GB2312" w:eastAsia="仿宋_GB2312" w:hint="eastAsia"/>
          <w:sz w:val="32"/>
          <w:szCs w:val="32"/>
        </w:rPr>
        <w:t>（二）从业资历符合规定的海务、机务管理人员与水路运输经营者签订一年以上全日制劳动合同或劳务用工合同，且在合同期限内未在任何船舶上或者其他企业从事兼职的，方可认定配备的海务、机务管理人员符合要求。</w:t>
      </w:r>
    </w:p>
    <w:p w14:paraId="0FDE3736" w14:textId="77777777" w:rsidR="00F16EEE" w:rsidRPr="00F16EEE" w:rsidRDefault="00F16EEE" w:rsidP="00F16EEE">
      <w:pPr>
        <w:ind w:firstLineChars="200" w:firstLine="640"/>
        <w:rPr>
          <w:rFonts w:ascii="仿宋_GB2312" w:eastAsia="仿宋_GB2312" w:hint="eastAsia"/>
          <w:sz w:val="32"/>
          <w:szCs w:val="32"/>
        </w:rPr>
      </w:pPr>
      <w:r w:rsidRPr="00F16EEE">
        <w:rPr>
          <w:rFonts w:ascii="仿宋_GB2312" w:eastAsia="仿宋_GB2312" w:hint="eastAsia"/>
          <w:sz w:val="32"/>
          <w:szCs w:val="32"/>
        </w:rPr>
        <w:t>（三）水路运输经营者将全部经营船舶的安全与防污染管理和海务、机务管理业务委托国内船舶管理业务经营者负责的，不要求其配备海务、机务管理人员。</w:t>
      </w:r>
    </w:p>
    <w:p w14:paraId="5AF8D54D" w14:textId="77777777" w:rsidR="00F16EEE" w:rsidRPr="00F16EEE" w:rsidRDefault="00F16EEE" w:rsidP="00F16EEE">
      <w:pPr>
        <w:ind w:firstLineChars="200" w:firstLine="640"/>
        <w:rPr>
          <w:rFonts w:ascii="仿宋_GB2312" w:eastAsia="仿宋_GB2312" w:hint="eastAsia"/>
          <w:sz w:val="32"/>
          <w:szCs w:val="32"/>
        </w:rPr>
      </w:pPr>
      <w:r w:rsidRPr="00F16EEE">
        <w:rPr>
          <w:rFonts w:ascii="仿宋_GB2312" w:eastAsia="仿宋_GB2312" w:hint="eastAsia"/>
          <w:sz w:val="32"/>
          <w:szCs w:val="32"/>
        </w:rPr>
        <w:t>五、积极推进证书电子化应用</w:t>
      </w:r>
    </w:p>
    <w:p w14:paraId="171BDE24" w14:textId="77777777" w:rsidR="00F16EEE" w:rsidRPr="00F16EEE" w:rsidRDefault="00F16EEE" w:rsidP="00F16EEE">
      <w:pPr>
        <w:ind w:firstLineChars="200" w:firstLine="640"/>
        <w:rPr>
          <w:rFonts w:ascii="仿宋_GB2312" w:eastAsia="仿宋_GB2312" w:hint="eastAsia"/>
          <w:sz w:val="32"/>
          <w:szCs w:val="32"/>
        </w:rPr>
      </w:pPr>
      <w:r w:rsidRPr="00F16EEE">
        <w:rPr>
          <w:rFonts w:ascii="仿宋_GB2312" w:eastAsia="仿宋_GB2312" w:hint="eastAsia"/>
          <w:sz w:val="32"/>
          <w:szCs w:val="32"/>
        </w:rPr>
        <w:t>（一）省级水路运输管理部门要积极推进国内水路运输领域政务服务事项网上办理和证书电子化，制发的电子证书应符合国家相关标准的要求，并具备二维码等可识别查询的电子信息，同时加强证照信息共享。</w:t>
      </w:r>
    </w:p>
    <w:p w14:paraId="2325C586" w14:textId="77777777" w:rsidR="00F16EEE" w:rsidRPr="00F16EEE" w:rsidRDefault="00F16EEE" w:rsidP="00F16EEE">
      <w:pPr>
        <w:ind w:firstLineChars="200" w:firstLine="640"/>
        <w:rPr>
          <w:rFonts w:ascii="仿宋_GB2312" w:eastAsia="仿宋_GB2312" w:hint="eastAsia"/>
          <w:sz w:val="32"/>
          <w:szCs w:val="32"/>
        </w:rPr>
      </w:pPr>
      <w:r w:rsidRPr="00F16EEE">
        <w:rPr>
          <w:rFonts w:ascii="仿宋_GB2312" w:eastAsia="仿宋_GB2312" w:hint="eastAsia"/>
          <w:sz w:val="32"/>
          <w:szCs w:val="32"/>
        </w:rPr>
        <w:t>（二）在国内水路运输监督检查中，船舶既可以提供随船携带的纸质《船舶营业运输证》，也可以提供二维码等可实时查验的电子信息。</w:t>
      </w:r>
    </w:p>
    <w:p w14:paraId="7B17733A" w14:textId="18BEAB57" w:rsidR="00F16EEE" w:rsidRDefault="00F16EEE" w:rsidP="00F16EEE">
      <w:pPr>
        <w:ind w:firstLineChars="200" w:firstLine="640"/>
        <w:rPr>
          <w:rFonts w:ascii="仿宋_GB2312" w:eastAsia="仿宋_GB2312"/>
          <w:sz w:val="32"/>
          <w:szCs w:val="32"/>
        </w:rPr>
      </w:pPr>
      <w:r w:rsidRPr="00F16EEE">
        <w:rPr>
          <w:rFonts w:ascii="仿宋_GB2312" w:eastAsia="仿宋_GB2312" w:hint="eastAsia"/>
          <w:sz w:val="32"/>
          <w:szCs w:val="32"/>
        </w:rPr>
        <w:lastRenderedPageBreak/>
        <w:t>本通知自2020年6月10日起施行，有关规定与本通知不一致的，以本通知为准，《交通运输部办公厅关于国内水路集装箱班轮运输实施备案管理的通知》（交办水〔2014〕148号）、《交通运输部关于实施融资租赁船舶运力认定政策的公告》（交通运输部公告2013年第81号）、《交通运输部办公厅关于规范国内船舶融资租赁管理的通知》（厅水字〔2008〕1号）、《交通部关于因公致残的人民警察乘坐客船和客运班车享受与因公致残的现役军人同样待遇的通知》（交水发〔2001〕139号）同时废止。</w:t>
      </w:r>
    </w:p>
    <w:p w14:paraId="65BFF3C2" w14:textId="77777777" w:rsidR="00F16EEE" w:rsidRPr="00F16EEE" w:rsidRDefault="00F16EEE" w:rsidP="00F16EEE">
      <w:pPr>
        <w:ind w:firstLineChars="200" w:firstLine="640"/>
        <w:rPr>
          <w:rFonts w:ascii="仿宋_GB2312" w:eastAsia="仿宋_GB2312" w:hint="eastAsia"/>
          <w:sz w:val="32"/>
          <w:szCs w:val="32"/>
        </w:rPr>
      </w:pPr>
    </w:p>
    <w:p w14:paraId="4DAC7832" w14:textId="77777777" w:rsidR="00F16EEE" w:rsidRPr="00F16EEE" w:rsidRDefault="00F16EEE" w:rsidP="00F16EEE">
      <w:pPr>
        <w:jc w:val="right"/>
        <w:rPr>
          <w:rFonts w:ascii="仿宋_GB2312" w:eastAsia="仿宋_GB2312"/>
          <w:sz w:val="32"/>
          <w:szCs w:val="32"/>
        </w:rPr>
      </w:pPr>
      <w:r w:rsidRPr="00F16EEE">
        <w:rPr>
          <w:rFonts w:ascii="仿宋_GB2312" w:eastAsia="仿宋_GB2312" w:hint="eastAsia"/>
          <w:sz w:val="32"/>
          <w:szCs w:val="32"/>
        </w:rPr>
        <w:t>交通运输部</w:t>
      </w:r>
    </w:p>
    <w:p w14:paraId="6C8C0761" w14:textId="0FF73A70" w:rsidR="00F16EEE" w:rsidRDefault="00F16EEE" w:rsidP="00F16EEE">
      <w:pPr>
        <w:jc w:val="right"/>
        <w:rPr>
          <w:rFonts w:ascii="仿宋_GB2312" w:eastAsia="仿宋_GB2312"/>
          <w:sz w:val="32"/>
          <w:szCs w:val="32"/>
        </w:rPr>
      </w:pPr>
      <w:r w:rsidRPr="00F16EEE">
        <w:rPr>
          <w:rFonts w:ascii="仿宋_GB2312" w:eastAsia="仿宋_GB2312"/>
          <w:sz w:val="32"/>
          <w:szCs w:val="32"/>
        </w:rPr>
        <w:t>2020年5月26日</w:t>
      </w:r>
    </w:p>
    <w:p w14:paraId="1A898FD0" w14:textId="77777777" w:rsidR="00F16EEE" w:rsidRPr="00F16EEE" w:rsidRDefault="00F16EEE" w:rsidP="00F16EEE">
      <w:pPr>
        <w:rPr>
          <w:rFonts w:ascii="仿宋_GB2312" w:eastAsia="仿宋_GB2312" w:hint="eastAsia"/>
          <w:sz w:val="32"/>
          <w:szCs w:val="32"/>
        </w:rPr>
      </w:pPr>
    </w:p>
    <w:p w14:paraId="5303FFAF" w14:textId="767129D3" w:rsidR="00F16EEE" w:rsidRDefault="00F16EEE" w:rsidP="00F16EEE">
      <w:pPr>
        <w:ind w:firstLineChars="200" w:firstLine="640"/>
        <w:rPr>
          <w:rFonts w:ascii="仿宋_GB2312" w:eastAsia="仿宋_GB2312"/>
          <w:sz w:val="32"/>
          <w:szCs w:val="32"/>
        </w:rPr>
      </w:pPr>
      <w:r w:rsidRPr="00F16EEE">
        <w:rPr>
          <w:rFonts w:ascii="仿宋_GB2312" w:eastAsia="仿宋_GB2312" w:hint="eastAsia"/>
          <w:sz w:val="32"/>
          <w:szCs w:val="32"/>
        </w:rPr>
        <w:t>（此件公开发布）</w:t>
      </w:r>
    </w:p>
    <w:p w14:paraId="6E5E8DBE" w14:textId="77777777" w:rsidR="00F16EEE" w:rsidRPr="00F16EEE" w:rsidRDefault="00F16EEE" w:rsidP="00F16EEE">
      <w:pPr>
        <w:ind w:firstLineChars="200" w:firstLine="640"/>
        <w:rPr>
          <w:rFonts w:ascii="仿宋_GB2312" w:eastAsia="仿宋_GB2312" w:hint="eastAsia"/>
          <w:sz w:val="32"/>
          <w:szCs w:val="32"/>
        </w:rPr>
      </w:pPr>
    </w:p>
    <w:p w14:paraId="35BAF169" w14:textId="5B74C8B2" w:rsidR="00025F45" w:rsidRPr="00025F45" w:rsidRDefault="00F16EEE" w:rsidP="00F16EEE">
      <w:pPr>
        <w:ind w:firstLineChars="200" w:firstLine="640"/>
        <w:rPr>
          <w:rFonts w:ascii="仿宋_GB2312" w:eastAsia="仿宋_GB2312"/>
          <w:sz w:val="32"/>
          <w:szCs w:val="32"/>
        </w:rPr>
      </w:pPr>
      <w:r w:rsidRPr="00F16EEE">
        <w:rPr>
          <w:rFonts w:ascii="仿宋_GB2312" w:eastAsia="仿宋_GB2312" w:hint="eastAsia"/>
          <w:sz w:val="32"/>
          <w:szCs w:val="32"/>
        </w:rPr>
        <w:t>抄送：部法制司、海事局。</w:t>
      </w:r>
    </w:p>
    <w:sectPr w:rsidR="00025F45" w:rsidRPr="00025F45" w:rsidSect="00025F45">
      <w:headerReference w:type="default" r:id="rId6"/>
      <w:footerReference w:type="default" r:id="rId7"/>
      <w:pgSz w:w="11906" w:h="16838"/>
      <w:pgMar w:top="1440" w:right="1800" w:bottom="1440" w:left="180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3865E" w14:textId="77777777" w:rsidR="003208B0" w:rsidRDefault="003208B0" w:rsidP="00025F45">
      <w:r>
        <w:separator/>
      </w:r>
    </w:p>
  </w:endnote>
  <w:endnote w:type="continuationSeparator" w:id="0">
    <w:p w14:paraId="03B63AA5" w14:textId="77777777" w:rsidR="003208B0" w:rsidRDefault="003208B0" w:rsidP="0002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D3F9" w14:textId="77777777" w:rsidR="00025F45" w:rsidRDefault="00025F45">
    <w:pPr>
      <w:pStyle w:val="a5"/>
    </w:pPr>
    <w:r>
      <w:rPr>
        <w:noProof/>
        <w:color w:val="FAFAFA"/>
        <w:sz w:val="32"/>
      </w:rPr>
      <mc:AlternateContent>
        <mc:Choice Requires="wps">
          <w:drawing>
            <wp:anchor distT="0" distB="0" distL="114300" distR="114300" simplePos="0" relativeHeight="251661312" behindDoc="0" locked="0" layoutInCell="1" allowOverlap="1" wp14:anchorId="243FD319" wp14:editId="3F921F2E">
              <wp:simplePos x="0" y="0"/>
              <wp:positionH relativeFrom="margin">
                <wp:align>left</wp:align>
              </wp:positionH>
              <wp:positionV relativeFrom="paragraph">
                <wp:posOffset>-14605</wp:posOffset>
              </wp:positionV>
              <wp:extent cx="526732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26732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075973" id="直接连接符 5" o:spid="_x0000_s1026" style="position:absolute;left:0;text-align:lef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5pt" to="41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" strokecolor="#005192" strokeweight="1.75pt">
              <v:stroke joinstyle="miter"/>
              <w10:wrap anchorx="margin"/>
            </v:line>
          </w:pict>
        </mc:Fallback>
      </mc:AlternateContent>
    </w:r>
    <w:r>
      <w:ptab w:relativeTo="margin" w:alignment="center" w:leader="none"/>
    </w:r>
    <w:r>
      <w:ptab w:relativeTo="margin" w:alignment="right" w:leader="none"/>
    </w:r>
    <w:r>
      <w:rPr>
        <w:rFonts w:eastAsia="仿宋" w:hint="eastAsia"/>
        <w:color w:val="FAFAFA"/>
        <w:sz w:val="32"/>
        <w:szCs w:val="48"/>
      </w:rPr>
      <w:t>X</w:t>
    </w:r>
    <w:r>
      <w:rPr>
        <w:rFonts w:ascii="宋体" w:eastAsia="宋体" w:hAnsi="宋体" w:cs="宋体" w:hint="eastAsia"/>
        <w:b/>
        <w:bCs/>
        <w:color w:val="005192"/>
        <w:sz w:val="28"/>
        <w:szCs w:val="44"/>
      </w:rPr>
      <w:t xml:space="preserve">交通运输部发布     </w:t>
    </w:r>
    <w:r>
      <w:rPr>
        <w:rFonts w:ascii="宋体" w:eastAsia="宋体" w:hAnsi="宋体" w:cs="宋体"/>
        <w:b/>
        <w:bCs/>
        <w:color w:val="005192"/>
        <w:sz w:val="28"/>
        <w:szCs w:val="44"/>
      </w:rPr>
      <w:t xml:space="preserve">  </w:t>
    </w:r>
  </w:p>
  <w:p w14:paraId="46D2D4B8" w14:textId="77777777" w:rsidR="00025F45" w:rsidRDefault="00025F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1C049" w14:textId="77777777" w:rsidR="003208B0" w:rsidRDefault="003208B0" w:rsidP="00025F45">
      <w:r>
        <w:separator/>
      </w:r>
    </w:p>
  </w:footnote>
  <w:footnote w:type="continuationSeparator" w:id="0">
    <w:p w14:paraId="62F9C015" w14:textId="77777777" w:rsidR="003208B0" w:rsidRDefault="003208B0" w:rsidP="00025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DAF3" w14:textId="760FF46F" w:rsidR="00025F45" w:rsidRDefault="00025F45">
    <w:pPr>
      <w:pStyle w:val="a3"/>
    </w:pPr>
    <w:r>
      <w:rPr>
        <w:rFonts w:ascii="宋体" w:eastAsia="宋体" w:hAnsi="宋体" w:cs="宋体" w:hint="eastAsia"/>
        <w:b/>
        <w:bCs/>
        <w:noProof/>
        <w:color w:val="005192"/>
        <w:sz w:val="32"/>
      </w:rPr>
      <w:drawing>
        <wp:inline distT="0" distB="0" distL="114300" distR="114300" wp14:anchorId="02CC8684" wp14:editId="0618317C">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交通运输部行政规范性文</w:t>
    </w:r>
    <w:r w:rsidR="00AB69EB">
      <w:rPr>
        <w:rFonts w:ascii="宋体" w:eastAsia="宋体" w:hAnsi="宋体" w:cs="宋体" w:hint="eastAsia"/>
        <w:b/>
        <w:bCs/>
        <w:color w:val="005192"/>
        <w:sz w:val="32"/>
        <w:szCs w:val="32"/>
      </w:rPr>
      <w:t>件</w:t>
    </w:r>
    <w:r>
      <w:ptab w:relativeTo="margin" w:alignment="right" w:leader="none"/>
    </w:r>
  </w:p>
  <w:p w14:paraId="0FD1A889" w14:textId="5E79282E" w:rsidR="00025F45" w:rsidRDefault="00025F45">
    <w:pPr>
      <w:pStyle w:val="a3"/>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0FBA7E49" wp14:editId="3C918704">
              <wp:simplePos x="0" y="0"/>
              <wp:positionH relativeFrom="margin">
                <wp:posOffset>-11892</wp:posOffset>
              </wp:positionH>
              <wp:positionV relativeFrom="paragraph">
                <wp:posOffset>171002</wp:posOffset>
              </wp:positionV>
              <wp:extent cx="5311976" cy="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311976"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90D8B" id="直接连接符 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13.45pt" to="417.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" strokecolor="#005192" strokeweight="1.7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CC"/>
    <w:rsid w:val="00025F45"/>
    <w:rsid w:val="003208B0"/>
    <w:rsid w:val="00896040"/>
    <w:rsid w:val="009F1563"/>
    <w:rsid w:val="00AB69EB"/>
    <w:rsid w:val="00AD35BF"/>
    <w:rsid w:val="00AD6589"/>
    <w:rsid w:val="00B500CC"/>
    <w:rsid w:val="00F16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B790F"/>
  <w15:chartTrackingRefBased/>
  <w15:docId w15:val="{6789A117-97D3-4FD8-B601-65DDCB6A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5F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25F45"/>
    <w:rPr>
      <w:sz w:val="18"/>
      <w:szCs w:val="18"/>
    </w:rPr>
  </w:style>
  <w:style w:type="paragraph" w:styleId="a5">
    <w:name w:val="footer"/>
    <w:basedOn w:val="a"/>
    <w:link w:val="a6"/>
    <w:uiPriority w:val="99"/>
    <w:unhideWhenUsed/>
    <w:rsid w:val="00025F45"/>
    <w:pPr>
      <w:tabs>
        <w:tab w:val="center" w:pos="4153"/>
        <w:tab w:val="right" w:pos="8306"/>
      </w:tabs>
      <w:snapToGrid w:val="0"/>
      <w:jc w:val="left"/>
    </w:pPr>
    <w:rPr>
      <w:sz w:val="18"/>
      <w:szCs w:val="18"/>
    </w:rPr>
  </w:style>
  <w:style w:type="character" w:customStyle="1" w:styleId="a6">
    <w:name w:val="页脚 字符"/>
    <w:basedOn w:val="a0"/>
    <w:link w:val="a5"/>
    <w:uiPriority w:val="99"/>
    <w:rsid w:val="00025F45"/>
    <w:rPr>
      <w:sz w:val="18"/>
      <w:szCs w:val="18"/>
    </w:rPr>
  </w:style>
  <w:style w:type="paragraph" w:styleId="a7">
    <w:name w:val="Date"/>
    <w:basedOn w:val="a"/>
    <w:next w:val="a"/>
    <w:link w:val="a8"/>
    <w:uiPriority w:val="99"/>
    <w:semiHidden/>
    <w:unhideWhenUsed/>
    <w:rsid w:val="00F16EEE"/>
    <w:pPr>
      <w:ind w:leftChars="2500" w:left="100"/>
    </w:pPr>
  </w:style>
  <w:style w:type="character" w:customStyle="1" w:styleId="a8">
    <w:name w:val="日期 字符"/>
    <w:basedOn w:val="a0"/>
    <w:link w:val="a7"/>
    <w:uiPriority w:val="99"/>
    <w:semiHidden/>
    <w:rsid w:val="00F16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震</dc:creator>
  <cp:keywords/>
  <dc:description/>
  <cp:lastModifiedBy>郭 震</cp:lastModifiedBy>
  <cp:revision>2</cp:revision>
  <dcterms:created xsi:type="dcterms:W3CDTF">2022-12-05T02:42:00Z</dcterms:created>
  <dcterms:modified xsi:type="dcterms:W3CDTF">2022-12-05T02:42:00Z</dcterms:modified>
</cp:coreProperties>
</file>