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BAD">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7FA9ED25">
      <w:pPr>
        <w:rPr>
          <w:rFonts w:hint="eastAsia" w:asciiTheme="minorEastAsia" w:hAnsiTheme="minorEastAsia" w:cstheme="minorEastAsia"/>
          <w:sz w:val="44"/>
          <w:szCs w:val="44"/>
        </w:rPr>
      </w:pPr>
    </w:p>
    <w:p w14:paraId="7D3C48F7">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全国高速公路服务区服务质量等级评定办法</w:t>
      </w:r>
    </w:p>
    <w:p w14:paraId="2FE4B6FA">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（交公路规〔2025〕4号）</w:t>
      </w:r>
    </w:p>
    <w:p w14:paraId="77604436">
      <w:pPr>
        <w:jc w:val="center"/>
        <w:rPr>
          <w:rFonts w:hint="eastAsia" w:ascii="楷体_GB2312" w:hAnsi="楷体_GB2312" w:eastAsia="楷体_GB2312" w:cs="楷体_GB2312"/>
          <w:color w:val="333333"/>
          <w:sz w:val="32"/>
          <w:szCs w:val="32"/>
          <w:shd w:val="clear" w:color="auto" w:fill="FFFFFF"/>
        </w:rPr>
      </w:pPr>
    </w:p>
    <w:p w14:paraId="0FF79165">
      <w:pPr>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val="en-US" w:eastAsia="zh-CN"/>
        </w:rPr>
        <w:t>各省、自治区、直辖市、新疆生产建设兵团交通运输厅（局、委）</w:t>
      </w:r>
      <w:r>
        <w:rPr>
          <w:rFonts w:hint="eastAsia" w:ascii="仿宋_GB2312" w:hAnsi="仿宋_GB2312" w:eastAsia="仿宋_GB2312" w:cs="仿宋_GB2312"/>
          <w:color w:val="333333"/>
          <w:sz w:val="32"/>
          <w:szCs w:val="32"/>
          <w:shd w:val="clear" w:color="auto" w:fill="FFFFFF"/>
          <w:lang w:val="en-US" w:eastAsia="zh-CN"/>
        </w:rPr>
        <w:t>：</w:t>
      </w:r>
    </w:p>
    <w:p w14:paraId="06D154D2">
      <w:pPr>
        <w:ind w:firstLine="640" w:firstLineChars="200"/>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现将《全国高速公路服务区服务质量等级评定办法》印发给你们，请遵照执行。</w:t>
      </w:r>
    </w:p>
    <w:p w14:paraId="231739E2">
      <w:pPr>
        <w:rPr>
          <w:rFonts w:hint="eastAsia" w:ascii="仿宋_GB2312" w:hAnsi="仿宋_GB2312" w:eastAsia="仿宋_GB2312" w:cs="仿宋_GB2312"/>
          <w:color w:val="333333"/>
          <w:sz w:val="32"/>
          <w:szCs w:val="32"/>
          <w:shd w:val="clear" w:color="auto" w:fill="FFFFFF"/>
        </w:rPr>
      </w:pPr>
    </w:p>
    <w:p w14:paraId="70D7B29F">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w:t>
      </w:r>
    </w:p>
    <w:p w14:paraId="58AC63C7">
      <w:pPr>
        <w:spacing w:line="720" w:lineRule="exact"/>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2025年4月</w:t>
      </w:r>
      <w:r>
        <w:rPr>
          <w:rFonts w:hint="eastAsia" w:ascii="Times New Roman" w:hAnsi="Times New Roman" w:eastAsia="仿宋_GB2312"/>
          <w:color w:val="000000"/>
          <w:sz w:val="32"/>
          <w:szCs w:val="32"/>
          <w:lang w:val="en-US" w:eastAsia="zh-CN"/>
        </w:rPr>
        <w:t>30</w:t>
      </w:r>
      <w:r>
        <w:rPr>
          <w:rFonts w:ascii="Times New Roman" w:hAnsi="Times New Roman" w:eastAsia="仿宋_GB2312"/>
          <w:color w:val="000000"/>
          <w:sz w:val="32"/>
          <w:szCs w:val="32"/>
        </w:rPr>
        <w:t>日</w:t>
      </w:r>
    </w:p>
    <w:p w14:paraId="7EA2441B">
      <w:pPr>
        <w:spacing w:line="7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（此件公开发布）</w:t>
      </w:r>
    </w:p>
    <w:p w14:paraId="0A110380">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DA126A3">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2E5FCFC8">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8645A7E">
      <w:pPr>
        <w:jc w:val="both"/>
        <w:rPr>
          <w:rFonts w:hint="eastAsia" w:ascii="楷体_GB2312" w:hAnsi="楷体_GB2312" w:eastAsia="楷体_GB2312" w:cs="楷体_GB2312"/>
          <w:color w:val="333333"/>
          <w:sz w:val="32"/>
          <w:szCs w:val="32"/>
          <w:shd w:val="clear" w:color="auto" w:fill="FFFFFF"/>
        </w:rPr>
      </w:pPr>
    </w:p>
    <w:p w14:paraId="47A23A12">
      <w:pPr>
        <w:jc w:val="both"/>
        <w:rPr>
          <w:rFonts w:hint="eastAsia" w:ascii="楷体_GB2312" w:hAnsi="楷体_GB2312" w:eastAsia="楷体_GB2312" w:cs="楷体_GB2312"/>
          <w:color w:val="333333"/>
          <w:sz w:val="32"/>
          <w:szCs w:val="32"/>
          <w:shd w:val="clear" w:color="auto" w:fill="FFFFFF"/>
        </w:rPr>
      </w:pPr>
    </w:p>
    <w:p w14:paraId="30FD1A8D">
      <w:pPr>
        <w:jc w:val="both"/>
        <w:rPr>
          <w:rFonts w:hint="eastAsia" w:ascii="楷体_GB2312" w:hAnsi="楷体_GB2312" w:eastAsia="楷体_GB2312" w:cs="楷体_GB2312"/>
          <w:color w:val="333333"/>
          <w:sz w:val="32"/>
          <w:szCs w:val="32"/>
          <w:shd w:val="clear" w:color="auto" w:fill="FFFFFF"/>
        </w:rPr>
      </w:pPr>
    </w:p>
    <w:p w14:paraId="6F396A30">
      <w:pPr>
        <w:jc w:val="center"/>
        <w:rPr>
          <w:rFonts w:hint="eastAsia" w:ascii="黑体" w:hAnsi="黑体" w:eastAsia="黑体" w:cs="黑体"/>
          <w:color w:val="333333"/>
          <w:sz w:val="32"/>
          <w:szCs w:val="32"/>
          <w:shd w:val="clear" w:color="auto" w:fill="FFFFFF"/>
        </w:rPr>
      </w:pPr>
    </w:p>
    <w:p w14:paraId="744C5867">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14:paraId="00F05B1E">
      <w:pPr>
        <w:ind w:firstLine="640" w:firstLineChars="200"/>
        <w:rPr>
          <w:rFonts w:ascii="仿宋_GB2312" w:hAnsi="仿宋_GB2312" w:eastAsia="仿宋_GB2312" w:cs="仿宋_GB2312"/>
          <w:color w:val="333333"/>
          <w:sz w:val="32"/>
          <w:szCs w:val="32"/>
          <w:shd w:val="clear" w:color="auto" w:fill="FFFFFF"/>
        </w:rPr>
      </w:pPr>
    </w:p>
    <w:p w14:paraId="352FDA28">
      <w:pPr>
        <w:keepNext w:val="0"/>
        <w:keepLines w:val="0"/>
        <w:pageBreakBefore w:val="0"/>
        <w:widowControl/>
        <w:kinsoku/>
        <w:wordWrap/>
        <w:overflowPunct/>
        <w:topLinePunct/>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Style w:val="14"/>
          <w:rFonts w:ascii="Times New Roman" w:hAnsi="Times New Roman" w:eastAsia="黑体"/>
          <w:color w:val="000000"/>
          <w:kern w:val="0"/>
          <w:sz w:val="32"/>
          <w:szCs w:val="32"/>
        </w:rPr>
        <w:t>第一条</w:t>
      </w:r>
      <w:r>
        <w:rPr>
          <w:rStyle w:val="14"/>
          <w:rFonts w:hint="eastAsia" w:ascii="Times New Roman" w:hAnsi="Times New Roman" w:eastAsia="黑体"/>
          <w:color w:val="000000"/>
          <w:kern w:val="0"/>
          <w:sz w:val="32"/>
          <w:szCs w:val="32"/>
        </w:rPr>
        <w:t xml:space="preserve"> </w:t>
      </w:r>
      <w:r>
        <w:rPr>
          <w:rStyle w:val="14"/>
          <w:rFonts w:ascii="Times New Roman" w:hAnsi="Times New Roman" w:eastAsia="黑体"/>
          <w:color w:val="000000"/>
          <w:kern w:val="0"/>
          <w:sz w:val="32"/>
          <w:szCs w:val="32"/>
        </w:rPr>
        <w:t xml:space="preserve"> </w:t>
      </w:r>
      <w:r>
        <w:rPr>
          <w:rFonts w:hint="default" w:ascii="仿宋_GB2312" w:hAnsi="仿宋_GB2312" w:eastAsia="仿宋_GB2312" w:cs="仿宋_GB2312"/>
          <w:color w:val="333333"/>
          <w:sz w:val="32"/>
          <w:szCs w:val="32"/>
          <w:shd w:val="clear" w:color="auto" w:fill="FFFFFF"/>
        </w:rPr>
        <w:t>为推动全国高速公路服务区高质量发展，更好地满足公众出行需求，根据《交通强国建设纲要》《国家综合立体交通网规划纲要》等有关文件要求，制定本办法。</w:t>
      </w:r>
    </w:p>
    <w:p w14:paraId="0D131D7E">
      <w:pPr>
        <w:keepNext w:val="0"/>
        <w:keepLines w:val="0"/>
        <w:pageBreakBefore w:val="0"/>
        <w:widowControl/>
        <w:kinsoku/>
        <w:wordWrap/>
        <w:overflowPunct w:val="0"/>
        <w:topLinePunct/>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本办法适用于全国所有已投入运营满一年的高速公路服务区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停车区</w:t>
      </w:r>
      <w:r>
        <w:rPr>
          <w:rFonts w:hint="default" w:ascii="Times New Roman" w:hAnsi="Times New Roman" w:eastAsia="仿宋_GB2312" w:cs="Times New Roman"/>
          <w:color w:val="auto"/>
          <w:sz w:val="32"/>
          <w:szCs w:val="32"/>
          <w:highlight w:val="none"/>
          <w:lang w:val="en-US" w:eastAsia="zh-CN"/>
        </w:rPr>
        <w:t>，下同</w:t>
      </w:r>
      <w:r>
        <w:rPr>
          <w:rFonts w:hint="default" w:ascii="Times New Roman" w:hAnsi="Times New Roman" w:eastAsia="仿宋_GB2312" w:cs="Times New Roman"/>
          <w:color w:val="auto"/>
          <w:sz w:val="32"/>
          <w:szCs w:val="32"/>
          <w:highlight w:val="none"/>
          <w:lang w:val="en-US"/>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普通国省干线服务站（点）可参照执行。</w:t>
      </w:r>
    </w:p>
    <w:p w14:paraId="692B9E85">
      <w:pPr>
        <w:keepNext w:val="0"/>
        <w:keepLines w:val="0"/>
        <w:pageBreakBefore w:val="0"/>
        <w:widowControl/>
        <w:kinsoku/>
        <w:wordWrap/>
        <w:overflowPunct w:val="0"/>
        <w:topLinePunct/>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第三条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全国高速公路服务区服务质量等级评定工作遵循全面覆盖、合理分级、严格评定、动态管理的原则。</w:t>
      </w:r>
    </w:p>
    <w:p w14:paraId="35D4B5EF">
      <w:pPr>
        <w:keepNext w:val="0"/>
        <w:keepLines w:val="0"/>
        <w:pageBreakBefore w:val="0"/>
        <w:widowControl/>
        <w:kinsoku/>
        <w:wordWrap/>
        <w:overflowPunct w:val="0"/>
        <w:topLinePunct/>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交通运输部公路局负责全国高速公路服务区服务质量等级评定管理工作，制定等级评定实施方案和具体标准。省级交通运输主管部门负责本行政区域内高速公路服务区服务质量等级评定工作的组织与实施。</w:t>
      </w:r>
    </w:p>
    <w:p w14:paraId="097EF320">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default" w:ascii="Times New Roman" w:hAnsi="Times New Roman" w:eastAsia="黑体" w:cs="Times New Roman"/>
          <w:bCs/>
          <w:color w:val="auto"/>
          <w:sz w:val="32"/>
          <w:szCs w:val="32"/>
          <w:u w:val="single"/>
        </w:rPr>
      </w:pPr>
      <w:r>
        <w:rPr>
          <w:rFonts w:hint="default" w:ascii="Times New Roman" w:hAnsi="Times New Roman" w:eastAsia="黑体" w:cs="Times New Roman"/>
          <w:bCs/>
          <w:color w:val="auto"/>
          <w:sz w:val="32"/>
          <w:szCs w:val="32"/>
        </w:rPr>
        <w:t>第二章 评定标准</w:t>
      </w:r>
    </w:p>
    <w:p w14:paraId="44154DDE">
      <w:pPr>
        <w:keepNext w:val="0"/>
        <w:keepLines w:val="0"/>
        <w:pageBreakBefore w:val="0"/>
        <w:kinsoku/>
        <w:wordWrap/>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i w:val="0"/>
          <w:color w:val="auto"/>
          <w:kern w:val="2"/>
          <w:sz w:val="32"/>
          <w:szCs w:val="32"/>
          <w:highlight w:val="none"/>
          <w:u w:val="none"/>
          <w:lang w:val="en-US" w:eastAsia="zh-CN" w:bidi="ar"/>
        </w:rPr>
        <w:t>已投入运营满一年的高速公路服务区应参加服务质量等级评定</w:t>
      </w:r>
      <w:r>
        <w:rPr>
          <w:rFonts w:hint="default" w:ascii="Times New Roman" w:hAnsi="Times New Roman" w:eastAsia="仿宋_GB2312" w:cs="Times New Roman"/>
          <w:color w:val="auto"/>
          <w:sz w:val="32"/>
          <w:szCs w:val="32"/>
          <w:highlight w:val="none"/>
          <w:lang w:eastAsia="zh-CN"/>
        </w:rPr>
        <w:t>，双侧服务区以对为单位、单侧服务区以个为单位参加等级评定。</w:t>
      </w:r>
    </w:p>
    <w:p w14:paraId="266F7469">
      <w:pPr>
        <w:keepNext w:val="0"/>
        <w:keepLines w:val="0"/>
        <w:pageBreakBefore w:val="0"/>
        <w:kinsoku/>
        <w:wordWrap/>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lang w:eastAsia="zh-CN"/>
        </w:rPr>
        <w:t>第六条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全国高速公路服务区服务质量</w:t>
      </w:r>
      <w:r>
        <w:rPr>
          <w:rFonts w:hint="default" w:ascii="Times New Roman" w:hAnsi="Times New Roman" w:eastAsia="仿宋_GB2312" w:cs="Times New Roman"/>
          <w:color w:val="auto"/>
          <w:sz w:val="32"/>
          <w:szCs w:val="32"/>
          <w:u w:val="none"/>
        </w:rPr>
        <w:t>等级划分为五个级别</w:t>
      </w:r>
      <w:r>
        <w:rPr>
          <w:rFonts w:hint="default" w:ascii="Times New Roman" w:hAnsi="Times New Roman" w:eastAsia="仿宋_GB2312" w:cs="Times New Roman"/>
          <w:color w:val="auto"/>
          <w:sz w:val="32"/>
          <w:szCs w:val="32"/>
        </w:rPr>
        <w:t>，即</w:t>
      </w:r>
      <w:r>
        <w:rPr>
          <w:rFonts w:hint="default" w:ascii="Times New Roman" w:hAnsi="Times New Roman" w:eastAsia="仿宋_GB2312" w:cs="Times New Roman"/>
          <w:color w:val="auto"/>
          <w:sz w:val="32"/>
          <w:szCs w:val="32"/>
          <w:lang w:eastAsia="zh-CN"/>
        </w:rPr>
        <w:t>一级、二级、三级、四级</w:t>
      </w:r>
      <w:r>
        <w:rPr>
          <w:rFonts w:hint="default" w:ascii="Times New Roman" w:hAnsi="Times New Roman" w:eastAsia="仿宋_GB2312" w:cs="Times New Roman"/>
          <w:color w:val="auto"/>
          <w:sz w:val="32"/>
          <w:szCs w:val="32"/>
          <w:highlight w:val="none"/>
        </w:rPr>
        <w:t>和不达标。</w:t>
      </w:r>
    </w:p>
    <w:p w14:paraId="46B279B8">
      <w:pPr>
        <w:keepNext w:val="0"/>
        <w:keepLines w:val="0"/>
        <w:pageBreakBefore w:val="0"/>
        <w:kinsoku/>
        <w:wordWrap/>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yellow"/>
          <w:u w:val="single"/>
          <w:lang w:eastAsia="zh-CN"/>
        </w:rPr>
      </w:pPr>
      <w:r>
        <w:rPr>
          <w:rFonts w:hint="default" w:ascii="Times New Roman" w:hAnsi="Times New Roman" w:eastAsia="仿宋_GB2312" w:cs="Times New Roman"/>
          <w:color w:val="auto"/>
          <w:sz w:val="32"/>
          <w:szCs w:val="32"/>
          <w:highlight w:val="none"/>
          <w:u w:val="none"/>
        </w:rPr>
        <w:t>全国高速公路停车区服务质量等级</w:t>
      </w:r>
      <w:r>
        <w:rPr>
          <w:rFonts w:hint="default" w:ascii="Times New Roman" w:hAnsi="Times New Roman" w:eastAsia="仿宋_GB2312" w:cs="Times New Roman"/>
          <w:color w:val="auto"/>
          <w:sz w:val="32"/>
          <w:szCs w:val="32"/>
          <w:highlight w:val="none"/>
          <w:u w:val="none"/>
          <w:lang w:eastAsia="zh-CN"/>
        </w:rPr>
        <w:t>划分为两个级别</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rPr>
        <w:t>即</w:t>
      </w:r>
      <w:r>
        <w:rPr>
          <w:rFonts w:hint="default" w:ascii="Times New Roman" w:hAnsi="Times New Roman" w:eastAsia="仿宋_GB2312" w:cs="Times New Roman"/>
          <w:color w:val="auto"/>
          <w:sz w:val="32"/>
          <w:szCs w:val="32"/>
          <w:highlight w:val="none"/>
          <w:u w:val="none"/>
        </w:rPr>
        <w:t>达标和不达标</w:t>
      </w:r>
      <w:r>
        <w:rPr>
          <w:rFonts w:hint="default" w:ascii="Times New Roman" w:hAnsi="Times New Roman" w:eastAsia="仿宋_GB2312" w:cs="Times New Roman"/>
          <w:color w:val="auto"/>
          <w:sz w:val="32"/>
          <w:szCs w:val="32"/>
          <w:highlight w:val="none"/>
          <w:u w:val="none"/>
          <w:lang w:eastAsia="zh-CN"/>
        </w:rPr>
        <w:t>。</w:t>
      </w:r>
    </w:p>
    <w:p w14:paraId="5C6C8330">
      <w:pPr>
        <w:keepNext w:val="0"/>
        <w:keepLines w:val="0"/>
        <w:pageBreakBefore w:val="0"/>
        <w:widowControl/>
        <w:kinsoku/>
        <w:wordWrap/>
        <w:overflowPunct w:val="0"/>
        <w:topLinePunct/>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服务区服务质量等级评定内容由等级配置类指标和水平评价类指标两部分组成。等级配置类指标包括基础设施、综合服务、运营管理、</w:t>
      </w:r>
      <w:r>
        <w:rPr>
          <w:rFonts w:hint="default" w:ascii="Times New Roman" w:hAnsi="Times New Roman" w:eastAsia="仿宋_GB2312" w:cs="Times New Roman"/>
          <w:color w:val="auto"/>
          <w:sz w:val="32"/>
          <w:szCs w:val="32"/>
          <w:highlight w:val="none"/>
        </w:rPr>
        <w:t>智慧</w:t>
      </w:r>
      <w:r>
        <w:rPr>
          <w:rFonts w:hint="default" w:ascii="Times New Roman" w:hAnsi="Times New Roman" w:eastAsia="仿宋_GB2312" w:cs="Times New Roman"/>
          <w:color w:val="auto"/>
          <w:sz w:val="32"/>
          <w:szCs w:val="32"/>
          <w:highlight w:val="none"/>
          <w:lang w:eastAsia="zh-CN"/>
        </w:rPr>
        <w:t>低碳</w:t>
      </w:r>
      <w:r>
        <w:rPr>
          <w:rFonts w:hint="default" w:ascii="Times New Roman" w:hAnsi="Times New Roman" w:eastAsia="仿宋_GB2312" w:cs="Times New Roman"/>
          <w:color w:val="auto"/>
          <w:sz w:val="32"/>
          <w:szCs w:val="32"/>
          <w:highlight w:val="none"/>
        </w:rPr>
        <w:t>、安全</w:t>
      </w:r>
      <w:r>
        <w:rPr>
          <w:rFonts w:hint="default"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rPr>
        <w:t>。水平评价类指标包括公共卫生间、公共场区、餐饮服务、零售服务、汽车服务、人性化服务、信息化建设、绿色低碳、基础管理、社会影响等。</w:t>
      </w:r>
    </w:p>
    <w:p w14:paraId="23B5BF03">
      <w:pPr>
        <w:keepNext w:val="0"/>
        <w:keepLines w:val="0"/>
        <w:pageBreakBefore w:val="0"/>
        <w:widowControl/>
        <w:kinsoku/>
        <w:wordWrap/>
        <w:overflowPunct w:val="0"/>
        <w:topLinePunct/>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停车区服务质量等级评定主要以水平评价类指标为主，包括公共卫生间、公共场区、便利服务、规范管理等。</w:t>
      </w:r>
    </w:p>
    <w:p w14:paraId="172DB7C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等级配置类指标为必备项，服务区水平评价类指标满分为100分。在满足等级配置类指标的基础上，水平评价类指标考核得分90分（含）以上的，评定为</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级服务区；考核得分80（含）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90分的，评定为</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级服务区；考核得分70（含）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80分的，评定为三级服务区；</w:t>
      </w:r>
      <w:r>
        <w:rPr>
          <w:rFonts w:hint="default" w:ascii="Times New Roman" w:hAnsi="Times New Roman" w:eastAsia="仿宋_GB2312" w:cs="Times New Roman"/>
          <w:color w:val="auto"/>
          <w:sz w:val="32"/>
          <w:szCs w:val="32"/>
          <w:highlight w:val="none"/>
        </w:rPr>
        <w:t>得分60（含）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70分的，评定为</w:t>
      </w:r>
      <w:r>
        <w:rPr>
          <w:rFonts w:hint="default" w:ascii="Times New Roman" w:hAnsi="Times New Roman" w:eastAsia="仿宋_GB2312" w:cs="Times New Roman"/>
          <w:color w:val="auto"/>
          <w:sz w:val="32"/>
          <w:szCs w:val="32"/>
          <w:highlight w:val="none"/>
          <w:lang w:eastAsia="zh-CN"/>
        </w:rPr>
        <w:t>四级</w:t>
      </w:r>
      <w:r>
        <w:rPr>
          <w:rFonts w:hint="default" w:ascii="Times New Roman" w:hAnsi="Times New Roman" w:eastAsia="仿宋_GB2312" w:cs="Times New Roman"/>
          <w:color w:val="auto"/>
          <w:sz w:val="32"/>
          <w:szCs w:val="32"/>
          <w:highlight w:val="none"/>
        </w:rPr>
        <w:t>服务区；</w:t>
      </w:r>
      <w:r>
        <w:rPr>
          <w:rFonts w:hint="default" w:ascii="Times New Roman" w:hAnsi="Times New Roman" w:eastAsia="仿宋_GB2312" w:cs="Times New Roman"/>
          <w:color w:val="auto"/>
          <w:sz w:val="32"/>
          <w:szCs w:val="32"/>
          <w:highlight w:val="none"/>
          <w:lang w:eastAsia="zh-CN"/>
        </w:rPr>
        <w:t>得分</w:t>
      </w:r>
      <w:r>
        <w:rPr>
          <w:rFonts w:hint="default" w:ascii="Times New Roman" w:hAnsi="Times New Roman" w:eastAsia="仿宋_GB2312" w:cs="Times New Roman"/>
          <w:color w:val="auto"/>
          <w:sz w:val="32"/>
          <w:szCs w:val="32"/>
          <w:highlight w:val="none"/>
        </w:rPr>
        <w:t>60分以下</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rPr>
        <w:t>等级配置类指标</w:t>
      </w:r>
      <w:r>
        <w:rPr>
          <w:rFonts w:hint="default" w:ascii="Times New Roman" w:hAnsi="Times New Roman" w:eastAsia="仿宋_GB2312" w:cs="Times New Roman"/>
          <w:color w:val="auto"/>
          <w:sz w:val="32"/>
          <w:szCs w:val="32"/>
          <w:lang w:eastAsia="zh-CN"/>
        </w:rPr>
        <w:t>不达标</w:t>
      </w:r>
      <w:r>
        <w:rPr>
          <w:rFonts w:hint="default" w:ascii="Times New Roman" w:hAnsi="Times New Roman" w:eastAsia="仿宋_GB2312" w:cs="Times New Roman"/>
          <w:color w:val="auto"/>
          <w:sz w:val="32"/>
          <w:szCs w:val="32"/>
          <w:highlight w:val="none"/>
        </w:rPr>
        <w:t>的评定为不达标服务区。</w:t>
      </w:r>
    </w:p>
    <w:p w14:paraId="706B56C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停车区水平评价类指标满分为</w:t>
      </w:r>
      <w:r>
        <w:rPr>
          <w:rFonts w:hint="default" w:ascii="Times New Roman" w:hAnsi="Times New Roman" w:eastAsia="仿宋_GB2312" w:cs="Times New Roman"/>
          <w:color w:val="auto"/>
          <w:sz w:val="32"/>
          <w:szCs w:val="32"/>
          <w:highlight w:val="none"/>
          <w:lang w:val="en-US"/>
        </w:rPr>
        <w:t>100</w:t>
      </w:r>
      <w:r>
        <w:rPr>
          <w:rFonts w:hint="default" w:ascii="Times New Roman" w:hAnsi="Times New Roman" w:eastAsia="仿宋_GB2312" w:cs="Times New Roman"/>
          <w:color w:val="auto"/>
          <w:sz w:val="32"/>
          <w:szCs w:val="32"/>
          <w:highlight w:val="none"/>
        </w:rPr>
        <w:t>分。考核得分</w:t>
      </w:r>
      <w:r>
        <w:rPr>
          <w:rFonts w:hint="default" w:ascii="Times New Roman" w:hAnsi="Times New Roman" w:cs="Times New Roman"/>
          <w:color w:val="auto"/>
          <w:sz w:val="32"/>
          <w:szCs w:val="32"/>
          <w:highlight w:val="none"/>
          <w:lang w:val="en-US"/>
        </w:rPr>
        <w:t>60</w:t>
      </w:r>
      <w:r>
        <w:rPr>
          <w:rFonts w:hint="default" w:ascii="Times New Roman" w:hAnsi="Times New Roman" w:eastAsia="仿宋_GB2312" w:cs="Times New Roman"/>
          <w:color w:val="auto"/>
          <w:sz w:val="32"/>
          <w:szCs w:val="32"/>
          <w:highlight w:val="none"/>
        </w:rPr>
        <w:t>分（含）以上的，评定为达标停车区；考核得分小于</w:t>
      </w:r>
      <w:r>
        <w:rPr>
          <w:rFonts w:hint="default" w:ascii="Times New Roman" w:hAnsi="Times New Roman" w:cs="Times New Roman"/>
          <w:color w:val="auto"/>
          <w:sz w:val="32"/>
          <w:szCs w:val="32"/>
          <w:highlight w:val="none"/>
          <w:lang w:val="en-US"/>
        </w:rPr>
        <w:t>60</w:t>
      </w:r>
      <w:r>
        <w:rPr>
          <w:rFonts w:hint="default" w:ascii="Times New Roman" w:hAnsi="Times New Roman" w:eastAsia="仿宋_GB2312" w:cs="Times New Roman"/>
          <w:color w:val="auto"/>
          <w:sz w:val="32"/>
          <w:szCs w:val="32"/>
          <w:highlight w:val="none"/>
        </w:rPr>
        <w:t>分的，评定为不达标停车区。</w:t>
      </w:r>
    </w:p>
    <w:p w14:paraId="3BCAA241">
      <w:pPr>
        <w:keepNext w:val="0"/>
        <w:keepLines w:val="0"/>
        <w:pageBreakBefore w:val="0"/>
        <w:widowControl/>
        <w:kinsoku/>
        <w:wordWrap/>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 xml:space="preserve">条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等级</w:t>
      </w:r>
      <w:r>
        <w:rPr>
          <w:rFonts w:hint="default" w:ascii="Times New Roman" w:hAnsi="Times New Roman" w:eastAsia="仿宋_GB2312" w:cs="Times New Roman"/>
          <w:color w:val="auto"/>
          <w:sz w:val="32"/>
          <w:szCs w:val="32"/>
        </w:rPr>
        <w:t>评定</w:t>
      </w:r>
      <w:r>
        <w:rPr>
          <w:rFonts w:hint="default" w:ascii="Times New Roman" w:hAnsi="Times New Roman" w:eastAsia="仿宋_GB2312" w:cs="Times New Roman"/>
          <w:color w:val="auto"/>
          <w:sz w:val="32"/>
          <w:szCs w:val="32"/>
          <w:lang w:eastAsia="zh-CN"/>
        </w:rPr>
        <w:t>当年和</w:t>
      </w:r>
      <w:r>
        <w:rPr>
          <w:rFonts w:hint="default" w:ascii="Times New Roman" w:hAnsi="Times New Roman" w:eastAsia="仿宋_GB2312" w:cs="Times New Roman"/>
          <w:color w:val="auto"/>
          <w:sz w:val="32"/>
          <w:szCs w:val="32"/>
        </w:rPr>
        <w:t>前</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年，发生一般安全</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事故的，不能评定为</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级服务区；发生较大安全</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事故的，不能评定为</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级及以上服务区；发生重大安全</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事故或出现</w:t>
      </w:r>
      <w:r>
        <w:rPr>
          <w:rFonts w:hint="default" w:ascii="Times New Roman" w:hAnsi="Times New Roman" w:eastAsia="仿宋_GB2312" w:cs="Times New Roman"/>
          <w:color w:val="auto"/>
          <w:sz w:val="32"/>
          <w:szCs w:val="32"/>
          <w:lang w:val="en-US" w:eastAsia="zh-CN"/>
        </w:rPr>
        <w:t>全国范围内重大负面</w:t>
      </w:r>
      <w:r>
        <w:rPr>
          <w:rFonts w:hint="default" w:ascii="Times New Roman" w:hAnsi="Times New Roman" w:eastAsia="仿宋_GB2312" w:cs="Times New Roman"/>
          <w:color w:val="auto"/>
          <w:sz w:val="32"/>
          <w:szCs w:val="32"/>
        </w:rPr>
        <w:t>舆情</w:t>
      </w:r>
      <w:r>
        <w:rPr>
          <w:rFonts w:hint="default" w:ascii="Times New Roman" w:hAnsi="Times New Roman" w:eastAsia="仿宋_GB2312" w:cs="Times New Roman"/>
          <w:color w:val="auto"/>
          <w:sz w:val="32"/>
          <w:szCs w:val="32"/>
          <w:lang w:eastAsia="zh-CN"/>
        </w:rPr>
        <w:t>事件</w:t>
      </w:r>
      <w:r>
        <w:rPr>
          <w:rFonts w:hint="default" w:ascii="Times New Roman" w:hAnsi="Times New Roman" w:eastAsia="仿宋_GB2312" w:cs="Times New Roman"/>
          <w:color w:val="auto"/>
          <w:sz w:val="32"/>
          <w:szCs w:val="32"/>
        </w:rPr>
        <w:t>的，不能评定为三级及以上服务区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发生特</w:t>
      </w:r>
      <w:r>
        <w:rPr>
          <w:rFonts w:hint="eastAsia" w:ascii="Times New Roman" w:hAnsi="Times New Roman" w:eastAsia="仿宋_GB2312" w:cs="Times New Roman"/>
          <w:color w:val="auto"/>
          <w:sz w:val="32"/>
          <w:szCs w:val="32"/>
          <w:lang w:eastAsia="zh-CN"/>
        </w:rPr>
        <w:t>别重</w:t>
      </w:r>
      <w:r>
        <w:rPr>
          <w:rFonts w:hint="default" w:ascii="Times New Roman" w:hAnsi="Times New Roman" w:eastAsia="仿宋_GB2312" w:cs="Times New Roman"/>
          <w:color w:val="auto"/>
          <w:sz w:val="32"/>
          <w:szCs w:val="32"/>
        </w:rPr>
        <w:t>大安全</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事故的，评定为</w:t>
      </w:r>
      <w:r>
        <w:rPr>
          <w:rFonts w:hint="default" w:ascii="Times New Roman" w:hAnsi="Times New Roman" w:eastAsia="仿宋_GB2312" w:cs="Times New Roman"/>
          <w:color w:val="auto"/>
          <w:sz w:val="32"/>
          <w:szCs w:val="32"/>
          <w:lang w:eastAsia="zh-CN"/>
        </w:rPr>
        <w:t>不达标</w:t>
      </w:r>
      <w:r>
        <w:rPr>
          <w:rFonts w:hint="default" w:ascii="Times New Roman" w:hAnsi="Times New Roman" w:eastAsia="仿宋_GB2312" w:cs="Times New Roman"/>
          <w:color w:val="auto"/>
          <w:sz w:val="32"/>
          <w:szCs w:val="32"/>
        </w:rPr>
        <w:t>服务区</w:t>
      </w:r>
      <w:r>
        <w:rPr>
          <w:rFonts w:hint="default" w:ascii="Times New Roman" w:hAnsi="Times New Roman" w:eastAsia="仿宋_GB2312" w:cs="Times New Roman"/>
          <w:color w:val="auto"/>
          <w:sz w:val="32"/>
          <w:szCs w:val="32"/>
          <w:lang w:eastAsia="zh-CN"/>
        </w:rPr>
        <w:t>（停车区）</w:t>
      </w:r>
      <w:r>
        <w:rPr>
          <w:rFonts w:hint="default" w:ascii="Times New Roman" w:hAnsi="Times New Roman" w:eastAsia="仿宋_GB2312" w:cs="Times New Roman"/>
          <w:color w:val="auto"/>
          <w:sz w:val="32"/>
          <w:szCs w:val="32"/>
        </w:rPr>
        <w:t>。</w:t>
      </w:r>
    </w:p>
    <w:p w14:paraId="739BCC1A">
      <w:pPr>
        <w:pStyle w:val="9"/>
        <w:keepNext w:val="0"/>
        <w:keepLines w:val="0"/>
        <w:pageBreakBefore w:val="0"/>
        <w:kinsoku/>
        <w:wordWrap/>
        <w:autoSpaceDN/>
        <w:bidi w:val="0"/>
        <w:adjustRightInd/>
        <w:snapToGrid/>
        <w:spacing w:before="0" w:beforeAutospacing="0" w:after="0" w:afterAutospacing="0" w:line="560" w:lineRule="exact"/>
        <w:ind w:left="0" w:leftChars="0" w:firstLine="640"/>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 xml:space="preserve">条 </w:t>
      </w:r>
      <w:r>
        <w:rPr>
          <w:rFonts w:hint="eastAsia"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等级配置类指标和水平评价类指标由交通运输部公路局另行</w:t>
      </w:r>
      <w:r>
        <w:rPr>
          <w:rFonts w:hint="default" w:ascii="Times New Roman" w:hAnsi="Times New Roman" w:eastAsia="仿宋_GB2312" w:cs="Times New Roman"/>
          <w:color w:val="auto"/>
          <w:sz w:val="32"/>
          <w:szCs w:val="32"/>
          <w:lang w:eastAsia="zh-CN"/>
        </w:rPr>
        <w:t>发布。</w:t>
      </w:r>
    </w:p>
    <w:p w14:paraId="49037F7F">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Cs/>
          <w:color w:val="auto"/>
          <w:sz w:val="32"/>
          <w:szCs w:val="32"/>
        </w:rPr>
        <w:t>第三章 评定程序</w:t>
      </w:r>
    </w:p>
    <w:p w14:paraId="0C4021AD">
      <w:pPr>
        <w:pStyle w:val="9"/>
        <w:keepNext w:val="0"/>
        <w:keepLines w:val="0"/>
        <w:pageBreakBefore w:val="0"/>
        <w:kinsoku/>
        <w:wordWrap/>
        <w:autoSpaceDN/>
        <w:bidi w:val="0"/>
        <w:adjustRightInd/>
        <w:snapToGrid/>
        <w:spacing w:before="0" w:beforeAutospacing="0" w:after="0" w:afterAutospacing="0" w:line="560" w:lineRule="exact"/>
        <w:ind w:left="0" w:leftChars="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评定程序按照</w:t>
      </w:r>
      <w:r>
        <w:rPr>
          <w:rFonts w:hint="default" w:ascii="Times New Roman" w:hAnsi="Times New Roman" w:eastAsia="仿宋_GB2312" w:cs="Times New Roman"/>
          <w:color w:val="auto"/>
          <w:sz w:val="32"/>
          <w:szCs w:val="32"/>
          <w:lang w:eastAsia="zh-CN"/>
        </w:rPr>
        <w:t>省级</w:t>
      </w:r>
      <w:r>
        <w:rPr>
          <w:rFonts w:hint="default" w:ascii="Times New Roman" w:hAnsi="Times New Roman" w:eastAsia="仿宋_GB2312" w:cs="Times New Roman"/>
          <w:color w:val="auto"/>
          <w:sz w:val="32"/>
          <w:szCs w:val="32"/>
        </w:rPr>
        <w:t>初评、省级核评、部级复核、公示确定等程序开展。</w:t>
      </w:r>
    </w:p>
    <w:p w14:paraId="26C1AD0F">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lang w:eastAsia="zh-CN"/>
        </w:rPr>
        <w:t>评定工作主要依托公路服务区信息统计报送网站汇聚的数据，基于服务区日常运营管理服务工作情况开展，尽量减少评定工作量。</w:t>
      </w:r>
    </w:p>
    <w:p w14:paraId="199FF9EE">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省级交通运输主管部门</w:t>
      </w:r>
      <w:r>
        <w:rPr>
          <w:rFonts w:hint="default" w:ascii="Times New Roman" w:hAnsi="Times New Roman" w:eastAsia="仿宋_GB2312" w:cs="Times New Roman"/>
          <w:color w:val="auto"/>
          <w:sz w:val="32"/>
          <w:szCs w:val="32"/>
          <w:lang w:eastAsia="zh-CN"/>
        </w:rPr>
        <w:t>确定的初评部门，根据服务区统计数据和</w:t>
      </w:r>
      <w:r>
        <w:rPr>
          <w:rFonts w:hint="default" w:ascii="Times New Roman" w:hAnsi="Times New Roman" w:eastAsia="仿宋_GB2312" w:cs="Times New Roman"/>
          <w:color w:val="auto"/>
          <w:sz w:val="32"/>
          <w:szCs w:val="32"/>
        </w:rPr>
        <w:t>高速公路运营管理单位</w:t>
      </w:r>
      <w:r>
        <w:rPr>
          <w:rFonts w:hint="default" w:ascii="Times New Roman" w:hAnsi="Times New Roman" w:eastAsia="仿宋_GB2312" w:cs="Times New Roman"/>
          <w:color w:val="auto"/>
          <w:sz w:val="32"/>
          <w:szCs w:val="32"/>
          <w:lang w:eastAsia="zh-CN"/>
        </w:rPr>
        <w:t>日常工作开展情况，提出初评意见，联合</w:t>
      </w:r>
      <w:r>
        <w:rPr>
          <w:rFonts w:hint="default" w:ascii="Times New Roman" w:hAnsi="Times New Roman" w:eastAsia="仿宋_GB2312" w:cs="Times New Roman"/>
          <w:color w:val="auto"/>
          <w:sz w:val="32"/>
          <w:szCs w:val="32"/>
        </w:rPr>
        <w:t>高速公路运营管理单位确定服务区初评结果，并报省级交通运输</w:t>
      </w:r>
      <w:bookmarkStart w:id="0" w:name="hmcheck_93a088b2ba5c4fa7bfd10ff9fd8817e8"/>
      <w:r>
        <w:rPr>
          <w:rFonts w:hint="default" w:ascii="Times New Roman" w:hAnsi="Times New Roman" w:eastAsia="仿宋_GB2312" w:cs="Times New Roman"/>
          <w:color w:val="auto"/>
          <w:sz w:val="32"/>
          <w:szCs w:val="32"/>
          <w:shd w:val="clear" w:color="auto" w:fill="FFFFFF"/>
        </w:rPr>
        <w:t>主管部门核</w:t>
      </w:r>
      <w:bookmarkEnd w:id="0"/>
      <w:r>
        <w:rPr>
          <w:rFonts w:hint="default" w:ascii="Times New Roman" w:hAnsi="Times New Roman" w:eastAsia="仿宋_GB2312" w:cs="Times New Roman"/>
          <w:color w:val="auto"/>
          <w:sz w:val="32"/>
          <w:szCs w:val="32"/>
        </w:rPr>
        <w:t>评。</w:t>
      </w:r>
    </w:p>
    <w:p w14:paraId="0F0B2FF0">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eastAsia"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省级交通运输主管部门对初评结果开展核查评定，确定服务区核评结果，</w:t>
      </w:r>
      <w:r>
        <w:rPr>
          <w:rFonts w:hint="default" w:ascii="Times New Roman" w:hAnsi="Times New Roman" w:eastAsia="仿宋_GB2312" w:cs="Times New Roman"/>
          <w:color w:val="auto"/>
          <w:sz w:val="32"/>
          <w:szCs w:val="32"/>
          <w:highlight w:val="none"/>
        </w:rPr>
        <w:t>并</w:t>
      </w:r>
      <w:r>
        <w:rPr>
          <w:rFonts w:hint="default" w:ascii="Times New Roman" w:hAnsi="Times New Roman" w:eastAsia="仿宋_GB2312" w:cs="Times New Roman"/>
          <w:color w:val="auto"/>
          <w:sz w:val="32"/>
          <w:szCs w:val="32"/>
          <w:highlight w:val="none"/>
          <w:lang w:eastAsia="zh-CN"/>
        </w:rPr>
        <w:t>将三级及以上服务区在省级交通运输主管部门政务网站公示</w:t>
      </w:r>
      <w:r>
        <w:rPr>
          <w:rFonts w:hint="default" w:ascii="Times New Roman" w:hAnsi="Times New Roman" w:eastAsia="仿宋_GB2312" w:cs="Times New Roman"/>
          <w:color w:val="auto"/>
          <w:sz w:val="32"/>
          <w:szCs w:val="32"/>
          <w:highlight w:val="none"/>
          <w:lang w:val="en-US" w:eastAsia="zh-CN"/>
        </w:rPr>
        <w:t>5个工作日。</w:t>
      </w:r>
      <w:r>
        <w:rPr>
          <w:rFonts w:hint="default" w:ascii="Times New Roman" w:hAnsi="Times New Roman" w:eastAsia="仿宋_GB2312" w:cs="Times New Roman"/>
          <w:color w:val="auto"/>
          <w:sz w:val="32"/>
          <w:szCs w:val="32"/>
          <w:highlight w:val="none"/>
        </w:rPr>
        <w:t>公示</w:t>
      </w:r>
      <w:r>
        <w:rPr>
          <w:rFonts w:hint="default" w:ascii="Times New Roman" w:hAnsi="Times New Roman" w:eastAsia="仿宋_GB2312" w:cs="Times New Roman"/>
          <w:color w:val="auto"/>
          <w:sz w:val="32"/>
          <w:szCs w:val="32"/>
          <w:highlight w:val="none"/>
          <w:lang w:eastAsia="zh-CN"/>
        </w:rPr>
        <w:t>通过后，将核评结果报部</w:t>
      </w:r>
      <w:r>
        <w:rPr>
          <w:rFonts w:hint="default" w:ascii="Times New Roman" w:hAnsi="Times New Roman" w:eastAsia="仿宋_GB2312" w:cs="Times New Roman"/>
          <w:color w:val="auto"/>
          <w:sz w:val="32"/>
          <w:szCs w:val="32"/>
          <w:highlight w:val="none"/>
        </w:rPr>
        <w:t>复核。</w:t>
      </w:r>
    </w:p>
    <w:p w14:paraId="228B8409">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条</w:t>
      </w: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交通运输部公路局组织对各省级交通运输主管部门上报的</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级服务区进行</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抽查复核，并确定</w:t>
      </w:r>
      <w:r>
        <w:rPr>
          <w:rFonts w:hint="default" w:ascii="Times New Roman" w:hAnsi="Times New Roman" w:eastAsia="仿宋_GB2312" w:cs="Times New Roman"/>
          <w:color w:val="auto"/>
          <w:sz w:val="32"/>
          <w:szCs w:val="32"/>
          <w:highlight w:val="none"/>
          <w:lang w:eastAsia="zh-CN"/>
        </w:rPr>
        <w:t>最终评定结果</w:t>
      </w:r>
      <w:r>
        <w:rPr>
          <w:rFonts w:hint="default" w:ascii="Times New Roman" w:hAnsi="Times New Roman" w:eastAsia="仿宋_GB2312" w:cs="Times New Roman"/>
          <w:color w:val="auto"/>
          <w:sz w:val="32"/>
          <w:szCs w:val="32"/>
          <w:highlight w:val="none"/>
        </w:rPr>
        <w:t>。</w:t>
      </w:r>
    </w:p>
    <w:p w14:paraId="0FD8BEA7">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条</w:t>
      </w: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全国高速公路服务区服务质量等级评定</w:t>
      </w:r>
      <w:r>
        <w:rPr>
          <w:rFonts w:hint="default" w:ascii="Times New Roman" w:hAnsi="Times New Roman" w:eastAsia="仿宋_GB2312" w:cs="Times New Roman"/>
          <w:color w:val="auto"/>
          <w:sz w:val="32"/>
          <w:szCs w:val="32"/>
          <w:highlight w:val="none"/>
          <w:lang w:eastAsia="zh-CN"/>
        </w:rPr>
        <w:t>一级</w:t>
      </w:r>
      <w:r>
        <w:rPr>
          <w:rFonts w:hint="default" w:ascii="Times New Roman" w:hAnsi="Times New Roman" w:eastAsia="仿宋_GB2312" w:cs="Times New Roman"/>
          <w:color w:val="auto"/>
          <w:sz w:val="32"/>
          <w:szCs w:val="32"/>
          <w:highlight w:val="none"/>
        </w:rPr>
        <w:t>服务区名单在</w:t>
      </w:r>
      <w:r>
        <w:rPr>
          <w:rFonts w:hint="default"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部政务网站公示5个工作日，公示无异议或</w:t>
      </w:r>
      <w:r>
        <w:rPr>
          <w:rFonts w:hint="default" w:ascii="Times New Roman" w:hAnsi="Times New Roman" w:eastAsia="仿宋_GB2312" w:cs="Times New Roman"/>
          <w:color w:val="auto"/>
          <w:sz w:val="32"/>
          <w:szCs w:val="32"/>
          <w:highlight w:val="none"/>
          <w:lang w:eastAsia="zh-CN"/>
        </w:rPr>
        <w:t>经核查异议不成立</w:t>
      </w:r>
      <w:r>
        <w:rPr>
          <w:rFonts w:hint="default" w:ascii="Times New Roman" w:hAnsi="Times New Roman" w:eastAsia="仿宋_GB2312" w:cs="Times New Roman"/>
          <w:color w:val="auto"/>
          <w:sz w:val="32"/>
          <w:szCs w:val="32"/>
          <w:highlight w:val="none"/>
        </w:rPr>
        <w:t>的，由</w:t>
      </w:r>
      <w:r>
        <w:rPr>
          <w:rFonts w:hint="default"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部发文公布</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级及以下服务区名单由省级交通运输主管部门发文</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4568BC95">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省级交通运输主管部门根据全国高速公路</w:t>
      </w:r>
      <w:r>
        <w:rPr>
          <w:rFonts w:hint="default" w:ascii="Times New Roman" w:hAnsi="Times New Roman" w:eastAsia="仿宋_GB2312" w:cs="Times New Roman"/>
          <w:color w:val="auto"/>
          <w:sz w:val="32"/>
          <w:szCs w:val="32"/>
          <w:highlight w:val="none"/>
        </w:rPr>
        <w:t>服务区服务质量等级评定结果，按照部</w:t>
      </w:r>
      <w:r>
        <w:rPr>
          <w:rFonts w:hint="default" w:ascii="Times New Roman" w:hAnsi="Times New Roman" w:eastAsia="仿宋_GB2312" w:cs="Times New Roman"/>
          <w:color w:val="auto"/>
          <w:sz w:val="32"/>
          <w:szCs w:val="32"/>
          <w:highlight w:val="none"/>
          <w:lang w:eastAsia="zh-CN"/>
        </w:rPr>
        <w:t>制定的</w:t>
      </w:r>
      <w:r>
        <w:rPr>
          <w:rFonts w:hint="default" w:ascii="Times New Roman" w:hAnsi="Times New Roman" w:eastAsia="仿宋_GB2312" w:cs="Times New Roman"/>
          <w:color w:val="auto"/>
          <w:sz w:val="32"/>
          <w:szCs w:val="32"/>
          <w:highlight w:val="none"/>
        </w:rPr>
        <w:t>统一样</w:t>
      </w:r>
      <w:bookmarkStart w:id="1" w:name="_GoBack"/>
      <w:bookmarkEnd w:id="1"/>
      <w:r>
        <w:rPr>
          <w:rFonts w:hint="default" w:ascii="Times New Roman" w:hAnsi="Times New Roman" w:eastAsia="仿宋_GB2312" w:cs="Times New Roman"/>
          <w:color w:val="auto"/>
          <w:sz w:val="32"/>
          <w:szCs w:val="32"/>
          <w:highlight w:val="none"/>
        </w:rPr>
        <w:t>式标准，组织将三级及以上服务区予以标识。</w:t>
      </w:r>
    </w:p>
    <w:p w14:paraId="29EC6711">
      <w:pPr>
        <w:pStyle w:val="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第四章 </w:t>
      </w:r>
      <w:r>
        <w:rPr>
          <w:rFonts w:hint="default" w:ascii="Times New Roman" w:hAnsi="Times New Roman" w:eastAsia="黑体" w:cs="Times New Roman"/>
          <w:color w:val="auto"/>
          <w:sz w:val="32"/>
          <w:szCs w:val="32"/>
          <w:highlight w:val="none"/>
          <w:lang w:eastAsia="zh-CN"/>
        </w:rPr>
        <w:t>动态</w:t>
      </w:r>
      <w:r>
        <w:rPr>
          <w:rFonts w:hint="default" w:ascii="Times New Roman" w:hAnsi="Times New Roman" w:eastAsia="黑体" w:cs="Times New Roman"/>
          <w:color w:val="auto"/>
          <w:sz w:val="32"/>
          <w:szCs w:val="32"/>
          <w:highlight w:val="none"/>
        </w:rPr>
        <w:t>管理</w:t>
      </w:r>
    </w:p>
    <w:p w14:paraId="2AB0BC09">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highlight w:val="none"/>
        </w:rPr>
        <w:t>交通运输部公路局对服务区</w:t>
      </w:r>
      <w:r>
        <w:rPr>
          <w:rFonts w:hint="default" w:ascii="Times New Roman" w:hAnsi="Times New Roman" w:eastAsia="仿宋_GB2312" w:cs="Times New Roman"/>
          <w:color w:val="auto"/>
          <w:sz w:val="32"/>
          <w:szCs w:val="32"/>
          <w:highlight w:val="none"/>
          <w:lang w:eastAsia="zh-CN"/>
        </w:rPr>
        <w:t>服务质量等级</w:t>
      </w:r>
      <w:r>
        <w:rPr>
          <w:rFonts w:hint="default" w:ascii="Times New Roman" w:hAnsi="Times New Roman" w:eastAsia="仿宋_GB2312" w:cs="Times New Roman"/>
          <w:color w:val="auto"/>
          <w:sz w:val="32"/>
          <w:szCs w:val="32"/>
          <w:highlight w:val="none"/>
        </w:rPr>
        <w:t>实行动态管理，</w:t>
      </w:r>
      <w:r>
        <w:rPr>
          <w:rFonts w:hint="default" w:ascii="Times New Roman" w:hAnsi="Times New Roman" w:eastAsia="仿宋_GB2312" w:cs="Times New Roman"/>
          <w:color w:val="auto"/>
          <w:sz w:val="32"/>
          <w:szCs w:val="32"/>
          <w:highlight w:val="none"/>
          <w:lang w:eastAsia="zh-CN"/>
        </w:rPr>
        <w:t>评定工作</w:t>
      </w:r>
      <w:r>
        <w:rPr>
          <w:rFonts w:hint="default" w:ascii="Times New Roman" w:hAnsi="Times New Roman" w:eastAsia="仿宋_GB2312" w:cs="Times New Roman"/>
          <w:color w:val="auto"/>
          <w:sz w:val="32"/>
          <w:szCs w:val="32"/>
          <w:highlight w:val="none"/>
        </w:rPr>
        <w:t>原则上</w:t>
      </w:r>
      <w:r>
        <w:rPr>
          <w:rFonts w:hint="default" w:ascii="Times New Roman" w:hAnsi="Times New Roman" w:eastAsia="仿宋_GB2312" w:cs="Times New Roman"/>
          <w:color w:val="auto"/>
          <w:sz w:val="32"/>
          <w:szCs w:val="32"/>
          <w:highlight w:val="none"/>
          <w:lang w:eastAsia="zh-CN"/>
        </w:rPr>
        <w:t>每</w:t>
      </w:r>
      <w:r>
        <w:rPr>
          <w:rFonts w:hint="default" w:ascii="Times New Roman" w:hAnsi="Times New Roman" w:eastAsia="仿宋_GB2312" w:cs="Times New Roman"/>
          <w:color w:val="auto"/>
          <w:sz w:val="32"/>
          <w:szCs w:val="32"/>
          <w:highlight w:val="none"/>
        </w:rPr>
        <w:t>两年</w:t>
      </w:r>
      <w:r>
        <w:rPr>
          <w:rFonts w:hint="default" w:ascii="Times New Roman" w:hAnsi="Times New Roman" w:eastAsia="仿宋_GB2312" w:cs="Times New Roman"/>
          <w:color w:val="auto"/>
          <w:sz w:val="32"/>
          <w:szCs w:val="32"/>
          <w:highlight w:val="none"/>
          <w:lang w:eastAsia="zh-CN"/>
        </w:rPr>
        <w:t>开展一次，不收取评定费用</w:t>
      </w:r>
      <w:r>
        <w:rPr>
          <w:rFonts w:hint="default" w:ascii="Times New Roman" w:hAnsi="Times New Roman" w:eastAsia="仿宋_GB2312" w:cs="Times New Roman"/>
          <w:color w:val="auto"/>
          <w:sz w:val="32"/>
          <w:szCs w:val="32"/>
          <w:highlight w:val="none"/>
        </w:rPr>
        <w:t>。</w:t>
      </w:r>
    </w:p>
    <w:p w14:paraId="16E94462">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highlight w:val="none"/>
          <w:lang w:eastAsia="zh-CN"/>
        </w:rPr>
        <w:t>高速公路运营管理单位</w:t>
      </w:r>
      <w:r>
        <w:rPr>
          <w:rFonts w:hint="default" w:ascii="Times New Roman" w:hAnsi="Times New Roman" w:eastAsia="仿宋_GB2312" w:cs="Times New Roman"/>
          <w:color w:val="auto"/>
          <w:sz w:val="32"/>
          <w:szCs w:val="32"/>
          <w:highlight w:val="none"/>
        </w:rPr>
        <w:t>要对照</w:t>
      </w:r>
      <w:r>
        <w:rPr>
          <w:rFonts w:hint="default" w:ascii="Times New Roman" w:hAnsi="Times New Roman" w:eastAsia="仿宋_GB2312" w:cs="Times New Roman"/>
          <w:color w:val="auto"/>
          <w:sz w:val="32"/>
          <w:szCs w:val="32"/>
          <w:highlight w:val="none"/>
          <w:lang w:eastAsia="zh-CN"/>
        </w:rPr>
        <w:t>服务质量</w:t>
      </w:r>
      <w:r>
        <w:rPr>
          <w:rFonts w:hint="default" w:ascii="Times New Roman" w:hAnsi="Times New Roman" w:eastAsia="仿宋_GB2312" w:cs="Times New Roman"/>
          <w:color w:val="auto"/>
          <w:sz w:val="32"/>
          <w:szCs w:val="32"/>
          <w:highlight w:val="none"/>
        </w:rPr>
        <w:t>等级评定标准</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已评级</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服务区开展常态化自查，对发现的问题及时整改完善。</w:t>
      </w:r>
    </w:p>
    <w:p w14:paraId="01A322A8">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highlight w:val="none"/>
        </w:rPr>
        <w:t>级交通运输主管部门要加强对已评级服务区监督指导，确保已评级</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服务区满足等级评定要求，持续发挥引领作用；不符合评定标准的及时督促</w:t>
      </w:r>
      <w:r>
        <w:rPr>
          <w:rFonts w:hint="default" w:ascii="Times New Roman" w:hAnsi="Times New Roman" w:eastAsia="仿宋_GB2312" w:cs="Times New Roman"/>
          <w:color w:val="auto"/>
          <w:sz w:val="32"/>
          <w:szCs w:val="32"/>
          <w:highlight w:val="none"/>
          <w:lang w:eastAsia="zh-CN"/>
        </w:rPr>
        <w:t>，责令限期</w:t>
      </w:r>
      <w:r>
        <w:rPr>
          <w:rFonts w:hint="default" w:ascii="Times New Roman" w:hAnsi="Times New Roman" w:eastAsia="仿宋_GB2312" w:cs="Times New Roman"/>
          <w:color w:val="auto"/>
          <w:sz w:val="32"/>
          <w:szCs w:val="32"/>
          <w:highlight w:val="none"/>
        </w:rPr>
        <w:t>整改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不达标的加强问题整改</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提升服务质量</w:t>
      </w:r>
      <w:r>
        <w:rPr>
          <w:rFonts w:hint="default" w:ascii="Times New Roman" w:hAnsi="Times New Roman" w:eastAsia="仿宋_GB2312" w:cs="Times New Roman"/>
          <w:color w:val="auto"/>
          <w:sz w:val="32"/>
          <w:szCs w:val="32"/>
          <w:highlight w:val="none"/>
          <w:lang w:eastAsia="zh-CN"/>
        </w:rPr>
        <w:t>。</w:t>
      </w:r>
    </w:p>
    <w:p w14:paraId="2049250E">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highlight w:val="none"/>
        </w:rPr>
        <w:t>不符合评定标准的</w:t>
      </w:r>
      <w:r>
        <w:rPr>
          <w:rFonts w:hint="default" w:ascii="Times New Roman" w:hAnsi="Times New Roman" w:eastAsia="仿宋_GB2312" w:cs="Times New Roman"/>
          <w:color w:val="auto"/>
          <w:sz w:val="32"/>
          <w:szCs w:val="32"/>
          <w:highlight w:val="none"/>
          <w:lang w:eastAsia="zh-CN"/>
        </w:rPr>
        <w:t>服务区</w:t>
      </w:r>
      <w:r>
        <w:rPr>
          <w:rFonts w:hint="default" w:ascii="Times New Roman" w:hAnsi="Times New Roman" w:eastAsia="仿宋_GB2312" w:cs="Times New Roman"/>
          <w:color w:val="auto"/>
          <w:sz w:val="32"/>
          <w:szCs w:val="32"/>
          <w:highlight w:val="none"/>
        </w:rPr>
        <w:t>未按规定要求完成限期整改的</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发生安全</w:t>
      </w:r>
      <w:r>
        <w:rPr>
          <w:rFonts w:hint="eastAsia"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rPr>
        <w:t>事故或出现社会负面舆情的，由省级交通运输主管部门根据评定标准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w:t>
      </w:r>
      <w:r>
        <w:rPr>
          <w:rFonts w:hint="default" w:ascii="Times New Roman" w:hAnsi="Times New Roman" w:eastAsia="仿宋_GB2312" w:cs="Times New Roman"/>
          <w:color w:val="auto"/>
          <w:sz w:val="32"/>
          <w:szCs w:val="32"/>
          <w:highlight w:val="none"/>
          <w:lang w:eastAsia="zh-CN"/>
        </w:rPr>
        <w:t>降级或取消评定等级</w:t>
      </w:r>
      <w:r>
        <w:rPr>
          <w:rFonts w:hint="default" w:ascii="Times New Roman" w:hAnsi="Times New Roman" w:eastAsia="仿宋_GB2312" w:cs="Times New Roman"/>
          <w:color w:val="auto"/>
          <w:sz w:val="32"/>
          <w:szCs w:val="32"/>
          <w:highlight w:val="none"/>
        </w:rPr>
        <w:t>处理</w:t>
      </w:r>
      <w:r>
        <w:rPr>
          <w:rFonts w:hint="default" w:ascii="Times New Roman" w:hAnsi="Times New Roman" w:eastAsia="仿宋_GB2312" w:cs="Times New Roman"/>
          <w:color w:val="auto"/>
          <w:sz w:val="32"/>
          <w:szCs w:val="32"/>
          <w:highlight w:val="none"/>
          <w:lang w:eastAsia="zh-CN"/>
        </w:rPr>
        <w:t>并报部备案</w:t>
      </w:r>
      <w:r>
        <w:rPr>
          <w:rFonts w:hint="default" w:ascii="Times New Roman" w:hAnsi="Times New Roman" w:eastAsia="仿宋_GB2312" w:cs="Times New Roman"/>
          <w:color w:val="auto"/>
          <w:sz w:val="32"/>
          <w:szCs w:val="32"/>
          <w:highlight w:val="none"/>
        </w:rPr>
        <w:t>。</w:t>
      </w:r>
    </w:p>
    <w:p w14:paraId="179284A5">
      <w:pPr>
        <w:pStyle w:val="9"/>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服</w:t>
      </w:r>
      <w:r>
        <w:rPr>
          <w:rFonts w:hint="default" w:ascii="Times New Roman" w:hAnsi="Times New Roman" w:eastAsia="仿宋_GB2312" w:cs="Times New Roman"/>
          <w:color w:val="auto"/>
          <w:sz w:val="32"/>
          <w:szCs w:val="32"/>
          <w:highlight w:val="none"/>
        </w:rPr>
        <w:t>务区因</w:t>
      </w:r>
      <w:r>
        <w:rPr>
          <w:rFonts w:hint="default" w:ascii="Times New Roman" w:hAnsi="Times New Roman" w:eastAsia="仿宋_GB2312" w:cs="Times New Roman"/>
          <w:color w:val="auto"/>
          <w:sz w:val="32"/>
          <w:szCs w:val="32"/>
          <w:highlight w:val="none"/>
          <w:lang w:eastAsia="zh-CN"/>
        </w:rPr>
        <w:t>各种</w:t>
      </w:r>
      <w:r>
        <w:rPr>
          <w:rFonts w:hint="default" w:ascii="Times New Roman" w:hAnsi="Times New Roman" w:eastAsia="仿宋_GB2312" w:cs="Times New Roman"/>
          <w:color w:val="auto"/>
          <w:sz w:val="32"/>
          <w:szCs w:val="32"/>
          <w:highlight w:val="none"/>
        </w:rPr>
        <w:t>原因</w:t>
      </w:r>
      <w:r>
        <w:rPr>
          <w:rFonts w:hint="default" w:ascii="Times New Roman" w:hAnsi="Times New Roman" w:eastAsia="仿宋_GB2312" w:cs="Times New Roman"/>
          <w:color w:val="auto"/>
          <w:sz w:val="32"/>
          <w:szCs w:val="32"/>
          <w:highlight w:val="none"/>
          <w:u w:val="none"/>
          <w:lang w:eastAsia="zh-CN"/>
        </w:rPr>
        <w:t>终止</w:t>
      </w:r>
      <w:r>
        <w:rPr>
          <w:rFonts w:hint="default" w:ascii="Times New Roman" w:hAnsi="Times New Roman" w:eastAsia="仿宋_GB2312" w:cs="Times New Roman"/>
          <w:color w:val="auto"/>
          <w:sz w:val="32"/>
          <w:szCs w:val="32"/>
          <w:highlight w:val="none"/>
          <w:u w:val="none"/>
        </w:rPr>
        <w:t>运营</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自动退出等级评定并</w:t>
      </w:r>
      <w:r>
        <w:rPr>
          <w:rFonts w:hint="default" w:ascii="Times New Roman" w:hAnsi="Times New Roman" w:eastAsia="仿宋_GB2312" w:cs="Times New Roman"/>
          <w:color w:val="auto"/>
          <w:sz w:val="32"/>
          <w:szCs w:val="32"/>
          <w:highlight w:val="none"/>
        </w:rPr>
        <w:t>由省级交通运输主管部门</w:t>
      </w:r>
      <w:r>
        <w:rPr>
          <w:rFonts w:hint="default" w:ascii="Times New Roman" w:hAnsi="Times New Roman" w:eastAsia="仿宋_GB2312" w:cs="Times New Roman"/>
          <w:color w:val="auto"/>
          <w:sz w:val="32"/>
          <w:szCs w:val="32"/>
          <w:highlight w:val="none"/>
          <w:lang w:eastAsia="zh-CN"/>
        </w:rPr>
        <w:t>报部备案。</w:t>
      </w:r>
    </w:p>
    <w:p w14:paraId="11AE72A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left="0" w:leftChars="0" w:firstLine="0" w:firstLineChars="0"/>
        <w:jc w:val="center"/>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第五章 附则</w:t>
      </w:r>
    </w:p>
    <w:p w14:paraId="7D0C089D">
      <w:pPr>
        <w:keepNext w:val="0"/>
        <w:keepLines w:val="0"/>
        <w:pageBreakBefore w:val="0"/>
        <w:kinsoku/>
        <w:wordWrap/>
        <w:autoSpaceDN/>
        <w:bidi w:val="0"/>
        <w:adjustRightInd/>
        <w:snapToGrid/>
        <w:spacing w:before="0" w:beforeAutospacing="0" w:after="0" w:afterAutospacing="0" w:line="560" w:lineRule="exact"/>
        <w:ind w:left="0" w:leftChars="0" w:firstLine="681" w:firstLineChars="21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highlight w:val="none"/>
        </w:rPr>
        <w:t>本办法由交通运输部公路局负责解释。</w:t>
      </w:r>
    </w:p>
    <w:p w14:paraId="2C6954E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highlight w:val="none"/>
        </w:rPr>
        <w:t>本办法自202</w:t>
      </w:r>
      <w:r>
        <w:rPr>
          <w:rFonts w:hint="default" w:ascii="Times New Roman" w:hAnsi="Times New Roman" w:eastAsia="仿宋_GB2312" w:cs="Times New Roman"/>
          <w:color w:val="auto"/>
          <w:sz w:val="32"/>
          <w:szCs w:val="32"/>
          <w:highlight w:val="none"/>
          <w:lang w:val="en-US"/>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日起施行，《</w:t>
      </w:r>
      <w:r>
        <w:rPr>
          <w:rFonts w:hint="default" w:ascii="Times New Roman" w:hAnsi="Times New Roman" w:eastAsia="仿宋_GB2312" w:cs="Times New Roman"/>
          <w:color w:val="auto"/>
          <w:sz w:val="32"/>
          <w:szCs w:val="32"/>
          <w:highlight w:val="none"/>
          <w:lang w:eastAsia="zh-CN"/>
        </w:rPr>
        <w:t>交通运输部关于印发</w:t>
      </w:r>
      <w:r>
        <w:rPr>
          <w:rFonts w:hint="default" w:ascii="Times New Roman" w:hAnsi="Times New Roman" w:eastAsia="仿宋_GB2312" w:cs="Times New Roman"/>
          <w:color w:val="auto"/>
          <w:sz w:val="32"/>
          <w:szCs w:val="32"/>
          <w:highlight w:val="none"/>
        </w:rPr>
        <w:t>全国高速公路服务区服务质量等级评定办法（试行）</w:t>
      </w:r>
      <w:r>
        <w:rPr>
          <w:rFonts w:hint="default" w:ascii="Times New Roman" w:hAnsi="Times New Roman" w:eastAsia="仿宋_GB2312" w:cs="Times New Roman"/>
          <w:color w:val="auto"/>
          <w:sz w:val="32"/>
          <w:szCs w:val="32"/>
          <w:highlight w:val="none"/>
          <w:lang w:eastAsia="zh-CN"/>
        </w:rPr>
        <w:t>的通知</w:t>
      </w:r>
      <w:r>
        <w:rPr>
          <w:rFonts w:hint="default" w:ascii="Times New Roman" w:hAnsi="Times New Roman" w:eastAsia="仿宋_GB2312" w:cs="Times New Roman"/>
          <w:color w:val="auto"/>
          <w:sz w:val="32"/>
          <w:szCs w:val="32"/>
          <w:highlight w:val="none"/>
        </w:rPr>
        <w:t>》（交公路发〔20</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〕29号）</w:t>
      </w:r>
      <w:r>
        <w:rPr>
          <w:rFonts w:hint="default" w:ascii="Times New Roman" w:hAnsi="Times New Roman" w:eastAsia="仿宋_GB2312" w:cs="Times New Roman"/>
          <w:color w:val="auto"/>
          <w:sz w:val="32"/>
          <w:szCs w:val="32"/>
          <w:highlight w:val="none"/>
          <w:lang w:eastAsia="zh-CN"/>
        </w:rPr>
        <w:t>同时</w:t>
      </w:r>
      <w:r>
        <w:rPr>
          <w:rFonts w:hint="default" w:ascii="Times New Roman" w:hAnsi="Times New Roman" w:eastAsia="仿宋_GB2312" w:cs="Times New Roman"/>
          <w:color w:val="auto"/>
          <w:sz w:val="32"/>
          <w:szCs w:val="32"/>
          <w:highlight w:val="none"/>
        </w:rPr>
        <w:t>废止。</w:t>
      </w:r>
    </w:p>
    <w:p w14:paraId="3E7FA24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楷体_GB2312" w:cs="Times New Roman"/>
          <w:sz w:val="32"/>
          <w:szCs w:val="32"/>
          <w:lang w:val="en-US" w:eastAsia="zh-CN"/>
        </w:rPr>
      </w:pPr>
    </w:p>
    <w:p w14:paraId="30F442F3">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楷体_GB2312" w:cs="Times New Roman"/>
          <w:sz w:val="32"/>
          <w:szCs w:val="32"/>
          <w:lang w:val="en-US" w:eastAsia="zh-CN"/>
        </w:rPr>
      </w:pPr>
    </w:p>
    <w:p w14:paraId="6244D6FF">
      <w:pPr>
        <w:spacing w:line="580" w:lineRule="exact"/>
        <w:ind w:firstLine="640" w:firstLineChars="200"/>
        <w:rPr>
          <w:rFonts w:ascii="Times New Roman" w:hAnsi="Times New Roman" w:eastAsia="仿宋_GB2312" w:cs="Times New Roman"/>
          <w:sz w:val="32"/>
          <w:szCs w:val="32"/>
        </w:rPr>
      </w:pPr>
    </w:p>
    <w:p w14:paraId="423E883F"/>
    <w:p w14:paraId="1E1CE297">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p>
    <w:p w14:paraId="02CA8F78">
      <w:pPr>
        <w:pStyle w:val="17"/>
        <w:widowControl w:val="0"/>
        <w:spacing w:before="0" w:beforeAutospacing="0" w:after="0" w:afterAutospacing="0" w:line="580" w:lineRule="exact"/>
        <w:ind w:firstLine="640" w:firstLineChars="200"/>
        <w:jc w:val="both"/>
        <w:textAlignment w:val="baseline"/>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6AE2">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35B0B3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6CB1F51">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14:paraId="797D3F70">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CE86">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3F2C57F">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31C5D"/>
    <w:multiLevelType w:val="multilevel"/>
    <w:tmpl w:val="14331C5D"/>
    <w:lvl w:ilvl="0" w:tentative="0">
      <w:start w:val="1"/>
      <w:numFmt w:val="decimal"/>
      <w:pStyle w:val="3"/>
      <w:lvlText w:val="第%1条"/>
      <w:lvlJc w:val="left"/>
      <w:pPr>
        <w:tabs>
          <w:tab w:val="left" w:pos="1800"/>
        </w:tabs>
        <w:ind w:left="1800" w:hanging="1080"/>
      </w:pPr>
      <w:rPr>
        <w:rFonts w:hint="eastAsia" w:ascii="黑体" w:eastAsia="黑体"/>
        <w:b/>
        <w:lang w:val="en-US"/>
      </w:rPr>
    </w:lvl>
    <w:lvl w:ilvl="1" w:tentative="0">
      <w:start w:val="3"/>
      <w:numFmt w:val="japaneseCounting"/>
      <w:lvlText w:val="第%2章"/>
      <w:lvlJc w:val="left"/>
      <w:pPr>
        <w:tabs>
          <w:tab w:val="left" w:pos="4064"/>
        </w:tabs>
        <w:ind w:left="4064" w:hanging="1230"/>
      </w:pPr>
      <w:rPr>
        <w:rFonts w:hint="eastAsia"/>
      </w:rPr>
    </w:lvl>
    <w:lvl w:ilvl="2" w:tentative="0">
      <w:start w:val="1"/>
      <w:numFmt w:val="decimal"/>
      <w:lvlText w:val="%3."/>
      <w:lvlJc w:val="left"/>
      <w:pPr>
        <w:tabs>
          <w:tab w:val="left" w:pos="3614"/>
        </w:tabs>
        <w:ind w:left="3614" w:hanging="360"/>
      </w:pPr>
    </w:lvl>
    <w:lvl w:ilvl="3" w:tentative="0">
      <w:start w:val="1"/>
      <w:numFmt w:val="decimal"/>
      <w:lvlText w:val="%4、"/>
      <w:lvlJc w:val="left"/>
      <w:pPr>
        <w:tabs>
          <w:tab w:val="left" w:pos="4394"/>
        </w:tabs>
        <w:ind w:left="4394" w:hanging="720"/>
      </w:pPr>
      <w:rPr>
        <w:rFonts w:hint="eastAsia"/>
      </w:rPr>
    </w:lvl>
    <w:lvl w:ilvl="4" w:tentative="0">
      <w:start w:val="1"/>
      <w:numFmt w:val="lowerLetter"/>
      <w:lvlText w:val="%5)"/>
      <w:lvlJc w:val="left"/>
      <w:pPr>
        <w:tabs>
          <w:tab w:val="left" w:pos="4514"/>
        </w:tabs>
        <w:ind w:left="4514" w:hanging="420"/>
      </w:pPr>
    </w:lvl>
    <w:lvl w:ilvl="5" w:tentative="0">
      <w:start w:val="1"/>
      <w:numFmt w:val="lowerRoman"/>
      <w:lvlText w:val="%6."/>
      <w:lvlJc w:val="right"/>
      <w:pPr>
        <w:tabs>
          <w:tab w:val="left" w:pos="4934"/>
        </w:tabs>
        <w:ind w:left="4934" w:hanging="420"/>
      </w:pPr>
    </w:lvl>
    <w:lvl w:ilvl="6" w:tentative="0">
      <w:start w:val="1"/>
      <w:numFmt w:val="decimal"/>
      <w:lvlText w:val="%7."/>
      <w:lvlJc w:val="left"/>
      <w:pPr>
        <w:tabs>
          <w:tab w:val="left" w:pos="5354"/>
        </w:tabs>
        <w:ind w:left="5354" w:hanging="420"/>
      </w:pPr>
    </w:lvl>
    <w:lvl w:ilvl="7" w:tentative="0">
      <w:start w:val="1"/>
      <w:numFmt w:val="lowerLetter"/>
      <w:lvlText w:val="%8)"/>
      <w:lvlJc w:val="left"/>
      <w:pPr>
        <w:tabs>
          <w:tab w:val="left" w:pos="5774"/>
        </w:tabs>
        <w:ind w:left="5774" w:hanging="420"/>
      </w:pPr>
    </w:lvl>
    <w:lvl w:ilvl="8" w:tentative="0">
      <w:start w:val="1"/>
      <w:numFmt w:val="lowerRoman"/>
      <w:lvlText w:val="%9."/>
      <w:lvlJc w:val="right"/>
      <w:pPr>
        <w:tabs>
          <w:tab w:val="left" w:pos="6194"/>
        </w:tabs>
        <w:ind w:left="61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87A4FC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817462"/>
    <w:rsid w:val="7C9011D9"/>
    <w:rsid w:val="7DC651C5"/>
    <w:rsid w:val="7FCC2834"/>
    <w:rsid w:val="7FF1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numPr>
        <w:ilvl w:val="0"/>
        <w:numId w:val="1"/>
      </w:numPr>
      <w:ind w:left="0" w:firstLine="420"/>
    </w:pPr>
    <w:rPr>
      <w:rFonts w:ascii="Times New Roman" w:hAnsi="Times New Roman" w:eastAsia="宋体" w:cs="黑体"/>
      <w:sz w:val="28"/>
      <w:szCs w:val="20"/>
    </w:rPr>
  </w:style>
  <w:style w:type="paragraph" w:styleId="4">
    <w:name w:val="annotation text"/>
    <w:basedOn w:val="1"/>
    <w:qFormat/>
    <w:uiPriority w:val="0"/>
    <w:pPr>
      <w:jc w:val="left"/>
    </w:pPr>
  </w:style>
  <w:style w:type="paragraph" w:styleId="5">
    <w:name w:val="Body Text Indent"/>
    <w:basedOn w:val="1"/>
    <w:qFormat/>
    <w:uiPriority w:val="0"/>
    <w:pPr>
      <w:widowControl w:val="0"/>
      <w:spacing w:before="0" w:beforeAutospacing="0"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unhideWhenUsed/>
    <w:qFormat/>
    <w:uiPriority w:val="0"/>
    <w:pPr>
      <w:widowControl w:val="0"/>
      <w:spacing w:before="0" w:beforeAutospacing="0" w:after="120" w:afterAutospacing="0"/>
      <w:ind w:left="420" w:leftChars="200" w:firstLine="420"/>
      <w:jc w:val="both"/>
    </w:pPr>
    <w:rPr>
      <w:rFonts w:ascii="Times New Roman" w:hAnsi="Times New Roman" w:eastAsia="宋体" w:cs="Times New Roman"/>
      <w:kern w:val="2"/>
      <w:sz w:val="21"/>
      <w:szCs w:val="24"/>
      <w:lang w:val="en-US" w:eastAsia="zh-CN" w:bidi="ar-SA"/>
    </w:rPr>
  </w:style>
  <w:style w:type="character" w:styleId="12">
    <w:name w:val="annotation reference"/>
    <w:basedOn w:val="11"/>
    <w:qFormat/>
    <w:uiPriority w:val="0"/>
    <w:rPr>
      <w:sz w:val="21"/>
      <w:szCs w:val="21"/>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normaltextrun"/>
    <w:qFormat/>
    <w:uiPriority w:val="0"/>
    <w:rPr>
      <w:rFonts w:ascii="Calibri" w:hAnsi="Calibri" w:eastAsia="宋体"/>
    </w:rPr>
  </w:style>
  <w:style w:type="paragraph" w:customStyle="1" w:styleId="15">
    <w:name w:val="正文文本首行缩进 21"/>
    <w:basedOn w:val="1"/>
    <w:qFormat/>
    <w:uiPriority w:val="0"/>
    <w:pPr>
      <w:spacing w:after="120"/>
      <w:ind w:left="420" w:leftChars="200" w:firstLine="420" w:firstLineChars="200"/>
    </w:pPr>
    <w:rPr>
      <w:rFonts w:ascii="Calibri" w:hAnsi="Calibri" w:cs="黑体"/>
      <w14:ligatures w14:val="standardContextual"/>
    </w:rPr>
  </w:style>
  <w:style w:type="paragraph" w:customStyle="1" w:styleId="16">
    <w:name w:val="列表段落1"/>
    <w:basedOn w:val="1"/>
    <w:qFormat/>
    <w:uiPriority w:val="0"/>
    <w:pPr>
      <w:ind w:firstLine="420" w:firstLineChars="200"/>
    </w:pPr>
    <w:rPr>
      <w:rFonts w:ascii="等线" w:hAnsi="等线" w:eastAsia="等线" w:cs="Times New Roman"/>
    </w:rPr>
  </w:style>
  <w:style w:type="paragraph" w:customStyle="1" w:styleId="1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List Paragraph"/>
    <w:basedOn w:val="1"/>
    <w:qFormat/>
    <w:uiPriority w:val="0"/>
    <w:pPr>
      <w:ind w:firstLine="420" w:firstLineChars="200"/>
    </w:pPr>
    <w:rPr>
      <w:rFonts w:ascii="等线" w:hAnsi="等线" w:eastAsia="等线" w:cs="Times New Roman"/>
    </w:rPr>
  </w:style>
  <w:style w:type="paragraph" w:customStyle="1" w:styleId="19">
    <w:name w:val="Body Text First Indent 2"/>
    <w:basedOn w:val="20"/>
    <w:qFormat/>
    <w:uiPriority w:val="0"/>
    <w:pPr>
      <w:ind w:firstLine="420" w:firstLineChars="200"/>
    </w:pPr>
    <w:rPr>
      <w:rFonts w:ascii="Calibri" w:hAnsi="Calibri" w:eastAsia="宋体" w:cs="黑体"/>
      <w:kern w:val="2"/>
      <w:sz w:val="21"/>
      <w:szCs w:val="22"/>
    </w:rPr>
  </w:style>
  <w:style w:type="paragraph" w:customStyle="1" w:styleId="20">
    <w:name w:val="Body Text Indent"/>
    <w:basedOn w:val="1"/>
    <w:qFormat/>
    <w:uiPriority w:val="0"/>
    <w:pPr>
      <w:spacing w:after="120" w:afterLines="0"/>
      <w:ind w:left="420" w:leftChars="200"/>
    </w:pPr>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6358</Words>
  <Characters>6377</Characters>
  <Lines>2</Lines>
  <Paragraphs>1</Paragraphs>
  <TotalTime>1</TotalTime>
  <ScaleCrop>false</ScaleCrop>
  <LinksUpToDate>false</LinksUpToDate>
  <CharactersWithSpaces>6475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2023-03-15T06:28:00Z</dcterms:created>
  <dc:creator>t</dc:creator>
  <cp:lastModifiedBy> </cp:lastModifiedBy>
  <cp:lastPrinted>2021-10-26T03:30:00Z</cp:lastPrinted>
  <dcterms:modified xsi:type="dcterms:W3CDTF">2025-05-12T02:43:13Z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F396D2D00A4F4F468D2141F2C74DB128_13</vt:lpwstr>
  </property>
  <property fmtid="{D5CDD505-2E9C-101B-9397-08002B2CF9AE}" pid="4" name="KSOTemplateDocerSaveRecord">
    <vt:lpwstr>eyJoZGlkIjoiMGY5YzExYzdiNzdjMzk1YTc1NjUwYWI4YjU4MzgyYjEiLCJ1c2VySWQiOiIzNjg3NDIyNzAifQ==</vt:lpwstr>
  </property>
</Properties>
</file>